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873D" w14:textId="72FD8053" w:rsidR="00FD4044" w:rsidRPr="008F0840" w:rsidRDefault="008B5DBB" w:rsidP="00A62506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X</w:t>
      </w:r>
      <w:r w:rsidR="00FD4044" w:rsidRPr="008F0840">
        <w:rPr>
          <w:b/>
          <w:shd w:val="clear" w:color="auto" w:fill="FFFFFF"/>
        </w:rPr>
        <w:t>I JORNADAS INTERDISCIPLINARIAS DE ESTUDIOS AGRARIOS Y AGROINDUSTRIALES</w:t>
      </w:r>
    </w:p>
    <w:p w14:paraId="2EE2E4D9" w14:textId="77777777" w:rsidR="00FD4044" w:rsidRPr="008F0840" w:rsidRDefault="00FD4044" w:rsidP="00A62506">
      <w:pPr>
        <w:rPr>
          <w:shd w:val="clear" w:color="auto" w:fill="FFFFFF"/>
        </w:rPr>
      </w:pPr>
    </w:p>
    <w:p w14:paraId="59FB2DBF" w14:textId="297C67B5" w:rsidR="00FD4044" w:rsidRPr="00AF0FED" w:rsidRDefault="00AF0FED" w:rsidP="00A62506">
      <w:pPr>
        <w:jc w:val="center"/>
        <w:rPr>
          <w:b/>
          <w:bCs/>
        </w:rPr>
      </w:pPr>
      <w:r w:rsidRPr="00AF0FED">
        <w:rPr>
          <w:b/>
          <w:bCs/>
        </w:rPr>
        <w:t xml:space="preserve">O </w:t>
      </w:r>
      <w:r w:rsidRPr="00AF0FED">
        <w:rPr>
          <w:b/>
          <w:bCs/>
          <w:noProof/>
        </w:rPr>
        <w:t>AGRONEGÓCIO BRASILEIRO NO COMÉRCIO INTERNACIONAL NO PERÍODO 2000-2018: EVOLUÇÃO, CENÁRIO ATUAL E PER</w:t>
      </w:r>
      <w:r>
        <w:rPr>
          <w:b/>
          <w:bCs/>
          <w:noProof/>
        </w:rPr>
        <w:t>S</w:t>
      </w:r>
      <w:r w:rsidRPr="00AF0FED">
        <w:rPr>
          <w:b/>
          <w:bCs/>
          <w:noProof/>
        </w:rPr>
        <w:t>PECTIVAS FUTURAS</w:t>
      </w:r>
      <w:r w:rsidR="001D1E88" w:rsidRPr="00AF0FED">
        <w:rPr>
          <w:rStyle w:val="Refdenotaderodap"/>
          <w:b/>
          <w:bCs/>
        </w:rPr>
        <w:footnoteReference w:customMarkFollows="1" w:id="1"/>
        <w:sym w:font="Symbol" w:char="F02A"/>
      </w:r>
    </w:p>
    <w:p w14:paraId="55BE100E" w14:textId="77777777" w:rsidR="00C95F6A" w:rsidRPr="00C95F6A" w:rsidRDefault="00C95F6A" w:rsidP="00C95F6A">
      <w:pPr>
        <w:jc w:val="both"/>
        <w:rPr>
          <w:bCs/>
          <w:shd w:val="clear" w:color="auto" w:fill="FFFFFF"/>
        </w:rPr>
      </w:pPr>
    </w:p>
    <w:p w14:paraId="2BA39CCB" w14:textId="7B237D2A" w:rsidR="00C95F6A" w:rsidRPr="00C95F6A" w:rsidRDefault="00C95F6A" w:rsidP="00C95F6A">
      <w:pPr>
        <w:rPr>
          <w:bCs/>
        </w:rPr>
      </w:pPr>
      <w:proofErr w:type="spellStart"/>
      <w:r w:rsidRPr="00C95F6A">
        <w:rPr>
          <w:bCs/>
          <w:shd w:val="clear" w:color="auto" w:fill="FFFFFF"/>
        </w:rPr>
        <w:t>Eje</w:t>
      </w:r>
      <w:proofErr w:type="spellEnd"/>
      <w:r w:rsidRPr="00C95F6A">
        <w:rPr>
          <w:bCs/>
          <w:shd w:val="clear" w:color="auto" w:fill="FFFFFF"/>
        </w:rPr>
        <w:t xml:space="preserve"> Temático: 12</w:t>
      </w:r>
    </w:p>
    <w:p w14:paraId="1416E3C3" w14:textId="09205284" w:rsidR="00FD4044" w:rsidRPr="008F0840" w:rsidRDefault="00FD4044" w:rsidP="00A62506">
      <w:pPr>
        <w:jc w:val="both"/>
        <w:rPr>
          <w:bCs/>
        </w:rPr>
      </w:pPr>
    </w:p>
    <w:p w14:paraId="4539FBEC" w14:textId="1E77CB76" w:rsidR="00C95F6A" w:rsidRDefault="00FD4044" w:rsidP="00C95F6A">
      <w:pPr>
        <w:jc w:val="both"/>
        <w:rPr>
          <w:bCs/>
        </w:rPr>
      </w:pPr>
      <w:proofErr w:type="spellStart"/>
      <w:r w:rsidRPr="008F0840">
        <w:rPr>
          <w:bCs/>
        </w:rPr>
        <w:t>Massuquetti</w:t>
      </w:r>
      <w:proofErr w:type="spellEnd"/>
      <w:r w:rsidRPr="008F0840">
        <w:rPr>
          <w:bCs/>
        </w:rPr>
        <w:t>, Angélica</w:t>
      </w:r>
      <w:r w:rsidR="00C95F6A">
        <w:rPr>
          <w:bCs/>
        </w:rPr>
        <w:t>;</w:t>
      </w:r>
      <w:r w:rsidR="00C95F6A" w:rsidRPr="00C95F6A">
        <w:rPr>
          <w:bCs/>
        </w:rPr>
        <w:t xml:space="preserve"> </w:t>
      </w:r>
      <w:proofErr w:type="spellStart"/>
      <w:r w:rsidR="00C95F6A" w:rsidRPr="008F0840">
        <w:rPr>
          <w:bCs/>
        </w:rPr>
        <w:t>Tessaro</w:t>
      </w:r>
      <w:proofErr w:type="spellEnd"/>
      <w:r w:rsidR="00C95F6A" w:rsidRPr="008F0840">
        <w:rPr>
          <w:bCs/>
        </w:rPr>
        <w:t>, Gustavo</w:t>
      </w:r>
      <w:r w:rsidR="00C95F6A">
        <w:rPr>
          <w:bCs/>
        </w:rPr>
        <w:t xml:space="preserve">; </w:t>
      </w:r>
      <w:proofErr w:type="spellStart"/>
      <w:r w:rsidR="00C95F6A" w:rsidRPr="008F0840">
        <w:rPr>
          <w:bCs/>
        </w:rPr>
        <w:t>Jacobus</w:t>
      </w:r>
      <w:proofErr w:type="spellEnd"/>
      <w:r w:rsidR="00C95F6A" w:rsidRPr="008F0840">
        <w:rPr>
          <w:bCs/>
        </w:rPr>
        <w:t>, Samanta</w:t>
      </w:r>
      <w:r w:rsidR="00C95F6A">
        <w:rPr>
          <w:bCs/>
        </w:rPr>
        <w:t xml:space="preserve">; </w:t>
      </w:r>
      <w:r w:rsidR="00C95F6A" w:rsidRPr="008F0840">
        <w:rPr>
          <w:bCs/>
        </w:rPr>
        <w:t xml:space="preserve">Rodrigues, Guilherme </w:t>
      </w:r>
      <w:proofErr w:type="spellStart"/>
      <w:r w:rsidR="00C95F6A" w:rsidRPr="008F0840">
        <w:rPr>
          <w:bCs/>
        </w:rPr>
        <w:t>Tenher</w:t>
      </w:r>
      <w:proofErr w:type="spellEnd"/>
      <w:r w:rsidR="00C95F6A">
        <w:rPr>
          <w:bCs/>
        </w:rPr>
        <w:t xml:space="preserve">; </w:t>
      </w:r>
      <w:r w:rsidR="00C95F6A" w:rsidRPr="008F0840">
        <w:rPr>
          <w:bCs/>
        </w:rPr>
        <w:t xml:space="preserve">Santos, </w:t>
      </w:r>
      <w:r w:rsidR="00C95F6A" w:rsidRPr="008F0840">
        <w:rPr>
          <w:shd w:val="clear" w:color="auto" w:fill="FFFFFF"/>
        </w:rPr>
        <w:t xml:space="preserve">Ana Cristina </w:t>
      </w:r>
      <w:proofErr w:type="spellStart"/>
      <w:r w:rsidR="00C95F6A" w:rsidRPr="008F0840">
        <w:rPr>
          <w:shd w:val="clear" w:color="auto" w:fill="FFFFFF"/>
        </w:rPr>
        <w:t>Raddatz</w:t>
      </w:r>
      <w:proofErr w:type="spellEnd"/>
      <w:r w:rsidR="00C95F6A" w:rsidRPr="008F0840">
        <w:rPr>
          <w:shd w:val="clear" w:color="auto" w:fill="FFFFFF"/>
        </w:rPr>
        <w:t xml:space="preserve"> dos</w:t>
      </w:r>
    </w:p>
    <w:p w14:paraId="1F60C10D" w14:textId="77777777" w:rsidR="00C95F6A" w:rsidRDefault="00C95F6A" w:rsidP="00C95F6A">
      <w:pPr>
        <w:jc w:val="both"/>
        <w:rPr>
          <w:bCs/>
        </w:rPr>
      </w:pPr>
    </w:p>
    <w:p w14:paraId="44377DC8" w14:textId="276BBA07" w:rsidR="00C95F6A" w:rsidRPr="008F0840" w:rsidRDefault="00C95F6A" w:rsidP="00C95F6A">
      <w:pPr>
        <w:jc w:val="both"/>
        <w:rPr>
          <w:bCs/>
        </w:rPr>
      </w:pPr>
      <w:r w:rsidRPr="008F0840">
        <w:rPr>
          <w:bCs/>
        </w:rPr>
        <w:t>Programa de Pós-Graduação em Economia (PPGE)/Curso de Ciências Econômicas</w:t>
      </w:r>
      <w:r>
        <w:rPr>
          <w:bCs/>
        </w:rPr>
        <w:t xml:space="preserve"> – </w:t>
      </w:r>
      <w:r w:rsidRPr="008F0840">
        <w:rPr>
          <w:bCs/>
        </w:rPr>
        <w:t>Universidade do Vale do Rio dos Sinos (UNISINOS)</w:t>
      </w:r>
      <w:r>
        <w:rPr>
          <w:bCs/>
        </w:rPr>
        <w:t xml:space="preserve"> – </w:t>
      </w:r>
      <w:r w:rsidRPr="008F0840">
        <w:rPr>
          <w:bCs/>
        </w:rPr>
        <w:t>Porto Alegre/São Leopoldo – Rio Grande do Sul – Brasil</w:t>
      </w:r>
    </w:p>
    <w:p w14:paraId="11020E73" w14:textId="77777777" w:rsidR="00C95F6A" w:rsidRDefault="00C95F6A" w:rsidP="00C95F6A">
      <w:pPr>
        <w:jc w:val="both"/>
        <w:rPr>
          <w:bCs/>
        </w:rPr>
      </w:pPr>
    </w:p>
    <w:p w14:paraId="7C56AF34" w14:textId="04DB879C" w:rsidR="00FD4044" w:rsidRPr="008F0840" w:rsidRDefault="00C95F6A" w:rsidP="00C95F6A">
      <w:pPr>
        <w:jc w:val="both"/>
        <w:rPr>
          <w:bCs/>
        </w:rPr>
      </w:pPr>
      <w:r w:rsidRPr="00C95F6A">
        <w:rPr>
          <w:bCs/>
        </w:rPr>
        <w:t>angelicam@unisinos.br</w:t>
      </w:r>
      <w:r>
        <w:rPr>
          <w:bCs/>
        </w:rPr>
        <w:t xml:space="preserve">; </w:t>
      </w:r>
      <w:r w:rsidRPr="00C95F6A">
        <w:rPr>
          <w:bCs/>
        </w:rPr>
        <w:t>gustavo_tessaro@outlook.com</w:t>
      </w:r>
      <w:r>
        <w:rPr>
          <w:bCs/>
        </w:rPr>
        <w:t xml:space="preserve">; </w:t>
      </w:r>
      <w:r w:rsidRPr="00C95F6A">
        <w:rPr>
          <w:bCs/>
        </w:rPr>
        <w:t>samantajacobuss@gmail.com</w:t>
      </w:r>
      <w:r>
        <w:rPr>
          <w:bCs/>
        </w:rPr>
        <w:t xml:space="preserve">; </w:t>
      </w:r>
      <w:r w:rsidRPr="00C95F6A">
        <w:rPr>
          <w:bCs/>
        </w:rPr>
        <w:t>guitenherr@gmail.com</w:t>
      </w:r>
      <w:r>
        <w:rPr>
          <w:bCs/>
        </w:rPr>
        <w:t xml:space="preserve">; </w:t>
      </w:r>
      <w:r w:rsidR="00A62506" w:rsidRPr="008F0840">
        <w:t>anardossantos96@gmail.com</w:t>
      </w:r>
    </w:p>
    <w:p w14:paraId="1DF6540E" w14:textId="77777777" w:rsidR="00FD4044" w:rsidRPr="008F0840" w:rsidRDefault="00FD4044" w:rsidP="00C95F6A">
      <w:pPr>
        <w:jc w:val="both"/>
        <w:rPr>
          <w:bCs/>
        </w:rPr>
      </w:pPr>
    </w:p>
    <w:p w14:paraId="48C2465A" w14:textId="77777777" w:rsidR="00FD4044" w:rsidRPr="008F0840" w:rsidRDefault="00FD4044" w:rsidP="00A62506">
      <w:pPr>
        <w:jc w:val="both"/>
        <w:rPr>
          <w:bCs/>
        </w:rPr>
      </w:pPr>
    </w:p>
    <w:p w14:paraId="6011B8D8" w14:textId="3EC58911" w:rsidR="00FD4044" w:rsidRPr="008F0840" w:rsidRDefault="006C3AF9" w:rsidP="00A62506">
      <w:pPr>
        <w:jc w:val="both"/>
      </w:pPr>
      <w:r>
        <w:rPr>
          <w:bCs/>
          <w:kern w:val="32"/>
        </w:rPr>
        <w:t>R</w:t>
      </w:r>
      <w:r w:rsidR="00A62506" w:rsidRPr="008F0840">
        <w:rPr>
          <w:bCs/>
          <w:kern w:val="32"/>
        </w:rPr>
        <w:t xml:space="preserve">esumo: </w:t>
      </w:r>
      <w:r w:rsidR="00FD4044" w:rsidRPr="008F0840">
        <w:rPr>
          <w:bCs/>
          <w:kern w:val="32"/>
        </w:rPr>
        <w:t xml:space="preserve">Os produtos do agronegócio destacam-se na pauta exportadora brasileira e o aumento da sua demanda mundial apoiou-se na ascensão dos países emergentes. </w:t>
      </w:r>
      <w:r w:rsidR="00FD4044" w:rsidRPr="008F0840">
        <w:t>O objetivo do estudo foi analisar a evolução das exportações do agronegócio brasileiro, no período 2000-2018, por produto e por destino, além de avaliar o grau de concentração das exportações dos principais produtos comercializados com o resto do mundo. A metodologia empregada foi a revisão bibliográfica e o CR</w:t>
      </w:r>
      <w:r w:rsidR="00FD4044" w:rsidRPr="008F0840">
        <w:rPr>
          <w:vertAlign w:val="subscript"/>
        </w:rPr>
        <w:t>3</w:t>
      </w:r>
      <w:r w:rsidR="00FD4044" w:rsidRPr="008F0840">
        <w:t xml:space="preserve">, que representa o grau de concentração a partir do somatório das parcelas de mercado dos três maiores países importadores destes produtos exportados pelo Brasil. Para a coleta de informações, utilizou-se a base de dados </w:t>
      </w:r>
      <w:proofErr w:type="spellStart"/>
      <w:r w:rsidR="00FD4044" w:rsidRPr="008F0840">
        <w:t>AgroStat</w:t>
      </w:r>
      <w:proofErr w:type="spellEnd"/>
      <w:r w:rsidR="00FD4044" w:rsidRPr="008F0840">
        <w:t>, do MAPA</w:t>
      </w:r>
      <w:r w:rsidR="00FD4044" w:rsidRPr="008F0840">
        <w:rPr>
          <w:rStyle w:val="apple-converted-space"/>
          <w:shd w:val="clear" w:color="auto" w:fill="FFFFFF"/>
        </w:rPr>
        <w:t xml:space="preserve">. </w:t>
      </w:r>
      <w:r w:rsidR="00FD4044" w:rsidRPr="008F0840">
        <w:t>Os resultados revelaram que as exportações do agronegócio brasileiro representaram, em 2018, 42,4% do total comercializado pelo país com o resto do mundo (em 2000, sua participação foi de 37,4%). Os principais destinos foram China, UE e EUA, que concentraram, em 2018, 59,2% do total exportado. Os principais produtos exportados foram do complexo soja, de carnes, de produtos florestais e do complexo sucroalcooleiro, representando, em conjunto, 75,9% do total comercializado pelo agronegócio, também em 2018. Por fim, foi notória a importância da participação da China nas relações comerciais do agronegócio brasileiro.</w:t>
      </w:r>
    </w:p>
    <w:p w14:paraId="2031B68F" w14:textId="42825681" w:rsidR="00A62506" w:rsidRPr="008F0840" w:rsidRDefault="00A62506" w:rsidP="00A62506">
      <w:pPr>
        <w:jc w:val="both"/>
      </w:pPr>
      <w:r w:rsidRPr="008F0840">
        <w:t>Palavras-chave: Agronegócio; Brasil; Exportação.</w:t>
      </w:r>
    </w:p>
    <w:p w14:paraId="00567139" w14:textId="77777777" w:rsidR="0071374B" w:rsidRPr="008F0840" w:rsidRDefault="0071374B" w:rsidP="00A62506">
      <w:pPr>
        <w:jc w:val="both"/>
        <w:rPr>
          <w:bCs/>
        </w:rPr>
      </w:pPr>
    </w:p>
    <w:p w14:paraId="07607CD9" w14:textId="77777777" w:rsidR="00A62506" w:rsidRPr="008F0840" w:rsidRDefault="00A62506" w:rsidP="00A62506">
      <w:pPr>
        <w:rPr>
          <w:b/>
          <w:lang w:eastAsia="pt-PT"/>
        </w:rPr>
      </w:pPr>
      <w:r w:rsidRPr="008F0840">
        <w:rPr>
          <w:b/>
        </w:rPr>
        <w:br w:type="page"/>
      </w:r>
    </w:p>
    <w:p w14:paraId="652B5293" w14:textId="0E5152F8" w:rsidR="00B07A7A" w:rsidRPr="008F0840" w:rsidRDefault="00A62506" w:rsidP="00A62506">
      <w:pPr>
        <w:pStyle w:val="lisbonparagraph"/>
        <w:spacing w:after="0" w:line="360" w:lineRule="auto"/>
        <w:rPr>
          <w:b/>
          <w:i/>
          <w:sz w:val="24"/>
          <w:szCs w:val="24"/>
          <w:lang w:val="pt-BR"/>
        </w:rPr>
      </w:pPr>
      <w:r w:rsidRPr="008F0840">
        <w:rPr>
          <w:b/>
          <w:sz w:val="24"/>
          <w:szCs w:val="24"/>
          <w:lang w:val="pt-BR"/>
        </w:rPr>
        <w:lastRenderedPageBreak/>
        <w:t xml:space="preserve">1 </w:t>
      </w:r>
      <w:r w:rsidR="001F18E8" w:rsidRPr="008F0840">
        <w:rPr>
          <w:b/>
          <w:sz w:val="24"/>
          <w:szCs w:val="24"/>
          <w:lang w:val="pt-BR"/>
        </w:rPr>
        <w:t>INTRODUÇÃO</w:t>
      </w:r>
    </w:p>
    <w:p w14:paraId="673CEE05" w14:textId="77777777" w:rsidR="001F18E8" w:rsidRPr="008F0840" w:rsidRDefault="001F18E8" w:rsidP="007D3493">
      <w:pPr>
        <w:pStyle w:val="lisbonparagraph"/>
        <w:spacing w:after="0" w:line="360" w:lineRule="auto"/>
        <w:rPr>
          <w:bCs/>
          <w:kern w:val="32"/>
          <w:sz w:val="24"/>
          <w:szCs w:val="24"/>
          <w:lang w:val="pt-BR"/>
        </w:rPr>
      </w:pPr>
    </w:p>
    <w:p w14:paraId="67417AF3" w14:textId="12B8BEC9" w:rsidR="007D3493" w:rsidRPr="007F3883" w:rsidRDefault="007D3493" w:rsidP="007D3493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7F3883">
        <w:rPr>
          <w:bCs/>
          <w:kern w:val="32"/>
          <w:sz w:val="24"/>
          <w:szCs w:val="24"/>
          <w:lang w:val="pt-BR"/>
        </w:rPr>
        <w:t xml:space="preserve">O agronegócio brasileiro vem aumentando sua importância na pauta exportadora nacional desde o início dos anos 2000, sendo que </w:t>
      </w:r>
      <w:r w:rsidRPr="007F3883">
        <w:rPr>
          <w:sz w:val="24"/>
          <w:szCs w:val="24"/>
          <w:lang w:val="pt-BR"/>
        </w:rPr>
        <w:t>a principal razão foi a expansão econômica de países emergentes, como, por exemplo, a China. Em 201</w:t>
      </w:r>
      <w:r>
        <w:rPr>
          <w:sz w:val="24"/>
          <w:szCs w:val="24"/>
          <w:lang w:val="pt-BR"/>
        </w:rPr>
        <w:t>8</w:t>
      </w:r>
      <w:r w:rsidRPr="007F3883">
        <w:rPr>
          <w:sz w:val="24"/>
          <w:szCs w:val="24"/>
          <w:lang w:val="pt-BR"/>
        </w:rPr>
        <w:t>, as exportações do agronegócio brasileiro representaram 4</w:t>
      </w:r>
      <w:r>
        <w:rPr>
          <w:sz w:val="24"/>
          <w:szCs w:val="24"/>
          <w:lang w:val="pt-BR"/>
        </w:rPr>
        <w:t>2</w:t>
      </w:r>
      <w:r w:rsidRPr="007F3883">
        <w:rPr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>4</w:t>
      </w:r>
      <w:r w:rsidRPr="007F3883">
        <w:rPr>
          <w:sz w:val="24"/>
          <w:szCs w:val="24"/>
          <w:lang w:val="pt-BR"/>
        </w:rPr>
        <w:t>% do total comercializado pelo país com o resto do mundo.</w:t>
      </w:r>
    </w:p>
    <w:p w14:paraId="334E92FC" w14:textId="5492DBDB" w:rsidR="007D3493" w:rsidRPr="00EC10EF" w:rsidRDefault="00896687" w:rsidP="007D3493">
      <w:pPr>
        <w:pStyle w:val="lisbonparagraph"/>
        <w:spacing w:after="0" w:line="360" w:lineRule="auto"/>
        <w:ind w:firstLine="709"/>
        <w:rPr>
          <w:sz w:val="24"/>
          <w:szCs w:val="24"/>
        </w:rPr>
      </w:pPr>
      <w:r w:rsidRPr="008F0840">
        <w:rPr>
          <w:sz w:val="24"/>
          <w:szCs w:val="24"/>
          <w:lang w:val="pt-BR"/>
        </w:rPr>
        <w:t xml:space="preserve">O objetivo </w:t>
      </w:r>
      <w:r w:rsidR="007D3493">
        <w:rPr>
          <w:sz w:val="24"/>
          <w:szCs w:val="24"/>
          <w:lang w:val="pt-BR"/>
        </w:rPr>
        <w:t>deste estudo, ainda em andamento,</w:t>
      </w:r>
      <w:r w:rsidRPr="008F0840">
        <w:rPr>
          <w:sz w:val="24"/>
          <w:szCs w:val="24"/>
          <w:lang w:val="pt-BR"/>
        </w:rPr>
        <w:t xml:space="preserve"> é analisar a evolução das exportações do agronegócio brasileiro, no período 2000-201</w:t>
      </w:r>
      <w:r w:rsidR="00A12E0F" w:rsidRPr="008F0840">
        <w:rPr>
          <w:sz w:val="24"/>
          <w:szCs w:val="24"/>
          <w:lang w:val="pt-BR"/>
        </w:rPr>
        <w:t>8</w:t>
      </w:r>
      <w:r w:rsidRPr="008F0840">
        <w:rPr>
          <w:sz w:val="24"/>
          <w:szCs w:val="24"/>
          <w:lang w:val="pt-BR"/>
        </w:rPr>
        <w:t xml:space="preserve">, por produto e por destino, além de avaliar o grau de concentração das exportações do complexo soja, de carnes, </w:t>
      </w:r>
      <w:r w:rsidR="00A12E0F" w:rsidRPr="008F0840">
        <w:rPr>
          <w:sz w:val="24"/>
          <w:szCs w:val="24"/>
          <w:lang w:val="pt-BR"/>
        </w:rPr>
        <w:t xml:space="preserve">de produtos florestais e </w:t>
      </w:r>
      <w:r w:rsidRPr="008F0840">
        <w:rPr>
          <w:sz w:val="24"/>
          <w:szCs w:val="24"/>
          <w:lang w:val="pt-BR"/>
        </w:rPr>
        <w:t>do complexo sucroalcooleiro.</w:t>
      </w:r>
      <w:r w:rsidR="007D3493">
        <w:rPr>
          <w:sz w:val="24"/>
          <w:szCs w:val="24"/>
          <w:lang w:val="pt-BR"/>
        </w:rPr>
        <w:t xml:space="preserve"> Numa etapa futura desta pesquisa, serão analisados os </w:t>
      </w:r>
      <w:r w:rsidR="007D3493" w:rsidRPr="00184DCE">
        <w:rPr>
          <w:sz w:val="24"/>
          <w:szCs w:val="24"/>
          <w:lang w:val="pt-BR"/>
        </w:rPr>
        <w:t>impacto</w:t>
      </w:r>
      <w:r w:rsidR="007D3493">
        <w:rPr>
          <w:sz w:val="24"/>
          <w:szCs w:val="24"/>
          <w:lang w:val="pt-BR"/>
        </w:rPr>
        <w:t>s</w:t>
      </w:r>
      <w:r w:rsidR="007D3493" w:rsidRPr="00184DCE">
        <w:rPr>
          <w:sz w:val="24"/>
          <w:szCs w:val="24"/>
          <w:lang w:val="pt-BR"/>
        </w:rPr>
        <w:t xml:space="preserve"> da guerra comercial entre </w:t>
      </w:r>
      <w:r w:rsidR="007D3493">
        <w:rPr>
          <w:sz w:val="24"/>
          <w:szCs w:val="24"/>
          <w:lang w:val="pt-BR"/>
        </w:rPr>
        <w:t>Estados Unidos da América (EUA) e</w:t>
      </w:r>
      <w:r w:rsidR="007D3493" w:rsidRPr="00184DCE">
        <w:rPr>
          <w:sz w:val="24"/>
          <w:szCs w:val="24"/>
          <w:lang w:val="pt-BR"/>
        </w:rPr>
        <w:t xml:space="preserve"> China </w:t>
      </w:r>
      <w:r w:rsidR="007D3493">
        <w:rPr>
          <w:sz w:val="24"/>
          <w:szCs w:val="24"/>
          <w:lang w:val="pt-BR"/>
        </w:rPr>
        <w:t xml:space="preserve">e da saída do Reino Unido da União Europeia (UE), o BREXIT, </w:t>
      </w:r>
      <w:r w:rsidR="0054708D">
        <w:rPr>
          <w:sz w:val="24"/>
          <w:szCs w:val="24"/>
          <w:lang w:val="pt-BR"/>
        </w:rPr>
        <w:t xml:space="preserve">bem como o Acordo entre Mercado Comum do Sul (MERCOSUL) e UE </w:t>
      </w:r>
      <w:r w:rsidR="007D3493" w:rsidRPr="00184DCE">
        <w:rPr>
          <w:sz w:val="24"/>
          <w:szCs w:val="24"/>
          <w:lang w:val="pt-BR"/>
        </w:rPr>
        <w:t>sobre o agronegócio brasileiro</w:t>
      </w:r>
      <w:r w:rsidR="007D3493">
        <w:rPr>
          <w:sz w:val="24"/>
          <w:szCs w:val="24"/>
          <w:lang w:val="pt-BR"/>
        </w:rPr>
        <w:t>.</w:t>
      </w:r>
    </w:p>
    <w:p w14:paraId="3E6EFF0E" w14:textId="1D214FA1" w:rsidR="00896687" w:rsidRPr="008F0840" w:rsidRDefault="00896687" w:rsidP="007D3493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8F0840">
        <w:rPr>
          <w:sz w:val="24"/>
          <w:szCs w:val="24"/>
          <w:lang w:val="pt-BR"/>
        </w:rPr>
        <w:t>A metodologia empregada foi a revisão bibliográfica e a utilização da Razão de Concentração (CR</w:t>
      </w:r>
      <w:r w:rsidR="009A5491" w:rsidRPr="008F0840">
        <w:rPr>
          <w:sz w:val="24"/>
          <w:szCs w:val="24"/>
          <w:vertAlign w:val="subscript"/>
          <w:lang w:val="pt-BR"/>
        </w:rPr>
        <w:t>3</w:t>
      </w:r>
      <w:r w:rsidRPr="008F0840">
        <w:rPr>
          <w:sz w:val="24"/>
          <w:szCs w:val="24"/>
          <w:lang w:val="pt-BR"/>
        </w:rPr>
        <w:t>)</w:t>
      </w:r>
      <w:r w:rsidR="00BA0A05" w:rsidRPr="008F0840">
        <w:rPr>
          <w:sz w:val="24"/>
          <w:szCs w:val="24"/>
          <w:lang w:val="pt-BR"/>
        </w:rPr>
        <w:t>, que representa o grau de concentração a partir do</w:t>
      </w:r>
      <w:r w:rsidR="00BA0A05" w:rsidRPr="008F0840">
        <w:rPr>
          <w:sz w:val="24"/>
          <w:szCs w:val="24"/>
          <w:lang w:val="pt-BR" w:eastAsia="pt-BR"/>
        </w:rPr>
        <w:t xml:space="preserve"> somatório das parcelas de mercado dos três maiores países importadores destes </w:t>
      </w:r>
      <w:r w:rsidR="0041734D">
        <w:rPr>
          <w:sz w:val="24"/>
          <w:szCs w:val="24"/>
          <w:lang w:val="pt-BR" w:eastAsia="pt-BR"/>
        </w:rPr>
        <w:t>setores</w:t>
      </w:r>
      <w:r w:rsidR="00BA0A05" w:rsidRPr="008F0840">
        <w:rPr>
          <w:sz w:val="24"/>
          <w:szCs w:val="24"/>
          <w:lang w:val="pt-BR" w:eastAsia="pt-BR"/>
        </w:rPr>
        <w:t xml:space="preserve"> exportado</w:t>
      </w:r>
      <w:r w:rsidR="0041734D">
        <w:rPr>
          <w:sz w:val="24"/>
          <w:szCs w:val="24"/>
          <w:lang w:val="pt-BR" w:eastAsia="pt-BR"/>
        </w:rPr>
        <w:t>res</w:t>
      </w:r>
      <w:r w:rsidR="00BA0A05" w:rsidRPr="008F0840">
        <w:rPr>
          <w:sz w:val="24"/>
          <w:szCs w:val="24"/>
          <w:lang w:val="pt-BR" w:eastAsia="pt-BR"/>
        </w:rPr>
        <w:t xml:space="preserve"> </w:t>
      </w:r>
      <w:r w:rsidR="0041734D">
        <w:rPr>
          <w:sz w:val="24"/>
          <w:szCs w:val="24"/>
          <w:lang w:val="pt-BR" w:eastAsia="pt-BR"/>
        </w:rPr>
        <w:t>do</w:t>
      </w:r>
      <w:r w:rsidR="00BA0A05" w:rsidRPr="008F0840">
        <w:rPr>
          <w:sz w:val="24"/>
          <w:szCs w:val="24"/>
          <w:lang w:val="pt-BR" w:eastAsia="pt-BR"/>
        </w:rPr>
        <w:t xml:space="preserve"> Brasil. Quanto mais alto o valor, mais concentrado é o fluxo comercial para esses três principais destinos dos produtos do agronegócio brasileiro</w:t>
      </w:r>
      <w:r w:rsidRPr="008F0840">
        <w:rPr>
          <w:sz w:val="24"/>
          <w:szCs w:val="24"/>
          <w:lang w:val="pt-BR"/>
        </w:rPr>
        <w:t xml:space="preserve">. Para </w:t>
      </w:r>
      <w:r w:rsidR="002B26E4" w:rsidRPr="008F0840">
        <w:rPr>
          <w:sz w:val="24"/>
          <w:szCs w:val="24"/>
          <w:lang w:val="pt-BR"/>
        </w:rPr>
        <w:t xml:space="preserve">a coleta de informações, </w:t>
      </w:r>
      <w:r w:rsidR="00A12E0F" w:rsidRPr="008F0840">
        <w:rPr>
          <w:sz w:val="24"/>
          <w:szCs w:val="24"/>
          <w:lang w:val="pt-BR"/>
        </w:rPr>
        <w:t>foi</w:t>
      </w:r>
      <w:r w:rsidR="009A5491" w:rsidRPr="008F0840">
        <w:rPr>
          <w:sz w:val="24"/>
          <w:szCs w:val="24"/>
          <w:lang w:val="pt-BR"/>
        </w:rPr>
        <w:t xml:space="preserve"> </w:t>
      </w:r>
      <w:r w:rsidR="00DB6CCE" w:rsidRPr="008F0840">
        <w:rPr>
          <w:sz w:val="24"/>
          <w:szCs w:val="24"/>
          <w:lang w:val="pt-BR"/>
        </w:rPr>
        <w:t>utilizada</w:t>
      </w:r>
      <w:r w:rsidR="002B26E4" w:rsidRPr="008F0840">
        <w:rPr>
          <w:sz w:val="24"/>
          <w:szCs w:val="24"/>
          <w:lang w:val="pt-BR"/>
        </w:rPr>
        <w:t xml:space="preserve"> a base de dados </w:t>
      </w:r>
      <w:r w:rsidRPr="008F0840">
        <w:rPr>
          <w:sz w:val="24"/>
          <w:szCs w:val="24"/>
          <w:lang w:val="pt-BR"/>
        </w:rPr>
        <w:t>Estatísticas de Comércio Exterior do Agronegócio Brasileiro (</w:t>
      </w:r>
      <w:proofErr w:type="spellStart"/>
      <w:r w:rsidRPr="008F0840">
        <w:rPr>
          <w:sz w:val="24"/>
          <w:szCs w:val="24"/>
          <w:lang w:val="pt-BR"/>
        </w:rPr>
        <w:t>AgroStat</w:t>
      </w:r>
      <w:proofErr w:type="spellEnd"/>
      <w:r w:rsidRPr="008F0840">
        <w:rPr>
          <w:sz w:val="24"/>
          <w:szCs w:val="24"/>
          <w:lang w:val="pt-BR"/>
        </w:rPr>
        <w:t>), do Ministério da Agricultura, Pecuária e Abastecimento (MAPA</w:t>
      </w:r>
      <w:r w:rsidR="002B26E4" w:rsidRPr="008F0840">
        <w:rPr>
          <w:sz w:val="24"/>
          <w:szCs w:val="24"/>
          <w:shd w:val="clear" w:color="auto" w:fill="FFFFFF"/>
          <w:lang w:val="pt-BR"/>
        </w:rPr>
        <w:t>)</w:t>
      </w:r>
      <w:r w:rsidR="00954F14" w:rsidRPr="008F0840">
        <w:rPr>
          <w:rStyle w:val="apple-converted-space"/>
          <w:sz w:val="24"/>
          <w:szCs w:val="24"/>
          <w:shd w:val="clear" w:color="auto" w:fill="FFFFFF"/>
          <w:lang w:val="pt-BR"/>
        </w:rPr>
        <w:t>.</w:t>
      </w:r>
      <w:r w:rsidR="0041734D">
        <w:rPr>
          <w:rStyle w:val="apple-converted-space"/>
          <w:sz w:val="24"/>
          <w:szCs w:val="24"/>
          <w:shd w:val="clear" w:color="auto" w:fill="FFFFFF"/>
          <w:lang w:val="pt-BR"/>
        </w:rPr>
        <w:t xml:space="preserve"> Também foram analisadas as projeções de produção e de exportação destes setores, </w:t>
      </w:r>
      <w:r w:rsidR="0041734D">
        <w:rPr>
          <w:sz w:val="24"/>
          <w:szCs w:val="24"/>
          <w:lang w:val="pt-BR"/>
        </w:rPr>
        <w:t xml:space="preserve">entre as safras 2018/2019 e 2028/2029, </w:t>
      </w:r>
      <w:r w:rsidR="0041734D">
        <w:rPr>
          <w:rStyle w:val="apple-converted-space"/>
          <w:sz w:val="24"/>
          <w:szCs w:val="24"/>
          <w:shd w:val="clear" w:color="auto" w:fill="FFFFFF"/>
          <w:lang w:val="pt-BR"/>
        </w:rPr>
        <w:t>a partir também do MAPA.</w:t>
      </w:r>
    </w:p>
    <w:p w14:paraId="6710B40E" w14:textId="3ED46E22" w:rsidR="0071374B" w:rsidRPr="008F0840" w:rsidRDefault="00896687" w:rsidP="007D3493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8F0840">
        <w:rPr>
          <w:sz w:val="24"/>
          <w:szCs w:val="24"/>
          <w:lang w:val="pt-BR"/>
        </w:rPr>
        <w:t xml:space="preserve">O artigo está dividido em </w:t>
      </w:r>
      <w:r w:rsidR="002B26E4" w:rsidRPr="008F0840">
        <w:rPr>
          <w:sz w:val="24"/>
          <w:szCs w:val="24"/>
          <w:lang w:val="pt-BR"/>
        </w:rPr>
        <w:t xml:space="preserve">cinco seções, considerando a Introdução. Na segunda seção </w:t>
      </w:r>
      <w:r w:rsidR="00A12E0F" w:rsidRPr="008F0840">
        <w:rPr>
          <w:sz w:val="24"/>
          <w:szCs w:val="24"/>
          <w:lang w:val="pt-BR"/>
        </w:rPr>
        <w:t>foram abordadas as</w:t>
      </w:r>
      <w:r w:rsidR="002B26E4" w:rsidRPr="008F0840">
        <w:rPr>
          <w:sz w:val="24"/>
          <w:szCs w:val="24"/>
          <w:lang w:val="pt-BR"/>
        </w:rPr>
        <w:t xml:space="preserve"> exportações brasileiras do agronegócio. Os principais setores de exportação do agronegócio brasileiro foram </w:t>
      </w:r>
      <w:r w:rsidR="009A5491" w:rsidRPr="008F0840">
        <w:rPr>
          <w:sz w:val="24"/>
          <w:szCs w:val="24"/>
          <w:lang w:val="pt-BR"/>
        </w:rPr>
        <w:t>avaliados</w:t>
      </w:r>
      <w:r w:rsidR="002B26E4" w:rsidRPr="008F0840">
        <w:rPr>
          <w:sz w:val="24"/>
          <w:szCs w:val="24"/>
          <w:lang w:val="pt-BR"/>
        </w:rPr>
        <w:t xml:space="preserve"> na </w:t>
      </w:r>
      <w:r w:rsidR="00A12E0F" w:rsidRPr="008F0840">
        <w:rPr>
          <w:sz w:val="24"/>
          <w:szCs w:val="24"/>
          <w:lang w:val="pt-BR"/>
        </w:rPr>
        <w:t>terceira</w:t>
      </w:r>
      <w:r w:rsidR="002B26E4" w:rsidRPr="008F0840">
        <w:rPr>
          <w:sz w:val="24"/>
          <w:szCs w:val="24"/>
          <w:lang w:val="pt-BR"/>
        </w:rPr>
        <w:t xml:space="preserve"> seção. </w:t>
      </w:r>
      <w:r w:rsidR="00F00E45" w:rsidRPr="008F0840">
        <w:rPr>
          <w:sz w:val="24"/>
          <w:szCs w:val="24"/>
          <w:lang w:val="pt-BR"/>
        </w:rPr>
        <w:t xml:space="preserve">Na quarta seção, </w:t>
      </w:r>
      <w:r w:rsidR="0041734D">
        <w:rPr>
          <w:sz w:val="24"/>
          <w:szCs w:val="24"/>
          <w:lang w:val="pt-BR"/>
        </w:rPr>
        <w:t xml:space="preserve">discorreu-se acerca das projeções de produção e de exportação destes setores. </w:t>
      </w:r>
      <w:r w:rsidR="002B26E4" w:rsidRPr="008F0840">
        <w:rPr>
          <w:sz w:val="24"/>
          <w:szCs w:val="24"/>
          <w:lang w:val="pt-BR"/>
        </w:rPr>
        <w:t>Por fim, na quinta seção, foram apresentadas as considerações finais do artigo.</w:t>
      </w:r>
    </w:p>
    <w:p w14:paraId="360422D4" w14:textId="77777777" w:rsidR="0071374B" w:rsidRPr="008F0840" w:rsidRDefault="0071374B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719F609E" w14:textId="77777777" w:rsidR="002F098B" w:rsidRPr="008F0840" w:rsidRDefault="002F098B" w:rsidP="00A62506">
      <w:pPr>
        <w:spacing w:line="360" w:lineRule="auto"/>
        <w:rPr>
          <w:b/>
          <w:lang w:eastAsia="pt-PT"/>
        </w:rPr>
      </w:pPr>
      <w:r w:rsidRPr="008F0840">
        <w:rPr>
          <w:b/>
        </w:rPr>
        <w:br w:type="page"/>
      </w:r>
    </w:p>
    <w:p w14:paraId="1BA608EB" w14:textId="60E25E69" w:rsidR="0000536E" w:rsidRPr="008F0840" w:rsidRDefault="001F18E8" w:rsidP="00A62506">
      <w:pPr>
        <w:pStyle w:val="lisbonparagraph"/>
        <w:spacing w:after="0" w:line="360" w:lineRule="auto"/>
        <w:rPr>
          <w:b/>
          <w:sz w:val="24"/>
          <w:szCs w:val="24"/>
          <w:lang w:val="pt-BR"/>
        </w:rPr>
      </w:pPr>
      <w:r w:rsidRPr="008F0840">
        <w:rPr>
          <w:b/>
          <w:sz w:val="24"/>
          <w:szCs w:val="24"/>
          <w:lang w:val="pt-BR"/>
        </w:rPr>
        <w:lastRenderedPageBreak/>
        <w:t xml:space="preserve">2 </w:t>
      </w:r>
      <w:r w:rsidR="002F098B" w:rsidRPr="008F0840">
        <w:rPr>
          <w:b/>
          <w:sz w:val="24"/>
          <w:szCs w:val="24"/>
          <w:lang w:val="pt-BR"/>
        </w:rPr>
        <w:t>EXPORTAÇÕES BRASILEIRAS DO AGRONEGÓCIO</w:t>
      </w:r>
    </w:p>
    <w:p w14:paraId="116A4C65" w14:textId="77777777" w:rsidR="002F098B" w:rsidRPr="008F0840" w:rsidRDefault="002F098B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5A677710" w14:textId="370C5EC3" w:rsidR="00570209" w:rsidRPr="008F0840" w:rsidRDefault="0086321B" w:rsidP="00A62506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8F0840">
        <w:rPr>
          <w:sz w:val="24"/>
          <w:szCs w:val="24"/>
          <w:lang w:val="pt-BR"/>
        </w:rPr>
        <w:t>Em 201</w:t>
      </w:r>
      <w:r w:rsidR="007A2D01" w:rsidRPr="008F0840">
        <w:rPr>
          <w:sz w:val="24"/>
          <w:szCs w:val="24"/>
          <w:lang w:val="pt-BR"/>
        </w:rPr>
        <w:t>8</w:t>
      </w:r>
      <w:r w:rsidRPr="008F0840">
        <w:rPr>
          <w:sz w:val="24"/>
          <w:szCs w:val="24"/>
          <w:lang w:val="pt-BR"/>
        </w:rPr>
        <w:t xml:space="preserve">, </w:t>
      </w:r>
      <w:r w:rsidR="007A7C66" w:rsidRPr="008F0840">
        <w:rPr>
          <w:sz w:val="24"/>
          <w:szCs w:val="24"/>
          <w:lang w:val="pt-BR"/>
        </w:rPr>
        <w:t>42,4</w:t>
      </w:r>
      <w:r w:rsidR="0000536E" w:rsidRPr="008F0840">
        <w:rPr>
          <w:sz w:val="24"/>
          <w:szCs w:val="24"/>
          <w:lang w:val="pt-BR"/>
        </w:rPr>
        <w:t>% do total comercializado pelo país com o resto do mundo pertencia ao agronegócio. Em 2000, sua representação foi de 37,</w:t>
      </w:r>
      <w:r w:rsidRPr="008F0840">
        <w:rPr>
          <w:sz w:val="24"/>
          <w:szCs w:val="24"/>
          <w:lang w:val="pt-BR"/>
        </w:rPr>
        <w:t xml:space="preserve">4%, ou seja, uma variação de </w:t>
      </w:r>
      <w:r w:rsidR="008A5484" w:rsidRPr="008F0840">
        <w:rPr>
          <w:sz w:val="24"/>
          <w:szCs w:val="24"/>
          <w:lang w:val="pt-BR"/>
        </w:rPr>
        <w:t>13</w:t>
      </w:r>
      <w:r w:rsidR="00786424">
        <w:rPr>
          <w:sz w:val="24"/>
          <w:szCs w:val="24"/>
          <w:lang w:val="pt-BR"/>
        </w:rPr>
        <w:t>,0</w:t>
      </w:r>
      <w:r w:rsidR="0000536E" w:rsidRPr="008F0840">
        <w:rPr>
          <w:sz w:val="24"/>
          <w:szCs w:val="24"/>
          <w:lang w:val="pt-BR"/>
        </w:rPr>
        <w:t xml:space="preserve"> pontos percentuais no período. Também </w:t>
      </w:r>
      <w:r w:rsidR="00786424">
        <w:rPr>
          <w:sz w:val="24"/>
          <w:szCs w:val="24"/>
          <w:lang w:val="pt-BR"/>
        </w:rPr>
        <w:t>ocorreu</w:t>
      </w:r>
      <w:r w:rsidR="0000536E" w:rsidRPr="008F0840">
        <w:rPr>
          <w:sz w:val="24"/>
          <w:szCs w:val="24"/>
          <w:lang w:val="pt-BR"/>
        </w:rPr>
        <w:t xml:space="preserve"> o crescimento do superávit do agronegócio: em 2000, a balança comercial do agronegócio brasileiro apresentou superávit de US$</w:t>
      </w:r>
      <w:r w:rsidR="007A2D01" w:rsidRPr="008F0840">
        <w:rPr>
          <w:sz w:val="24"/>
          <w:szCs w:val="24"/>
          <w:lang w:val="pt-BR"/>
        </w:rPr>
        <w:t xml:space="preserve"> </w:t>
      </w:r>
      <w:r w:rsidR="0000536E" w:rsidRPr="008F0840">
        <w:rPr>
          <w:sz w:val="24"/>
          <w:szCs w:val="24"/>
          <w:lang w:val="pt-BR"/>
        </w:rPr>
        <w:t>14,8 bilhões; já em 201</w:t>
      </w:r>
      <w:r w:rsidR="007A2D01" w:rsidRPr="008F0840">
        <w:rPr>
          <w:sz w:val="24"/>
          <w:szCs w:val="24"/>
          <w:lang w:val="pt-BR"/>
        </w:rPr>
        <w:t>8</w:t>
      </w:r>
      <w:r w:rsidR="0000536E" w:rsidRPr="008F0840">
        <w:rPr>
          <w:sz w:val="24"/>
          <w:szCs w:val="24"/>
          <w:lang w:val="pt-BR"/>
        </w:rPr>
        <w:t xml:space="preserve">, a balança comercial fechou com um superávit de US$ </w:t>
      </w:r>
      <w:r w:rsidR="00E006E4" w:rsidRPr="008F0840">
        <w:rPr>
          <w:sz w:val="24"/>
          <w:szCs w:val="24"/>
          <w:lang w:val="pt-BR"/>
        </w:rPr>
        <w:t>87,6</w:t>
      </w:r>
      <w:r w:rsidR="0000536E" w:rsidRPr="008F0840">
        <w:rPr>
          <w:sz w:val="24"/>
          <w:szCs w:val="24"/>
          <w:lang w:val="pt-BR"/>
        </w:rPr>
        <w:t xml:space="preserve"> bilhões,</w:t>
      </w:r>
      <w:r w:rsidRPr="008F0840">
        <w:rPr>
          <w:sz w:val="24"/>
          <w:szCs w:val="24"/>
          <w:lang w:val="pt-BR"/>
        </w:rPr>
        <w:t xml:space="preserve"> representando um aumento de </w:t>
      </w:r>
      <w:r w:rsidR="00F6102F" w:rsidRPr="008F0840">
        <w:rPr>
          <w:sz w:val="24"/>
          <w:szCs w:val="24"/>
          <w:lang w:val="pt-BR"/>
        </w:rPr>
        <w:t>490</w:t>
      </w:r>
      <w:r w:rsidR="0000536E" w:rsidRPr="008F0840">
        <w:rPr>
          <w:sz w:val="24"/>
          <w:szCs w:val="24"/>
          <w:lang w:val="pt-BR"/>
        </w:rPr>
        <w:t>% no período.</w:t>
      </w:r>
      <w:r w:rsidR="00786424" w:rsidRPr="00786424">
        <w:rPr>
          <w:sz w:val="24"/>
          <w:szCs w:val="24"/>
          <w:lang w:val="pt-BR"/>
        </w:rPr>
        <w:t xml:space="preserve"> </w:t>
      </w:r>
      <w:r w:rsidR="00786424" w:rsidRPr="008F0840">
        <w:rPr>
          <w:sz w:val="24"/>
          <w:szCs w:val="24"/>
          <w:lang w:val="pt-BR"/>
        </w:rPr>
        <w:t>No Gráfico 1, observam-se as balanças comerciais brasileiras e do agronegócio.</w:t>
      </w:r>
    </w:p>
    <w:p w14:paraId="4E4F8045" w14:textId="77777777" w:rsidR="00570209" w:rsidRPr="008F0840" w:rsidRDefault="00570209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5AF8C0A4" w14:textId="3BF2847D" w:rsidR="0000536E" w:rsidRPr="008F0840" w:rsidRDefault="00837696" w:rsidP="00A62506">
      <w:pPr>
        <w:spacing w:line="360" w:lineRule="auto"/>
        <w:jc w:val="center"/>
      </w:pPr>
      <w:r w:rsidRPr="008F0840">
        <w:t xml:space="preserve">Gráfico </w:t>
      </w:r>
      <w:r w:rsidR="0000536E" w:rsidRPr="008F0840">
        <w:t>1: Balança comercial brasileira e balança comercial do agronegócio, em US$ bilhões – 2000</w:t>
      </w:r>
      <w:r w:rsidR="008957DE">
        <w:t>-</w:t>
      </w:r>
      <w:r w:rsidR="0000536E" w:rsidRPr="008F0840">
        <w:t>201</w:t>
      </w:r>
      <w:r w:rsidR="007A2D01" w:rsidRPr="008F0840">
        <w:t>8</w:t>
      </w:r>
    </w:p>
    <w:p w14:paraId="1AD73778" w14:textId="70BC6C91" w:rsidR="00837696" w:rsidRPr="008F0840" w:rsidRDefault="00837696" w:rsidP="00A62506">
      <w:pPr>
        <w:spacing w:line="360" w:lineRule="auto"/>
        <w:jc w:val="center"/>
      </w:pPr>
      <w:r w:rsidRPr="008F0840">
        <w:rPr>
          <w:noProof/>
        </w:rPr>
        <w:drawing>
          <wp:inline distT="0" distB="0" distL="0" distR="0" wp14:anchorId="079DDCA8" wp14:editId="22C5F02C">
            <wp:extent cx="5760085" cy="2727325"/>
            <wp:effectExtent l="0" t="0" r="12065" b="1587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C6B6FCF-488D-4026-99FA-2EA66350F5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7A483D" w14:textId="737034A7" w:rsidR="0000536E" w:rsidRPr="008F0840" w:rsidRDefault="0000536E" w:rsidP="00A62506">
      <w:pPr>
        <w:spacing w:line="360" w:lineRule="auto"/>
        <w:jc w:val="both"/>
        <w:rPr>
          <w:sz w:val="20"/>
          <w:szCs w:val="20"/>
        </w:rPr>
      </w:pPr>
      <w:r w:rsidRPr="008F0840">
        <w:rPr>
          <w:sz w:val="20"/>
          <w:szCs w:val="20"/>
        </w:rPr>
        <w:t>Fonte: Elaboração do</w:t>
      </w:r>
      <w:r w:rsidR="00663692" w:rsidRPr="008F0840">
        <w:rPr>
          <w:sz w:val="20"/>
          <w:szCs w:val="20"/>
        </w:rPr>
        <w:t>s</w:t>
      </w:r>
      <w:r w:rsidRPr="008F0840">
        <w:rPr>
          <w:sz w:val="20"/>
          <w:szCs w:val="20"/>
        </w:rPr>
        <w:t xml:space="preserve"> autor</w:t>
      </w:r>
      <w:r w:rsidR="00663692" w:rsidRPr="008F0840">
        <w:rPr>
          <w:sz w:val="20"/>
          <w:szCs w:val="20"/>
        </w:rPr>
        <w:t>es</w:t>
      </w:r>
      <w:r w:rsidRPr="008F0840">
        <w:rPr>
          <w:sz w:val="20"/>
          <w:szCs w:val="20"/>
        </w:rPr>
        <w:t xml:space="preserve"> a partir de Brasil (201</w:t>
      </w:r>
      <w:r w:rsidR="007A2D01" w:rsidRPr="008F0840">
        <w:rPr>
          <w:sz w:val="20"/>
          <w:szCs w:val="20"/>
        </w:rPr>
        <w:t>9</w:t>
      </w:r>
      <w:r w:rsidR="004E368E">
        <w:rPr>
          <w:sz w:val="20"/>
          <w:szCs w:val="20"/>
        </w:rPr>
        <w:t>a</w:t>
      </w:r>
      <w:r w:rsidRPr="008F0840">
        <w:rPr>
          <w:sz w:val="20"/>
          <w:szCs w:val="20"/>
        </w:rPr>
        <w:t>).</w:t>
      </w:r>
    </w:p>
    <w:p w14:paraId="5432172A" w14:textId="77777777" w:rsidR="0000536E" w:rsidRPr="008F0840" w:rsidRDefault="0000536E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20AF7948" w14:textId="165E1BAC" w:rsidR="0000536E" w:rsidRPr="008F0840" w:rsidRDefault="00786424" w:rsidP="00A62506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</w:t>
      </w:r>
      <w:r w:rsidR="0000536E" w:rsidRPr="008F0840">
        <w:rPr>
          <w:sz w:val="24"/>
          <w:szCs w:val="24"/>
          <w:lang w:val="pt-BR"/>
        </w:rPr>
        <w:t>s setores</w:t>
      </w:r>
      <w:r w:rsidR="00065F5A" w:rsidRPr="008F0840">
        <w:rPr>
          <w:sz w:val="24"/>
          <w:szCs w:val="24"/>
          <w:lang w:val="pt-BR"/>
        </w:rPr>
        <w:t xml:space="preserve"> do</w:t>
      </w:r>
      <w:r w:rsidR="0000536E" w:rsidRPr="008F0840">
        <w:rPr>
          <w:sz w:val="24"/>
          <w:szCs w:val="24"/>
          <w:lang w:val="pt-BR"/>
        </w:rPr>
        <w:t xml:space="preserve"> complexo soja, </w:t>
      </w:r>
      <w:r>
        <w:rPr>
          <w:sz w:val="24"/>
          <w:szCs w:val="24"/>
          <w:lang w:val="pt-BR"/>
        </w:rPr>
        <w:t xml:space="preserve">de </w:t>
      </w:r>
      <w:r w:rsidR="0000536E" w:rsidRPr="008F0840">
        <w:rPr>
          <w:sz w:val="24"/>
          <w:szCs w:val="24"/>
          <w:lang w:val="pt-BR"/>
        </w:rPr>
        <w:t xml:space="preserve">carnes, </w:t>
      </w:r>
      <w:r>
        <w:rPr>
          <w:sz w:val="24"/>
          <w:szCs w:val="24"/>
          <w:lang w:val="pt-BR"/>
        </w:rPr>
        <w:t xml:space="preserve">de </w:t>
      </w:r>
      <w:r w:rsidR="009E5E03" w:rsidRPr="008F0840">
        <w:rPr>
          <w:sz w:val="24"/>
          <w:szCs w:val="24"/>
          <w:lang w:val="pt-BR"/>
        </w:rPr>
        <w:t xml:space="preserve">produtos florestais e </w:t>
      </w:r>
      <w:r>
        <w:rPr>
          <w:sz w:val="24"/>
          <w:szCs w:val="24"/>
          <w:lang w:val="pt-BR"/>
        </w:rPr>
        <w:t xml:space="preserve">do </w:t>
      </w:r>
      <w:r w:rsidR="00896687" w:rsidRPr="008F0840">
        <w:rPr>
          <w:sz w:val="24"/>
          <w:szCs w:val="24"/>
          <w:lang w:val="pt-BR"/>
        </w:rPr>
        <w:t>complexo sucroalcooleiro</w:t>
      </w:r>
      <w:r w:rsidR="009E5E03" w:rsidRPr="008F0840">
        <w:rPr>
          <w:sz w:val="24"/>
          <w:szCs w:val="24"/>
          <w:lang w:val="pt-BR"/>
        </w:rPr>
        <w:t>,</w:t>
      </w:r>
      <w:r w:rsidR="0000536E" w:rsidRPr="008F0840">
        <w:rPr>
          <w:sz w:val="24"/>
          <w:szCs w:val="24"/>
          <w:lang w:val="pt-BR"/>
        </w:rPr>
        <w:t xml:space="preserve"> juntos, representaram </w:t>
      </w:r>
      <w:r w:rsidR="009A3F5C" w:rsidRPr="008F0840">
        <w:rPr>
          <w:sz w:val="24"/>
          <w:szCs w:val="24"/>
          <w:lang w:val="pt-BR"/>
        </w:rPr>
        <w:t>75,9</w:t>
      </w:r>
      <w:r w:rsidR="0000536E" w:rsidRPr="008F0840">
        <w:rPr>
          <w:sz w:val="24"/>
          <w:szCs w:val="24"/>
          <w:lang w:val="pt-BR"/>
        </w:rPr>
        <w:t>% do valor exportado pelo agronegócio no ano de 201</w:t>
      </w:r>
      <w:r w:rsidR="007A2D01" w:rsidRPr="008F0840">
        <w:rPr>
          <w:sz w:val="24"/>
          <w:szCs w:val="24"/>
          <w:lang w:val="pt-BR"/>
        </w:rPr>
        <w:t>8</w:t>
      </w:r>
      <w:r w:rsidR="0000536E" w:rsidRPr="008F0840">
        <w:rPr>
          <w:sz w:val="24"/>
          <w:szCs w:val="24"/>
          <w:lang w:val="pt-BR"/>
        </w:rPr>
        <w:t>. Em 2000, eles representavam 57,3% do valor comercializado pelo Brasil com o resto do mundo.</w:t>
      </w:r>
      <w:r w:rsidRPr="00786424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Neste período, houve um aumento de 18,6 pontos percentuais na representatividade deste conjunto de setores na pauta exportadora do agronegócio. </w:t>
      </w:r>
      <w:r w:rsidRPr="008F0840">
        <w:rPr>
          <w:sz w:val="24"/>
          <w:szCs w:val="24"/>
          <w:lang w:val="pt-BR"/>
        </w:rPr>
        <w:t>Na Tabela 1, são apresentados os produtos do agronegócio brasileiro exportados no período 2000/2018.</w:t>
      </w:r>
    </w:p>
    <w:p w14:paraId="06CC7C87" w14:textId="77777777" w:rsidR="0000536E" w:rsidRPr="008F0840" w:rsidRDefault="0000536E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7FCFC299" w14:textId="77777777" w:rsidR="00A62506" w:rsidRPr="008F0840" w:rsidRDefault="00A62506">
      <w:r w:rsidRPr="008F0840">
        <w:br w:type="page"/>
      </w:r>
    </w:p>
    <w:p w14:paraId="6DD1F173" w14:textId="5A6C1789" w:rsidR="0000536E" w:rsidRPr="008F0840" w:rsidRDefault="002F098B" w:rsidP="00A62506">
      <w:pPr>
        <w:spacing w:line="360" w:lineRule="auto"/>
        <w:jc w:val="center"/>
      </w:pPr>
      <w:r w:rsidRPr="008F0840">
        <w:lastRenderedPageBreak/>
        <w:t>Tabela</w:t>
      </w:r>
      <w:r w:rsidR="0000536E" w:rsidRPr="008F0840">
        <w:t xml:space="preserve"> </w:t>
      </w:r>
      <w:r w:rsidR="00837696" w:rsidRPr="008F0840">
        <w:t>1</w:t>
      </w:r>
      <w:r w:rsidR="0000536E" w:rsidRPr="008F0840">
        <w:t>: Exportações do agronegócio brasileiro por produtos – 2000/201</w:t>
      </w:r>
      <w:r w:rsidR="007A2D01" w:rsidRPr="008F0840">
        <w:t>8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57"/>
        <w:gridCol w:w="1129"/>
        <w:gridCol w:w="1257"/>
        <w:gridCol w:w="1129"/>
        <w:gridCol w:w="1159"/>
      </w:tblGrid>
      <w:tr w:rsidR="008F0840" w:rsidRPr="00786424" w14:paraId="13173EA9" w14:textId="77777777" w:rsidTr="00FC62B5">
        <w:trPr>
          <w:trHeight w:val="67"/>
        </w:trPr>
        <w:tc>
          <w:tcPr>
            <w:tcW w:w="1731" w:type="pct"/>
            <w:vMerge w:val="restart"/>
            <w:shd w:val="clear" w:color="000000" w:fill="FFFFFF"/>
            <w:noWrap/>
            <w:vAlign w:val="center"/>
          </w:tcPr>
          <w:p w14:paraId="2A28C1A3" w14:textId="7777777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Setores</w:t>
            </w:r>
            <w:r w:rsidRPr="00786424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15" w:type="pct"/>
            <w:gridSpan w:val="2"/>
            <w:shd w:val="clear" w:color="000000" w:fill="FFFFFF"/>
            <w:noWrap/>
            <w:vAlign w:val="center"/>
          </w:tcPr>
          <w:p w14:paraId="7899639A" w14:textId="55CCA65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201</w:t>
            </w:r>
            <w:r w:rsidR="00FA1FD9" w:rsidRPr="00786424">
              <w:rPr>
                <w:sz w:val="20"/>
                <w:szCs w:val="20"/>
              </w:rPr>
              <w:t>8</w:t>
            </w:r>
          </w:p>
        </w:tc>
        <w:tc>
          <w:tcPr>
            <w:tcW w:w="1315" w:type="pct"/>
            <w:gridSpan w:val="2"/>
            <w:shd w:val="clear" w:color="000000" w:fill="FFFFFF"/>
            <w:noWrap/>
            <w:vAlign w:val="center"/>
          </w:tcPr>
          <w:p w14:paraId="2F8EFF89" w14:textId="7777777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2000</w:t>
            </w:r>
          </w:p>
        </w:tc>
        <w:tc>
          <w:tcPr>
            <w:tcW w:w="639" w:type="pct"/>
            <w:vMerge w:val="restart"/>
            <w:shd w:val="clear" w:color="000000" w:fill="FFFFFF"/>
            <w:vAlign w:val="center"/>
          </w:tcPr>
          <w:p w14:paraId="1BEDF686" w14:textId="08A7E371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bCs/>
                <w:iCs/>
                <w:sz w:val="20"/>
                <w:szCs w:val="20"/>
              </w:rPr>
              <w:t xml:space="preserve">Variação em </w:t>
            </w:r>
            <w:proofErr w:type="spellStart"/>
            <w:r w:rsidRPr="00786424">
              <w:rPr>
                <w:bCs/>
                <w:iCs/>
                <w:sz w:val="20"/>
                <w:szCs w:val="20"/>
              </w:rPr>
              <w:t>p.p</w:t>
            </w:r>
            <w:proofErr w:type="spellEnd"/>
            <w:r w:rsidRPr="00786424">
              <w:rPr>
                <w:bCs/>
                <w:iCs/>
                <w:sz w:val="20"/>
                <w:szCs w:val="20"/>
              </w:rPr>
              <w:t>. (</w:t>
            </w:r>
            <w:r w:rsidR="00F00E45" w:rsidRPr="00786424">
              <w:rPr>
                <w:bCs/>
                <w:iCs/>
                <w:sz w:val="20"/>
                <w:szCs w:val="20"/>
              </w:rPr>
              <w:t>período</w:t>
            </w:r>
            <w:r w:rsidRPr="00786424"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8F0840" w:rsidRPr="00786424" w14:paraId="7AA741A8" w14:textId="77777777" w:rsidTr="00FC62B5">
        <w:trPr>
          <w:trHeight w:val="70"/>
        </w:trPr>
        <w:tc>
          <w:tcPr>
            <w:tcW w:w="1731" w:type="pct"/>
            <w:vMerge/>
            <w:shd w:val="clear" w:color="000000" w:fill="FFFFFF"/>
            <w:noWrap/>
            <w:vAlign w:val="center"/>
          </w:tcPr>
          <w:p w14:paraId="7DCB93E9" w14:textId="7777777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05F64C88" w14:textId="77777777" w:rsidR="00267537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Valor</w:t>
            </w:r>
          </w:p>
          <w:p w14:paraId="54E2ACAF" w14:textId="7777777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(US$ bilhões)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1707A705" w14:textId="77777777" w:rsidR="00267537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Participação</w:t>
            </w:r>
          </w:p>
          <w:p w14:paraId="1B9F1E72" w14:textId="7777777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(%)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425FB4A9" w14:textId="77777777" w:rsidR="00267537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Valor</w:t>
            </w:r>
          </w:p>
          <w:p w14:paraId="6CA2888A" w14:textId="7777777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(US$ bilhões)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325D0B79" w14:textId="77777777" w:rsidR="00267537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Participação</w:t>
            </w:r>
          </w:p>
          <w:p w14:paraId="368DE5D1" w14:textId="7777777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(%)</w:t>
            </w:r>
          </w:p>
        </w:tc>
        <w:tc>
          <w:tcPr>
            <w:tcW w:w="639" w:type="pct"/>
            <w:vMerge/>
            <w:shd w:val="clear" w:color="000000" w:fill="FFFFFF"/>
            <w:vAlign w:val="center"/>
          </w:tcPr>
          <w:p w14:paraId="7CB659FD" w14:textId="77777777" w:rsidR="0000536E" w:rsidRPr="00786424" w:rsidRDefault="0000536E" w:rsidP="00A62506">
            <w:pPr>
              <w:jc w:val="center"/>
              <w:rPr>
                <w:sz w:val="20"/>
                <w:szCs w:val="20"/>
              </w:rPr>
            </w:pPr>
          </w:p>
        </w:tc>
      </w:tr>
      <w:tr w:rsidR="00FC62B5" w:rsidRPr="00786424" w14:paraId="7BD31F99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7D8EC8E2" w14:textId="0F74EF8B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Complexo soja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69BD73DF" w14:textId="4B3A3C79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40,9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24130FE6" w14:textId="1F2AE7C5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0A55B4E3" w14:textId="40A1B74B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15092323" w14:textId="2F5469F0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1A95B1CF" w14:textId="6D1C9E12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>9</w:t>
            </w:r>
          </w:p>
        </w:tc>
      </w:tr>
      <w:tr w:rsidR="00FC62B5" w:rsidRPr="00786424" w14:paraId="64C192CB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6D7022C5" w14:textId="38D51252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Carnes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01F2D8E1" w14:textId="0C0C4361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14,7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5C76E636" w14:textId="0979404D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586A817B" w14:textId="4031192A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08F630B1" w14:textId="16EBF297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67B6A414" w14:textId="518A7C77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FC62B5" w:rsidRPr="00786424" w14:paraId="2AC919E4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7129556D" w14:textId="0716ED4E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Produtos florestais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59BF3513" w14:textId="406AAE28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14,1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17640B1F" w14:textId="778B0F6E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740B6958" w14:textId="0D5EA567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74D540F0" w14:textId="1DA7D1F1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34292DA6" w14:textId="48D5BE24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-7,5</w:t>
            </w:r>
          </w:p>
        </w:tc>
      </w:tr>
      <w:tr w:rsidR="00FC62B5" w:rsidRPr="00786424" w14:paraId="2F87A0D2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7FF2F878" w14:textId="64B2B236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Complexo sucroalcooleiro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27332016" w14:textId="11D1199B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7,4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6F62B5A5" w14:textId="58899396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38DF69FC" w14:textId="7A53E221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6DF1C9E0" w14:textId="3377B753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6FDA94B4" w14:textId="4AEC4DE8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1,3</w:t>
            </w:r>
          </w:p>
        </w:tc>
      </w:tr>
      <w:tr w:rsidR="00FC62B5" w:rsidRPr="00786424" w14:paraId="23C1EFA8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013173A1" w14:textId="5E33EFC1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Café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612DAB12" w14:textId="64B1E982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5,0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3008CB9A" w14:textId="049D80A0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5C778DC3" w14:textId="52D221A6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7186623B" w14:textId="594E9D07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4B735CF5" w14:textId="4B8ECB44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-3,</w:t>
            </w:r>
            <w:r>
              <w:rPr>
                <w:sz w:val="20"/>
                <w:szCs w:val="20"/>
              </w:rPr>
              <w:t>8</w:t>
            </w:r>
          </w:p>
        </w:tc>
      </w:tr>
      <w:tr w:rsidR="00FC62B5" w:rsidRPr="00786424" w14:paraId="0F19B0A9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6213D2E6" w14:textId="4D84C6EA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Cereais, farinhas e preparações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2D8EBDB6" w14:textId="7847B874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4,8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5810C821" w14:textId="4B55CF9E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16DA921A" w14:textId="5549BFD0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5A23A970" w14:textId="6EA4F35C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25281E28" w14:textId="4018C486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4,4</w:t>
            </w:r>
          </w:p>
        </w:tc>
      </w:tr>
      <w:tr w:rsidR="00FC62B5" w:rsidRPr="00786424" w14:paraId="471A5F25" w14:textId="77777777" w:rsidTr="00FC62B5">
        <w:trPr>
          <w:trHeight w:val="56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679B0BD9" w14:textId="3506D6C8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Sucos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42227679" w14:textId="7D8E246B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2,3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3F27D65A" w14:textId="61495FC0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7656FEBA" w14:textId="17DC9289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02772314" w14:textId="692AD94E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2F897355" w14:textId="306F6875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3,0</w:t>
            </w:r>
          </w:p>
        </w:tc>
      </w:tr>
      <w:tr w:rsidR="00FC62B5" w:rsidRPr="00786424" w14:paraId="5211EA75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59C0E20F" w14:textId="2C72B29B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Fibras e produtos têxteis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57AD4E90" w14:textId="5422EC42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2,0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2EABC07B" w14:textId="345E66FE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0E04042E" w14:textId="74B56255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4B2115DA" w14:textId="6FC86BF6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4F502E6D" w14:textId="3D071BF5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-2,1</w:t>
            </w:r>
          </w:p>
        </w:tc>
      </w:tr>
      <w:tr w:rsidR="00FC62B5" w:rsidRPr="00786424" w14:paraId="6852B14F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145C62B3" w14:textId="2F8CF84B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Fumo e seus produtos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3743187D" w14:textId="1BC326DB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2,0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240F3460" w14:textId="71D690E4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76590CDB" w14:textId="30D067E7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514F206C" w14:textId="0D42BABC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639BBA9B" w14:textId="54C85C78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-2,1</w:t>
            </w:r>
          </w:p>
        </w:tc>
      </w:tr>
      <w:tr w:rsidR="00FC62B5" w:rsidRPr="00786424" w14:paraId="431D2E11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bottom"/>
            <w:hideMark/>
          </w:tcPr>
          <w:p w14:paraId="47691E35" w14:textId="0579717F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Couros, produtos de couro e peleteria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26B8B06C" w14:textId="6817D11E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1,8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1654D88F" w14:textId="7B43FC93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500497B3" w14:textId="26DE986F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5B3C9F3E" w14:textId="16CA10F8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3FB5F8F9" w14:textId="2DB1A864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-8,</w:t>
            </w:r>
            <w:r>
              <w:rPr>
                <w:sz w:val="20"/>
                <w:szCs w:val="20"/>
              </w:rPr>
              <w:t>7</w:t>
            </w:r>
          </w:p>
        </w:tc>
      </w:tr>
      <w:tr w:rsidR="00FC62B5" w:rsidRPr="00786424" w14:paraId="0A43B07B" w14:textId="77777777" w:rsidTr="00FC62B5">
        <w:trPr>
          <w:trHeight w:val="47"/>
        </w:trPr>
        <w:tc>
          <w:tcPr>
            <w:tcW w:w="1731" w:type="pct"/>
            <w:shd w:val="clear" w:color="000000" w:fill="FFFFFF"/>
            <w:noWrap/>
            <w:vAlign w:val="center"/>
            <w:hideMark/>
          </w:tcPr>
          <w:p w14:paraId="517D1233" w14:textId="77777777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Demais produtos</w:t>
            </w:r>
          </w:p>
        </w:tc>
        <w:tc>
          <w:tcPr>
            <w:tcW w:w="693" w:type="pct"/>
            <w:shd w:val="clear" w:color="000000" w:fill="FFFFFF"/>
            <w:noWrap/>
            <w:vAlign w:val="center"/>
          </w:tcPr>
          <w:p w14:paraId="46300811" w14:textId="315B8006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6,5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3BB25057" w14:textId="674AB746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2C0DD1E" w14:textId="3B172F7D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7BEF949F" w14:textId="3A522863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639" w:type="pct"/>
            <w:shd w:val="clear" w:color="000000" w:fill="FFFFFF"/>
            <w:vAlign w:val="center"/>
          </w:tcPr>
          <w:p w14:paraId="312597F7" w14:textId="1395C1B3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-3,3</w:t>
            </w:r>
          </w:p>
        </w:tc>
      </w:tr>
      <w:tr w:rsidR="00FC62B5" w:rsidRPr="00786424" w14:paraId="17D67A0F" w14:textId="77777777" w:rsidTr="00FC62B5">
        <w:trPr>
          <w:trHeight w:val="70"/>
        </w:trPr>
        <w:tc>
          <w:tcPr>
            <w:tcW w:w="1731" w:type="pct"/>
            <w:shd w:val="clear" w:color="000000" w:fill="FFFFFF"/>
            <w:noWrap/>
            <w:vAlign w:val="center"/>
            <w:hideMark/>
          </w:tcPr>
          <w:p w14:paraId="61D618AD" w14:textId="77777777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Total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D7D9550" w14:textId="2125FFAF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bCs/>
                <w:sz w:val="20"/>
                <w:szCs w:val="20"/>
              </w:rPr>
              <w:t>101,7</w:t>
            </w: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05D6108F" w14:textId="59A8323B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045E00C" w14:textId="0D8AB7D3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622" w:type="pct"/>
            <w:shd w:val="clear" w:color="auto" w:fill="auto"/>
            <w:noWrap/>
            <w:vAlign w:val="center"/>
          </w:tcPr>
          <w:p w14:paraId="13B0D247" w14:textId="2375EFFD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39" w:type="pct"/>
            <w:vAlign w:val="center"/>
          </w:tcPr>
          <w:p w14:paraId="017F9DD4" w14:textId="0C6C9308" w:rsidR="00FC62B5" w:rsidRPr="00786424" w:rsidRDefault="00FC62B5" w:rsidP="00FC62B5">
            <w:pPr>
              <w:jc w:val="center"/>
              <w:rPr>
                <w:sz w:val="20"/>
                <w:szCs w:val="20"/>
              </w:rPr>
            </w:pPr>
            <w:r w:rsidRPr="00786424">
              <w:rPr>
                <w:sz w:val="20"/>
                <w:szCs w:val="20"/>
              </w:rPr>
              <w:t>-</w:t>
            </w:r>
          </w:p>
        </w:tc>
      </w:tr>
    </w:tbl>
    <w:p w14:paraId="1A154549" w14:textId="17BF08A8" w:rsidR="0000536E" w:rsidRPr="008F0840" w:rsidRDefault="0000536E" w:rsidP="00A62506">
      <w:pPr>
        <w:spacing w:line="360" w:lineRule="auto"/>
        <w:jc w:val="both"/>
        <w:rPr>
          <w:sz w:val="20"/>
          <w:szCs w:val="20"/>
        </w:rPr>
      </w:pPr>
      <w:r w:rsidRPr="008F0840">
        <w:rPr>
          <w:sz w:val="20"/>
          <w:szCs w:val="20"/>
        </w:rPr>
        <w:t>Fonte: Elaboração do</w:t>
      </w:r>
      <w:r w:rsidR="00663692" w:rsidRPr="008F0840">
        <w:rPr>
          <w:sz w:val="20"/>
          <w:szCs w:val="20"/>
        </w:rPr>
        <w:t>s</w:t>
      </w:r>
      <w:r w:rsidRPr="008F0840">
        <w:rPr>
          <w:sz w:val="20"/>
          <w:szCs w:val="20"/>
        </w:rPr>
        <w:t xml:space="preserve"> autor</w:t>
      </w:r>
      <w:r w:rsidR="00663692" w:rsidRPr="008F0840">
        <w:rPr>
          <w:sz w:val="20"/>
          <w:szCs w:val="20"/>
        </w:rPr>
        <w:t>es</w:t>
      </w:r>
      <w:r w:rsidRPr="008F0840">
        <w:rPr>
          <w:sz w:val="20"/>
          <w:szCs w:val="20"/>
        </w:rPr>
        <w:t xml:space="preserve"> a partir de Brasil (201</w:t>
      </w:r>
      <w:r w:rsidR="007A2D01" w:rsidRPr="008F0840">
        <w:rPr>
          <w:sz w:val="20"/>
          <w:szCs w:val="20"/>
        </w:rPr>
        <w:t>9</w:t>
      </w:r>
      <w:r w:rsidR="00EB4ECA" w:rsidRPr="008F0840">
        <w:rPr>
          <w:sz w:val="20"/>
          <w:szCs w:val="20"/>
        </w:rPr>
        <w:t>a</w:t>
      </w:r>
      <w:r w:rsidRPr="008F0840">
        <w:rPr>
          <w:sz w:val="20"/>
          <w:szCs w:val="20"/>
        </w:rPr>
        <w:t>). Nota: (</w:t>
      </w:r>
      <w:r w:rsidRPr="008F0840">
        <w:rPr>
          <w:sz w:val="20"/>
          <w:szCs w:val="20"/>
          <w:vertAlign w:val="superscript"/>
        </w:rPr>
        <w:t>*</w:t>
      </w:r>
      <w:r w:rsidRPr="008F0840">
        <w:rPr>
          <w:sz w:val="20"/>
          <w:szCs w:val="20"/>
        </w:rPr>
        <w:t xml:space="preserve">) </w:t>
      </w:r>
      <w:r w:rsidRPr="008F0840">
        <w:rPr>
          <w:i/>
          <w:sz w:val="20"/>
          <w:szCs w:val="20"/>
        </w:rPr>
        <w:t>Ranking</w:t>
      </w:r>
      <w:r w:rsidRPr="008F0840">
        <w:rPr>
          <w:sz w:val="20"/>
          <w:szCs w:val="20"/>
        </w:rPr>
        <w:t xml:space="preserve"> de 201</w:t>
      </w:r>
      <w:r w:rsidR="007A2D01" w:rsidRPr="008F0840">
        <w:rPr>
          <w:sz w:val="20"/>
          <w:szCs w:val="20"/>
        </w:rPr>
        <w:t>8</w:t>
      </w:r>
      <w:r w:rsidRPr="008F0840">
        <w:rPr>
          <w:sz w:val="20"/>
          <w:szCs w:val="20"/>
        </w:rPr>
        <w:t>.</w:t>
      </w:r>
    </w:p>
    <w:p w14:paraId="3D0FBCA8" w14:textId="77777777" w:rsidR="0000536E" w:rsidRPr="008F0840" w:rsidRDefault="0000536E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37E1C6AF" w14:textId="2023B11B" w:rsidR="00FD392D" w:rsidRPr="008F0840" w:rsidRDefault="00372704" w:rsidP="00A62506">
      <w:pPr>
        <w:spacing w:line="360" w:lineRule="auto"/>
        <w:ind w:firstLine="709"/>
        <w:jc w:val="both"/>
      </w:pPr>
      <w:r w:rsidRPr="008F0840">
        <w:t xml:space="preserve">Houve crescimento expressivo da participação da China </w:t>
      </w:r>
      <w:r w:rsidR="007231C7" w:rsidRPr="008F0840">
        <w:t>no total de exportações, com uma variação de 32,</w:t>
      </w:r>
      <w:r w:rsidR="00590B0B">
        <w:t>3</w:t>
      </w:r>
      <w:r w:rsidR="007231C7" w:rsidRPr="008F0840">
        <w:t xml:space="preserve"> pontos percentuais no período</w:t>
      </w:r>
      <w:r w:rsidR="0046276D" w:rsidRPr="008F0840">
        <w:t xml:space="preserve">, passando a ser o maior </w:t>
      </w:r>
      <w:r w:rsidR="00833359" w:rsidRPr="008F0840">
        <w:t>comprador.</w:t>
      </w:r>
      <w:r w:rsidR="0000560C" w:rsidRPr="008F0840">
        <w:t xml:space="preserve"> A União </w:t>
      </w:r>
      <w:r w:rsidR="0072208B" w:rsidRPr="008F0840">
        <w:t>Europeia</w:t>
      </w:r>
      <w:r w:rsidR="00590B0B">
        <w:t xml:space="preserve"> (UE)</w:t>
      </w:r>
      <w:r w:rsidR="0000560C" w:rsidRPr="008F0840">
        <w:t xml:space="preserve">, que em 2000 era o maior parceiro comercial do país, comprando </w:t>
      </w:r>
      <w:r w:rsidR="005C2AAA" w:rsidRPr="008F0840">
        <w:t>cerca de 41% do total da produção, teve retração de 23,5</w:t>
      </w:r>
      <w:r w:rsidR="00590B0B">
        <w:t xml:space="preserve"> pontos </w:t>
      </w:r>
      <w:r w:rsidR="00FC62B5">
        <w:t>percentuais</w:t>
      </w:r>
      <w:r w:rsidR="005C2AAA" w:rsidRPr="008F0840">
        <w:t xml:space="preserve">, </w:t>
      </w:r>
      <w:r w:rsidR="00324386" w:rsidRPr="008F0840">
        <w:t>mantendo-se,</w:t>
      </w:r>
      <w:r w:rsidR="005C2AAA" w:rsidRPr="008F0840">
        <w:t xml:space="preserve"> no entan</w:t>
      </w:r>
      <w:r w:rsidR="0072208B" w:rsidRPr="008F0840">
        <w:t>t</w:t>
      </w:r>
      <w:r w:rsidR="005C2AAA" w:rsidRPr="008F0840">
        <w:t>o, entre os maiores compradores</w:t>
      </w:r>
      <w:r w:rsidR="00590B0B">
        <w:t xml:space="preserve"> e</w:t>
      </w:r>
      <w:r w:rsidR="005C2AAA" w:rsidRPr="008F0840">
        <w:t xml:space="preserve"> ocupando a segunda colocação </w:t>
      </w:r>
      <w:r w:rsidR="0072208B" w:rsidRPr="008F0840">
        <w:t xml:space="preserve">em 2018 no total de exportações. </w:t>
      </w:r>
      <w:r w:rsidR="00590B0B">
        <w:t xml:space="preserve">Na </w:t>
      </w:r>
      <w:r w:rsidR="00590B0B" w:rsidRPr="008F0840">
        <w:t>Tabela 2, observam-se os principais parceiros comerciais do agronegócio brasileiro no período 2000/2018.</w:t>
      </w:r>
    </w:p>
    <w:p w14:paraId="604A4D58" w14:textId="77777777" w:rsidR="0000536E" w:rsidRPr="008F0840" w:rsidRDefault="0000536E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1D8616E4" w14:textId="2CAEE872" w:rsidR="0000536E" w:rsidRPr="008F0840" w:rsidRDefault="002F098B" w:rsidP="00A62506">
      <w:pPr>
        <w:spacing w:line="360" w:lineRule="auto"/>
        <w:jc w:val="center"/>
      </w:pPr>
      <w:r w:rsidRPr="008F0840">
        <w:t>Tabela</w:t>
      </w:r>
      <w:r w:rsidR="0000536E" w:rsidRPr="008F0840">
        <w:t xml:space="preserve"> </w:t>
      </w:r>
      <w:r w:rsidR="00F00E45" w:rsidRPr="008F0840">
        <w:t>2</w:t>
      </w:r>
      <w:r w:rsidR="0000536E" w:rsidRPr="008F0840">
        <w:t>: Exportações do agronegócio brasileiro por destinos – 2000/201</w:t>
      </w:r>
      <w:r w:rsidR="007A2D01" w:rsidRPr="008F0840">
        <w:t>8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1"/>
        <w:gridCol w:w="1328"/>
        <w:gridCol w:w="1328"/>
        <w:gridCol w:w="1328"/>
        <w:gridCol w:w="1328"/>
        <w:gridCol w:w="1678"/>
      </w:tblGrid>
      <w:tr w:rsidR="008F0840" w:rsidRPr="00590B0B" w14:paraId="3375A7DB" w14:textId="77777777" w:rsidTr="00544A1E">
        <w:trPr>
          <w:trHeight w:val="37"/>
        </w:trPr>
        <w:tc>
          <w:tcPr>
            <w:tcW w:w="1147" w:type="pct"/>
            <w:vMerge w:val="restart"/>
            <w:shd w:val="clear" w:color="auto" w:fill="auto"/>
            <w:noWrap/>
            <w:vAlign w:val="center"/>
          </w:tcPr>
          <w:p w14:paraId="3C28EE36" w14:textId="77777777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País/Bloco</w:t>
            </w:r>
            <w:r w:rsidRPr="00590B0B"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64" w:type="pct"/>
            <w:gridSpan w:val="2"/>
            <w:shd w:val="clear" w:color="000000" w:fill="FFFFFF"/>
            <w:noWrap/>
            <w:vAlign w:val="center"/>
          </w:tcPr>
          <w:p w14:paraId="09476F1A" w14:textId="017961B3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201</w:t>
            </w:r>
            <w:r w:rsidR="007A2D01" w:rsidRPr="00590B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64" w:type="pct"/>
            <w:gridSpan w:val="2"/>
            <w:shd w:val="clear" w:color="auto" w:fill="auto"/>
            <w:noWrap/>
            <w:vAlign w:val="center"/>
          </w:tcPr>
          <w:p w14:paraId="147DF7FD" w14:textId="77777777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925" w:type="pct"/>
            <w:vMerge w:val="restart"/>
            <w:vAlign w:val="center"/>
          </w:tcPr>
          <w:p w14:paraId="3F9F5996" w14:textId="7D1A1CA6" w:rsidR="00B6164A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 xml:space="preserve">Variação em </w:t>
            </w:r>
            <w:proofErr w:type="spellStart"/>
            <w:r w:rsidRPr="00590B0B">
              <w:rPr>
                <w:bCs/>
                <w:sz w:val="20"/>
                <w:szCs w:val="20"/>
              </w:rPr>
              <w:t>p.p</w:t>
            </w:r>
            <w:proofErr w:type="spellEnd"/>
            <w:r w:rsidRPr="00590B0B">
              <w:rPr>
                <w:bCs/>
                <w:sz w:val="20"/>
                <w:szCs w:val="20"/>
              </w:rPr>
              <w:t>.</w:t>
            </w:r>
          </w:p>
          <w:p w14:paraId="5F3C9D91" w14:textId="30860C40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(</w:t>
            </w:r>
            <w:r w:rsidR="007A2D01" w:rsidRPr="00590B0B">
              <w:rPr>
                <w:bCs/>
                <w:sz w:val="20"/>
                <w:szCs w:val="20"/>
              </w:rPr>
              <w:t>período</w:t>
            </w:r>
            <w:r w:rsidRPr="00590B0B">
              <w:rPr>
                <w:bCs/>
                <w:sz w:val="20"/>
                <w:szCs w:val="20"/>
              </w:rPr>
              <w:t>)</w:t>
            </w:r>
          </w:p>
        </w:tc>
      </w:tr>
      <w:tr w:rsidR="008F0840" w:rsidRPr="00590B0B" w14:paraId="042C5096" w14:textId="77777777" w:rsidTr="00544A1E">
        <w:trPr>
          <w:trHeight w:val="64"/>
        </w:trPr>
        <w:tc>
          <w:tcPr>
            <w:tcW w:w="1147" w:type="pct"/>
            <w:vMerge/>
            <w:shd w:val="clear" w:color="auto" w:fill="auto"/>
            <w:noWrap/>
            <w:vAlign w:val="center"/>
            <w:hideMark/>
          </w:tcPr>
          <w:p w14:paraId="43B550C7" w14:textId="77777777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14:paraId="1DE8C26E" w14:textId="77777777" w:rsidR="00267537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Valor</w:t>
            </w:r>
          </w:p>
          <w:p w14:paraId="0577AB2A" w14:textId="77777777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(US$ bilhões)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14:paraId="5AEE1C62" w14:textId="77777777" w:rsidR="00267537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Participação</w:t>
            </w:r>
          </w:p>
          <w:p w14:paraId="7BC3C94B" w14:textId="77777777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(%)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210E3F74" w14:textId="77777777" w:rsidR="00267537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Valor</w:t>
            </w:r>
          </w:p>
          <w:p w14:paraId="3AA50CB3" w14:textId="77777777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(US$ bilhões)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68E4F469" w14:textId="77777777" w:rsidR="00267537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Participação</w:t>
            </w:r>
          </w:p>
          <w:p w14:paraId="328141A1" w14:textId="77777777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(%)</w:t>
            </w:r>
          </w:p>
        </w:tc>
        <w:tc>
          <w:tcPr>
            <w:tcW w:w="925" w:type="pct"/>
            <w:vMerge/>
            <w:vAlign w:val="center"/>
          </w:tcPr>
          <w:p w14:paraId="23BF7D08" w14:textId="77777777" w:rsidR="0000536E" w:rsidRPr="00590B0B" w:rsidRDefault="0000536E" w:rsidP="00A6250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62B5" w:rsidRPr="00590B0B" w14:paraId="720CBD36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</w:tcPr>
          <w:p w14:paraId="331C3235" w14:textId="5358FA52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China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5BBED912" w14:textId="58697E95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439A5BC2" w14:textId="7EC07FEB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3BF019D" w14:textId="058FA3FC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21AD993D" w14:textId="7EFD1B6D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1BDC6B4A" w14:textId="07A74C60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</w:tr>
      <w:tr w:rsidR="00FC62B5" w:rsidRPr="00590B0B" w14:paraId="097E90DB" w14:textId="77777777" w:rsidTr="00544A1E">
        <w:trPr>
          <w:trHeight w:val="113"/>
        </w:trPr>
        <w:tc>
          <w:tcPr>
            <w:tcW w:w="1147" w:type="pct"/>
            <w:shd w:val="clear" w:color="000000" w:fill="FFFFFF"/>
            <w:noWrap/>
            <w:vAlign w:val="center"/>
          </w:tcPr>
          <w:p w14:paraId="6DC3BDD2" w14:textId="69836BF8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UE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09560F36" w14:textId="34A8C17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45925013" w14:textId="02457B40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916D15B" w14:textId="1CD06CC5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B6A4B7B" w14:textId="53AE9C7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57DE62BB" w14:textId="133A8006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-23,5</w:t>
            </w:r>
          </w:p>
        </w:tc>
      </w:tr>
      <w:tr w:rsidR="00FC62B5" w:rsidRPr="00590B0B" w14:paraId="7F06BADA" w14:textId="77777777" w:rsidTr="004C0970">
        <w:trPr>
          <w:trHeight w:val="150"/>
        </w:trPr>
        <w:tc>
          <w:tcPr>
            <w:tcW w:w="1147" w:type="pct"/>
            <w:shd w:val="clear" w:color="000000" w:fill="FFFFFF"/>
            <w:noWrap/>
            <w:vAlign w:val="center"/>
          </w:tcPr>
          <w:p w14:paraId="5787CAC5" w14:textId="185D6CE5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EUA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0F7ABDAA" w14:textId="3F743A1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72CACAEB" w14:textId="4C3D0407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68D780FF" w14:textId="65C8D502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2E7C9892" w14:textId="0262DEF7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7CF5DC06" w14:textId="5DB4C1D7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-11,4</w:t>
            </w:r>
          </w:p>
        </w:tc>
      </w:tr>
      <w:tr w:rsidR="00FC62B5" w:rsidRPr="00590B0B" w14:paraId="75AC96A6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</w:tcPr>
          <w:p w14:paraId="403B33F5" w14:textId="67281D31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Hong Kong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3A451419" w14:textId="30B25DC0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0720D19C" w14:textId="71AA9BE4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1160EF0" w14:textId="52406A4F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647C8AF" w14:textId="58EBA8D3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5AEA9D97" w14:textId="3B92EC00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FC62B5" w:rsidRPr="00590B0B" w14:paraId="163FE8D5" w14:textId="77777777" w:rsidTr="00544A1E">
        <w:trPr>
          <w:trHeight w:val="109"/>
        </w:trPr>
        <w:tc>
          <w:tcPr>
            <w:tcW w:w="1147" w:type="pct"/>
            <w:shd w:val="clear" w:color="000000" w:fill="FFFFFF"/>
            <w:noWrap/>
            <w:vAlign w:val="center"/>
          </w:tcPr>
          <w:p w14:paraId="791C549D" w14:textId="65F33986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Irã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4EE7040B" w14:textId="2AEFBBE8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0F930153" w14:textId="4301281E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5A69323" w14:textId="52669F4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32677238" w14:textId="16487F34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45959347" w14:textId="423D0154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FC62B5" w:rsidRPr="00590B0B" w14:paraId="01702A49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</w:tcPr>
          <w:p w14:paraId="2CD3E548" w14:textId="2CB6EFDF" w:rsidR="00FC62B5" w:rsidRPr="00590B0B" w:rsidRDefault="00FC62B5" w:rsidP="00FC62B5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Japão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580FD3F2" w14:textId="051F27C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7242CE1E" w14:textId="735FBFB4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07EA41A0" w14:textId="2B6AEC06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40E439D1" w14:textId="127F973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0E8AE497" w14:textId="0281375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</w:tr>
      <w:tr w:rsidR="00FC62B5" w:rsidRPr="00590B0B" w14:paraId="71CDFED5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</w:tcPr>
          <w:p w14:paraId="4712D330" w14:textId="14205147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Coreia do Sul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383CB9C5" w14:textId="3C336F41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0CAF9E00" w14:textId="5B73F16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484D1AE6" w14:textId="705616C2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510DCC89" w14:textId="6122154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196C7B97" w14:textId="18E39633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C62B5" w:rsidRPr="00590B0B" w14:paraId="71C416B1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</w:tcPr>
          <w:p w14:paraId="06B62D50" w14:textId="3A944AEB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Arábia Saudita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5F51A53" w14:textId="74598EB8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76FFA7D5" w14:textId="64F32F13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48D693BC" w14:textId="25E84DC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6AEE68CA" w14:textId="10FFC04C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5736F0E3" w14:textId="700A55B0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FC62B5" w:rsidRPr="00590B0B" w14:paraId="3C179901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</w:tcPr>
          <w:p w14:paraId="0AA78987" w14:textId="29A5006F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Vietnã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5853B205" w14:textId="51B7D3B1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DE14994" w14:textId="20BB3F3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66D06B7C" w14:textId="0C4A2572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64B86124" w14:textId="5FEDC95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10738DE7" w14:textId="33D339D4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FC62B5" w:rsidRPr="00590B0B" w14:paraId="18046AB3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</w:tcPr>
          <w:p w14:paraId="70559D24" w14:textId="7E0A9B56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Tailândia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F7A6FDB" w14:textId="41E67430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3721EF1D" w14:textId="5A14D743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2BDEFB1C" w14:textId="625C4AF4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24543744" w14:textId="6759802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5" w:type="pct"/>
            <w:shd w:val="clear" w:color="000000" w:fill="FFFFFF"/>
            <w:vAlign w:val="center"/>
          </w:tcPr>
          <w:p w14:paraId="4DD8FA3A" w14:textId="7ED01E34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C62B5" w:rsidRPr="00590B0B" w14:paraId="6A5CD4BD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  <w:hideMark/>
          </w:tcPr>
          <w:p w14:paraId="7C7E1084" w14:textId="77777777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Demais países/blocos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0B4CA0B3" w14:textId="1F25D04C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15BDB98A" w14:textId="1A0CB408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2A8393B0" w14:textId="21B3318F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14C59564" w14:textId="58DA0B2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25" w:type="pct"/>
            <w:vAlign w:val="center"/>
          </w:tcPr>
          <w:p w14:paraId="7B00D79E" w14:textId="3A8FA7DC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</w:t>
            </w:r>
          </w:p>
        </w:tc>
      </w:tr>
      <w:tr w:rsidR="00FC62B5" w:rsidRPr="00590B0B" w14:paraId="04012985" w14:textId="77777777" w:rsidTr="00544A1E">
        <w:trPr>
          <w:trHeight w:val="47"/>
        </w:trPr>
        <w:tc>
          <w:tcPr>
            <w:tcW w:w="1147" w:type="pct"/>
            <w:shd w:val="clear" w:color="000000" w:fill="FFFFFF"/>
            <w:noWrap/>
            <w:vAlign w:val="center"/>
            <w:hideMark/>
          </w:tcPr>
          <w:p w14:paraId="065A38BF" w14:textId="77777777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>Total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4E3FA1F2" w14:textId="676BF338" w:rsidR="00FC62B5" w:rsidRPr="00590B0B" w:rsidRDefault="00FC62B5" w:rsidP="00FC62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101,7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14:paraId="7A34A158" w14:textId="50F67665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501EA467" w14:textId="2C65A44E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4295F1F0" w14:textId="5595A17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5" w:type="pct"/>
            <w:vAlign w:val="center"/>
          </w:tcPr>
          <w:p w14:paraId="0D6F5AF5" w14:textId="587FB65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3BA295DA" w14:textId="40765C48" w:rsidR="0000536E" w:rsidRPr="008F0840" w:rsidRDefault="0000536E" w:rsidP="00A62506">
      <w:pPr>
        <w:spacing w:line="360" w:lineRule="auto"/>
        <w:jc w:val="both"/>
        <w:rPr>
          <w:sz w:val="20"/>
          <w:szCs w:val="20"/>
        </w:rPr>
      </w:pPr>
      <w:r w:rsidRPr="008F0840">
        <w:rPr>
          <w:sz w:val="20"/>
          <w:szCs w:val="20"/>
        </w:rPr>
        <w:t>Fonte: Elaboração do</w:t>
      </w:r>
      <w:r w:rsidR="00663692" w:rsidRPr="008F0840">
        <w:rPr>
          <w:sz w:val="20"/>
          <w:szCs w:val="20"/>
        </w:rPr>
        <w:t>s</w:t>
      </w:r>
      <w:r w:rsidRPr="008F0840">
        <w:rPr>
          <w:sz w:val="20"/>
          <w:szCs w:val="20"/>
        </w:rPr>
        <w:t xml:space="preserve"> autor</w:t>
      </w:r>
      <w:r w:rsidR="00663692" w:rsidRPr="008F0840">
        <w:rPr>
          <w:sz w:val="20"/>
          <w:szCs w:val="20"/>
        </w:rPr>
        <w:t>es</w:t>
      </w:r>
      <w:r w:rsidRPr="008F0840">
        <w:rPr>
          <w:sz w:val="20"/>
          <w:szCs w:val="20"/>
        </w:rPr>
        <w:t xml:space="preserve"> a partir de Brasil (201</w:t>
      </w:r>
      <w:r w:rsidR="007A2D01" w:rsidRPr="008F0840">
        <w:rPr>
          <w:sz w:val="20"/>
          <w:szCs w:val="20"/>
        </w:rPr>
        <w:t>9</w:t>
      </w:r>
      <w:r w:rsidR="00EB4ECA" w:rsidRPr="008F0840">
        <w:rPr>
          <w:sz w:val="20"/>
          <w:szCs w:val="20"/>
        </w:rPr>
        <w:t>a</w:t>
      </w:r>
      <w:r w:rsidRPr="008F0840">
        <w:rPr>
          <w:sz w:val="20"/>
          <w:szCs w:val="20"/>
        </w:rPr>
        <w:t>). Nota: (</w:t>
      </w:r>
      <w:r w:rsidRPr="008F0840">
        <w:rPr>
          <w:sz w:val="20"/>
          <w:szCs w:val="20"/>
          <w:vertAlign w:val="superscript"/>
        </w:rPr>
        <w:t>*</w:t>
      </w:r>
      <w:r w:rsidRPr="008F0840">
        <w:rPr>
          <w:sz w:val="20"/>
          <w:szCs w:val="20"/>
        </w:rPr>
        <w:t xml:space="preserve">) </w:t>
      </w:r>
      <w:r w:rsidRPr="008F0840">
        <w:rPr>
          <w:i/>
          <w:sz w:val="20"/>
          <w:szCs w:val="20"/>
        </w:rPr>
        <w:t>Ranking</w:t>
      </w:r>
      <w:r w:rsidRPr="008F0840">
        <w:rPr>
          <w:sz w:val="20"/>
          <w:szCs w:val="20"/>
        </w:rPr>
        <w:t xml:space="preserve"> de 201</w:t>
      </w:r>
      <w:r w:rsidR="007A2D01" w:rsidRPr="008F0840">
        <w:rPr>
          <w:sz w:val="20"/>
          <w:szCs w:val="20"/>
        </w:rPr>
        <w:t>8</w:t>
      </w:r>
      <w:r w:rsidRPr="008F0840">
        <w:rPr>
          <w:sz w:val="20"/>
          <w:szCs w:val="20"/>
        </w:rPr>
        <w:t>.</w:t>
      </w:r>
    </w:p>
    <w:p w14:paraId="675BB16C" w14:textId="77777777" w:rsidR="0000536E" w:rsidRPr="008F0840" w:rsidRDefault="0000536E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435F62B4" w14:textId="1480087F" w:rsidR="00590B0B" w:rsidRPr="008F0840" w:rsidRDefault="00590B0B" w:rsidP="00590B0B">
      <w:pPr>
        <w:spacing w:line="360" w:lineRule="auto"/>
        <w:ind w:firstLine="709"/>
        <w:jc w:val="both"/>
      </w:pPr>
      <w:r w:rsidRPr="008F0840">
        <w:t>A Argentina que era</w:t>
      </w:r>
      <w:r>
        <w:t>,</w:t>
      </w:r>
      <w:r w:rsidRPr="008F0840">
        <w:t xml:space="preserve"> em 2000</w:t>
      </w:r>
      <w:r>
        <w:t>,</w:t>
      </w:r>
      <w:r w:rsidRPr="008F0840">
        <w:t xml:space="preserve"> o terceiro maior parceiro comercial, em 2018 representava apenas 1,</w:t>
      </w:r>
      <w:r w:rsidR="00FC62B5">
        <w:t>5</w:t>
      </w:r>
      <w:r w:rsidRPr="008F0840">
        <w:t>% do total das exportações do país</w:t>
      </w:r>
      <w:r>
        <w:t>.</w:t>
      </w:r>
      <w:r w:rsidRPr="008F0840">
        <w:t xml:space="preserve"> </w:t>
      </w:r>
      <w:r>
        <w:t>O</w:t>
      </w:r>
      <w:r w:rsidRPr="008F0840">
        <w:t xml:space="preserve"> seu antigo lugar foi ocupado pelos EUA, que também reduziram a sua participação em 11,</w:t>
      </w:r>
      <w:r>
        <w:t>4</w:t>
      </w:r>
      <w:r w:rsidRPr="008F0840">
        <w:t xml:space="preserve"> pontos percentuais, se deslocando da </w:t>
      </w:r>
      <w:r w:rsidRPr="008F0840">
        <w:lastRenderedPageBreak/>
        <w:t>colocação de segundo maior comprador</w:t>
      </w:r>
      <w:r>
        <w:t>,</w:t>
      </w:r>
      <w:r w:rsidRPr="008F0840">
        <w:t xml:space="preserve"> em 2000, para o terceiro maior.</w:t>
      </w:r>
      <w:r>
        <w:t xml:space="preserve"> </w:t>
      </w:r>
      <w:r w:rsidRPr="008F0840">
        <w:t xml:space="preserve">A relação comercial com os países </w:t>
      </w:r>
      <w:r>
        <w:t>a</w:t>
      </w:r>
      <w:r w:rsidRPr="008F0840">
        <w:t>siáticos Vietnã e Tailândia teve aumento superior a 1</w:t>
      </w:r>
      <w:r>
        <w:t xml:space="preserve"> ponto percentual</w:t>
      </w:r>
      <w:r w:rsidRPr="008F0840">
        <w:t>. Enquanto que as transações do setor com o Japão sofreram retração de 2,</w:t>
      </w:r>
      <w:r>
        <w:t>7 pontos percentuais</w:t>
      </w:r>
      <w:r w:rsidRPr="008F0840">
        <w:t>.</w:t>
      </w:r>
      <w:r w:rsidRPr="00590B0B">
        <w:t xml:space="preserve"> </w:t>
      </w:r>
    </w:p>
    <w:p w14:paraId="43B26549" w14:textId="17A7A3FC" w:rsidR="0000536E" w:rsidRPr="008F0840" w:rsidRDefault="0000536E" w:rsidP="00A62506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8F0840">
        <w:rPr>
          <w:sz w:val="24"/>
          <w:szCs w:val="24"/>
          <w:lang w:val="pt-BR"/>
        </w:rPr>
        <w:t>Observou-se, portanto, que os setores que mais contribuíram para o crescimento do agronegócio brasileiro no comércio mundial foram complexo soja, carnes</w:t>
      </w:r>
      <w:r w:rsidR="00663692" w:rsidRPr="008F0840">
        <w:rPr>
          <w:sz w:val="24"/>
          <w:szCs w:val="24"/>
          <w:lang w:val="pt-BR"/>
        </w:rPr>
        <w:t xml:space="preserve">, </w:t>
      </w:r>
      <w:r w:rsidR="00590B0B" w:rsidRPr="008F0840">
        <w:rPr>
          <w:sz w:val="24"/>
          <w:szCs w:val="24"/>
          <w:lang w:val="pt-BR"/>
        </w:rPr>
        <w:t xml:space="preserve">produtos florestais </w:t>
      </w:r>
      <w:r w:rsidR="00590B0B">
        <w:rPr>
          <w:sz w:val="24"/>
          <w:szCs w:val="24"/>
          <w:lang w:val="pt-BR"/>
        </w:rPr>
        <w:t xml:space="preserve">e </w:t>
      </w:r>
      <w:r w:rsidR="00663692" w:rsidRPr="008F0840">
        <w:rPr>
          <w:sz w:val="24"/>
          <w:szCs w:val="24"/>
          <w:lang w:val="pt-BR"/>
        </w:rPr>
        <w:t>complexo sucroalcooleiro</w:t>
      </w:r>
      <w:r w:rsidRPr="008F0840">
        <w:rPr>
          <w:sz w:val="24"/>
          <w:szCs w:val="24"/>
          <w:lang w:val="pt-BR"/>
        </w:rPr>
        <w:t>. Além disso, China, UE e EUA são os principais parceiros comerciais do Brasil. Esses dados reforçam a importância do agronegócio para a economia nacional, contribuindo para a evolução positiva da balança comercial.</w:t>
      </w:r>
    </w:p>
    <w:p w14:paraId="53AF82D2" w14:textId="154AB824" w:rsidR="00A62506" w:rsidRDefault="00A62506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6E86FC64" w14:textId="77777777" w:rsidR="00590B0B" w:rsidRPr="008F0840" w:rsidRDefault="00590B0B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0304E9C6" w14:textId="674CC0ED" w:rsidR="00B80892" w:rsidRPr="008F0840" w:rsidRDefault="00B80892" w:rsidP="00B80892">
      <w:pPr>
        <w:spacing w:line="360" w:lineRule="auto"/>
        <w:rPr>
          <w:b/>
        </w:rPr>
      </w:pPr>
      <w:r w:rsidRPr="008F0840">
        <w:rPr>
          <w:b/>
        </w:rPr>
        <w:t xml:space="preserve">3 PRINCIPAIS SETORES DE EXPORTAÇÃO DO AGRONEGÓCIO BRASILEIRO </w:t>
      </w:r>
    </w:p>
    <w:p w14:paraId="6E88F1E5" w14:textId="77777777" w:rsidR="00B80892" w:rsidRPr="008F0840" w:rsidRDefault="00B80892" w:rsidP="00B80892">
      <w:pPr>
        <w:spacing w:line="360" w:lineRule="auto"/>
      </w:pPr>
    </w:p>
    <w:p w14:paraId="16B4DB67" w14:textId="77777777" w:rsidR="00B80892" w:rsidRPr="008F0840" w:rsidRDefault="00B80892" w:rsidP="00B80892">
      <w:pPr>
        <w:spacing w:line="360" w:lineRule="auto"/>
      </w:pPr>
      <w:r w:rsidRPr="008F0840">
        <w:t>3.1 COMPLEXO SOJA</w:t>
      </w:r>
    </w:p>
    <w:p w14:paraId="3351B68A" w14:textId="77777777" w:rsidR="00B80892" w:rsidRPr="008F0840" w:rsidRDefault="00B80892" w:rsidP="00B80892">
      <w:pPr>
        <w:spacing w:line="360" w:lineRule="auto"/>
        <w:jc w:val="both"/>
      </w:pPr>
    </w:p>
    <w:p w14:paraId="60D4A7D8" w14:textId="13272FBF" w:rsidR="00B80892" w:rsidRPr="00590B0B" w:rsidRDefault="00B80892" w:rsidP="00B80892">
      <w:pPr>
        <w:spacing w:line="360" w:lineRule="auto"/>
        <w:ind w:firstLine="709"/>
        <w:jc w:val="both"/>
      </w:pPr>
      <w:r w:rsidRPr="00590B0B">
        <w:t>Na Tabela 3, observam-se as exportações do complexo soja por subsetores em 2000 e em 2018. O subsetor que teve o maior crescimento verificado no período foi o de soja em grãos, exportando 15 vezes mais em valor e com 29</w:t>
      </w:r>
      <w:r w:rsidR="004E368E">
        <w:t>,0</w:t>
      </w:r>
      <w:r w:rsidRPr="00590B0B">
        <w:t>% de crescimento em relação à participação total no agrupamento. Os demais subsetores perderam participação relativa no grupo.</w:t>
      </w:r>
    </w:p>
    <w:p w14:paraId="5937EFE5" w14:textId="77777777" w:rsidR="00B80892" w:rsidRPr="00590B0B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51FB09A5" w14:textId="77777777" w:rsidR="00B80892" w:rsidRPr="008F0840" w:rsidRDefault="00B80892" w:rsidP="00B80892">
      <w:pPr>
        <w:tabs>
          <w:tab w:val="left" w:pos="4573"/>
          <w:tab w:val="left" w:pos="5432"/>
          <w:tab w:val="left" w:pos="6583"/>
          <w:tab w:val="left" w:pos="7388"/>
          <w:tab w:val="left" w:pos="8406"/>
        </w:tabs>
        <w:spacing w:line="360" w:lineRule="auto"/>
        <w:ind w:left="70"/>
        <w:jc w:val="center"/>
      </w:pPr>
      <w:r w:rsidRPr="008F0840">
        <w:t>Tabela 3: Exportações brasileiras do complexo soja por subsetores – 2000/2018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1716"/>
        <w:gridCol w:w="1718"/>
        <w:gridCol w:w="1716"/>
        <w:gridCol w:w="1718"/>
      </w:tblGrid>
      <w:tr w:rsidR="00B80892" w:rsidRPr="008F0840" w14:paraId="12D55180" w14:textId="77777777" w:rsidTr="00786424">
        <w:trPr>
          <w:trHeight w:val="54"/>
        </w:trPr>
        <w:tc>
          <w:tcPr>
            <w:tcW w:w="1214" w:type="pct"/>
            <w:vMerge w:val="restart"/>
            <w:shd w:val="clear" w:color="auto" w:fill="auto"/>
            <w:noWrap/>
            <w:vAlign w:val="center"/>
            <w:hideMark/>
          </w:tcPr>
          <w:p w14:paraId="26ADD689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Setor/Subsetores</w:t>
            </w:r>
          </w:p>
        </w:tc>
        <w:tc>
          <w:tcPr>
            <w:tcW w:w="1893" w:type="pct"/>
            <w:gridSpan w:val="2"/>
          </w:tcPr>
          <w:p w14:paraId="760C0634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893" w:type="pct"/>
            <w:gridSpan w:val="2"/>
            <w:vAlign w:val="center"/>
          </w:tcPr>
          <w:p w14:paraId="4657012F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2000</w:t>
            </w:r>
          </w:p>
        </w:tc>
      </w:tr>
      <w:tr w:rsidR="00B80892" w:rsidRPr="008F0840" w14:paraId="7FA2B838" w14:textId="77777777" w:rsidTr="00786424">
        <w:trPr>
          <w:trHeight w:val="54"/>
        </w:trPr>
        <w:tc>
          <w:tcPr>
            <w:tcW w:w="1214" w:type="pct"/>
            <w:vMerge/>
            <w:vAlign w:val="center"/>
            <w:hideMark/>
          </w:tcPr>
          <w:p w14:paraId="1CA464C8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69BB18DB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Valor (US$ bilhões)</w:t>
            </w:r>
          </w:p>
        </w:tc>
        <w:tc>
          <w:tcPr>
            <w:tcW w:w="947" w:type="pct"/>
            <w:vAlign w:val="center"/>
          </w:tcPr>
          <w:p w14:paraId="49B57F58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Peso (</w:t>
            </w:r>
            <w:r w:rsidRPr="008F0840">
              <w:rPr>
                <w:sz w:val="20"/>
                <w:szCs w:val="20"/>
              </w:rPr>
              <w:t>milhões toneladas</w:t>
            </w:r>
            <w:r w:rsidRPr="008F084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46" w:type="pct"/>
            <w:vAlign w:val="center"/>
          </w:tcPr>
          <w:p w14:paraId="52E3417D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Valor (US$ bilhões)</w:t>
            </w:r>
          </w:p>
        </w:tc>
        <w:tc>
          <w:tcPr>
            <w:tcW w:w="947" w:type="pct"/>
            <w:vAlign w:val="center"/>
          </w:tcPr>
          <w:p w14:paraId="73542F2D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Peso (</w:t>
            </w:r>
            <w:r w:rsidRPr="008F0840">
              <w:rPr>
                <w:sz w:val="20"/>
                <w:szCs w:val="20"/>
              </w:rPr>
              <w:t>milhões toneladas</w:t>
            </w:r>
            <w:r w:rsidRPr="008F0840">
              <w:rPr>
                <w:bCs/>
                <w:sz w:val="20"/>
                <w:szCs w:val="20"/>
              </w:rPr>
              <w:t>)</w:t>
            </w:r>
          </w:p>
        </w:tc>
      </w:tr>
      <w:tr w:rsidR="00FC62B5" w:rsidRPr="008F0840" w14:paraId="74E154F4" w14:textId="77777777" w:rsidTr="008648BB">
        <w:trPr>
          <w:trHeight w:val="64"/>
        </w:trPr>
        <w:tc>
          <w:tcPr>
            <w:tcW w:w="1214" w:type="pct"/>
            <w:shd w:val="clear" w:color="auto" w:fill="auto"/>
            <w:noWrap/>
            <w:vAlign w:val="center"/>
            <w:hideMark/>
          </w:tcPr>
          <w:p w14:paraId="20824BAF" w14:textId="77777777" w:rsidR="00FC62B5" w:rsidRPr="008F0840" w:rsidRDefault="00FC62B5" w:rsidP="00FC62B5">
            <w:pPr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Complexo soja</w:t>
            </w:r>
          </w:p>
        </w:tc>
        <w:tc>
          <w:tcPr>
            <w:tcW w:w="946" w:type="pct"/>
            <w:vAlign w:val="center"/>
          </w:tcPr>
          <w:p w14:paraId="419E3E7C" w14:textId="542BF0D2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947" w:type="pct"/>
            <w:vAlign w:val="center"/>
          </w:tcPr>
          <w:p w14:paraId="6ECFE094" w14:textId="261DD11E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37E77D2F" w14:textId="60C0F1E9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47" w:type="pct"/>
            <w:shd w:val="clear" w:color="000000" w:fill="FFFFFF"/>
            <w:vAlign w:val="center"/>
          </w:tcPr>
          <w:p w14:paraId="46BA51CF" w14:textId="4F2C037B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FC62B5" w:rsidRPr="008F0840" w14:paraId="5A13BEF8" w14:textId="77777777" w:rsidTr="008648BB">
        <w:trPr>
          <w:trHeight w:val="53"/>
        </w:trPr>
        <w:tc>
          <w:tcPr>
            <w:tcW w:w="1214" w:type="pct"/>
            <w:shd w:val="clear" w:color="auto" w:fill="auto"/>
            <w:noWrap/>
            <w:vAlign w:val="center"/>
            <w:hideMark/>
          </w:tcPr>
          <w:p w14:paraId="0384FDEB" w14:textId="77777777" w:rsidR="00FC62B5" w:rsidRPr="008F0840" w:rsidRDefault="00FC62B5" w:rsidP="00FC62B5">
            <w:pPr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Soja em grãos</w:t>
            </w:r>
          </w:p>
        </w:tc>
        <w:tc>
          <w:tcPr>
            <w:tcW w:w="946" w:type="pct"/>
            <w:vAlign w:val="center"/>
          </w:tcPr>
          <w:p w14:paraId="200DDBCB" w14:textId="7E7D8EA7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947" w:type="pct"/>
            <w:vAlign w:val="center"/>
          </w:tcPr>
          <w:p w14:paraId="4EB5AFCB" w14:textId="0DCEF0E8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2B25EFAA" w14:textId="380414E5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47" w:type="pct"/>
            <w:shd w:val="clear" w:color="000000" w:fill="FFFFFF"/>
            <w:vAlign w:val="center"/>
          </w:tcPr>
          <w:p w14:paraId="69681C54" w14:textId="6695AB8C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FC62B5" w:rsidRPr="008F0840" w14:paraId="220DE3BD" w14:textId="77777777" w:rsidTr="008648BB">
        <w:trPr>
          <w:trHeight w:val="56"/>
        </w:trPr>
        <w:tc>
          <w:tcPr>
            <w:tcW w:w="1214" w:type="pct"/>
            <w:shd w:val="clear" w:color="auto" w:fill="auto"/>
            <w:noWrap/>
            <w:vAlign w:val="center"/>
            <w:hideMark/>
          </w:tcPr>
          <w:p w14:paraId="429224FB" w14:textId="77777777" w:rsidR="00FC62B5" w:rsidRPr="008F0840" w:rsidRDefault="00FC62B5" w:rsidP="00FC62B5">
            <w:pPr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Farelo de soja</w:t>
            </w:r>
          </w:p>
        </w:tc>
        <w:tc>
          <w:tcPr>
            <w:tcW w:w="946" w:type="pct"/>
            <w:vAlign w:val="center"/>
          </w:tcPr>
          <w:p w14:paraId="7BA198CE" w14:textId="2168C99E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47" w:type="pct"/>
            <w:vAlign w:val="center"/>
          </w:tcPr>
          <w:p w14:paraId="01701F0F" w14:textId="6CDCEDB5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45643E9E" w14:textId="5338930F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47" w:type="pct"/>
            <w:shd w:val="clear" w:color="000000" w:fill="FFFFFF"/>
            <w:vAlign w:val="center"/>
          </w:tcPr>
          <w:p w14:paraId="31C307C5" w14:textId="791C4772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FC62B5" w:rsidRPr="008F0840" w14:paraId="19BB08B3" w14:textId="77777777" w:rsidTr="008648BB">
        <w:trPr>
          <w:trHeight w:val="56"/>
        </w:trPr>
        <w:tc>
          <w:tcPr>
            <w:tcW w:w="1214" w:type="pct"/>
            <w:shd w:val="clear" w:color="auto" w:fill="auto"/>
            <w:noWrap/>
            <w:vAlign w:val="center"/>
            <w:hideMark/>
          </w:tcPr>
          <w:p w14:paraId="09E694F7" w14:textId="77777777" w:rsidR="00FC62B5" w:rsidRPr="008F0840" w:rsidRDefault="00FC62B5" w:rsidP="00FC62B5">
            <w:pPr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Óleo de soja</w:t>
            </w:r>
          </w:p>
        </w:tc>
        <w:tc>
          <w:tcPr>
            <w:tcW w:w="946" w:type="pct"/>
            <w:vAlign w:val="center"/>
          </w:tcPr>
          <w:p w14:paraId="6DED9042" w14:textId="59DDC107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7" w:type="pct"/>
            <w:vAlign w:val="center"/>
          </w:tcPr>
          <w:p w14:paraId="4DC42D96" w14:textId="46B46374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14:paraId="7A15A5D6" w14:textId="7DE54D28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47" w:type="pct"/>
            <w:shd w:val="clear" w:color="000000" w:fill="FFFFFF"/>
            <w:vAlign w:val="center"/>
          </w:tcPr>
          <w:p w14:paraId="2B87F47C" w14:textId="57CE22AB" w:rsidR="00FC62B5" w:rsidRPr="008F0840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</w:tbl>
    <w:p w14:paraId="374971BA" w14:textId="77777777" w:rsidR="00B80892" w:rsidRPr="008F0840" w:rsidRDefault="00B80892" w:rsidP="00B80892">
      <w:pPr>
        <w:spacing w:line="360" w:lineRule="auto"/>
        <w:rPr>
          <w:sz w:val="20"/>
          <w:szCs w:val="20"/>
        </w:rPr>
      </w:pPr>
      <w:r w:rsidRPr="008F0840">
        <w:rPr>
          <w:sz w:val="20"/>
          <w:szCs w:val="20"/>
        </w:rPr>
        <w:t>Fonte: Elaboração dos autores a partir de Brasil (2019a).</w:t>
      </w:r>
    </w:p>
    <w:p w14:paraId="179CB6FA" w14:textId="77777777" w:rsidR="00B80892" w:rsidRPr="008F0840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72245674" w14:textId="07D29A86" w:rsidR="00B80892" w:rsidRPr="008F0840" w:rsidRDefault="00B80892" w:rsidP="00B80892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8F0840">
        <w:rPr>
          <w:sz w:val="24"/>
          <w:szCs w:val="24"/>
          <w:lang w:val="pt-BR"/>
        </w:rPr>
        <w:t>Na Tabela 4 são identificados os três mercados com maior relevância na pauta de exportação do complexo soja brasileiro, por valor exportado, no período 2000/2018. Verifica</w:t>
      </w:r>
      <w:r w:rsidR="00590B0B">
        <w:rPr>
          <w:sz w:val="24"/>
          <w:szCs w:val="24"/>
          <w:lang w:val="pt-BR"/>
        </w:rPr>
        <w:t xml:space="preserve">-se </w:t>
      </w:r>
      <w:r w:rsidRPr="008F0840">
        <w:rPr>
          <w:sz w:val="24"/>
          <w:szCs w:val="24"/>
          <w:lang w:val="pt-BR"/>
        </w:rPr>
        <w:t xml:space="preserve">que o nível de concentração das exportações subiu substancialmente, </w:t>
      </w:r>
      <w:r w:rsidR="00590B0B">
        <w:rPr>
          <w:sz w:val="24"/>
          <w:szCs w:val="24"/>
          <w:lang w:val="pt-BR"/>
        </w:rPr>
        <w:t xml:space="preserve">passando de </w:t>
      </w:r>
      <w:r w:rsidRPr="008F0840">
        <w:rPr>
          <w:sz w:val="24"/>
          <w:szCs w:val="24"/>
          <w:lang w:val="pt-BR"/>
        </w:rPr>
        <w:t>45,0%</w:t>
      </w:r>
      <w:r w:rsidR="00590B0B">
        <w:rPr>
          <w:sz w:val="24"/>
          <w:szCs w:val="24"/>
          <w:lang w:val="pt-BR"/>
        </w:rPr>
        <w:t>,</w:t>
      </w:r>
      <w:r w:rsidRPr="008F0840">
        <w:rPr>
          <w:sz w:val="24"/>
          <w:szCs w:val="24"/>
          <w:lang w:val="pt-BR"/>
        </w:rPr>
        <w:t xml:space="preserve"> em 2000, para </w:t>
      </w:r>
      <w:r w:rsidR="00FC62B5">
        <w:rPr>
          <w:sz w:val="24"/>
          <w:szCs w:val="24"/>
          <w:lang w:val="pt-BR"/>
        </w:rPr>
        <w:t>75,0</w:t>
      </w:r>
      <w:r w:rsidRPr="008F0840">
        <w:rPr>
          <w:sz w:val="24"/>
          <w:szCs w:val="24"/>
          <w:lang w:val="pt-BR"/>
        </w:rPr>
        <w:t>%</w:t>
      </w:r>
      <w:r w:rsidR="00590B0B">
        <w:rPr>
          <w:sz w:val="24"/>
          <w:szCs w:val="24"/>
          <w:lang w:val="pt-BR"/>
        </w:rPr>
        <w:t>,</w:t>
      </w:r>
      <w:r w:rsidRPr="008F0840">
        <w:rPr>
          <w:sz w:val="24"/>
          <w:szCs w:val="24"/>
          <w:lang w:val="pt-BR"/>
        </w:rPr>
        <w:t xml:space="preserve"> em 2018. Além disso, a distribuição relativa entre os principais compradores </w:t>
      </w:r>
      <w:r w:rsidRPr="00590B0B">
        <w:rPr>
          <w:sz w:val="24"/>
          <w:szCs w:val="24"/>
          <w:lang w:val="pt-BR"/>
        </w:rPr>
        <w:t>está mais intensamente concentrada do que no período de análise inicial. Em 2018, o maior comprador, China, possu</w:t>
      </w:r>
      <w:r w:rsidR="00590B0B">
        <w:rPr>
          <w:sz w:val="24"/>
          <w:szCs w:val="24"/>
          <w:lang w:val="pt-BR"/>
        </w:rPr>
        <w:t>ía</w:t>
      </w:r>
      <w:r w:rsidRPr="00590B0B">
        <w:rPr>
          <w:sz w:val="24"/>
          <w:szCs w:val="24"/>
          <w:lang w:val="pt-BR"/>
        </w:rPr>
        <w:t xml:space="preserve"> 67,3% do total</w:t>
      </w:r>
      <w:r w:rsidRPr="008F0840">
        <w:rPr>
          <w:sz w:val="24"/>
          <w:szCs w:val="24"/>
          <w:lang w:val="pt-BR"/>
        </w:rPr>
        <w:t>, enquanto que</w:t>
      </w:r>
      <w:r w:rsidR="00590B0B">
        <w:rPr>
          <w:sz w:val="24"/>
          <w:szCs w:val="24"/>
          <w:lang w:val="pt-BR"/>
        </w:rPr>
        <w:t>,</w:t>
      </w:r>
      <w:r w:rsidRPr="008F0840">
        <w:rPr>
          <w:sz w:val="24"/>
          <w:szCs w:val="24"/>
          <w:lang w:val="pt-BR"/>
        </w:rPr>
        <w:t xml:space="preserve"> em 2000, o primeiro lugar, ocupado pelos Países Baixos, concentrava 25,</w:t>
      </w:r>
      <w:r w:rsidR="00FC62B5">
        <w:rPr>
          <w:sz w:val="24"/>
          <w:szCs w:val="24"/>
          <w:lang w:val="pt-BR"/>
        </w:rPr>
        <w:t>5</w:t>
      </w:r>
      <w:r w:rsidRPr="008F0840">
        <w:rPr>
          <w:sz w:val="24"/>
          <w:szCs w:val="24"/>
          <w:lang w:val="pt-BR"/>
        </w:rPr>
        <w:t xml:space="preserve">% do total das exportações. </w:t>
      </w:r>
    </w:p>
    <w:p w14:paraId="7715A4D6" w14:textId="77777777" w:rsidR="00B80892" w:rsidRPr="008F0840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146199F5" w14:textId="77777777" w:rsidR="00B80892" w:rsidRPr="008F0840" w:rsidRDefault="00B80892" w:rsidP="00B80892">
      <w:pPr>
        <w:spacing w:line="360" w:lineRule="auto"/>
        <w:jc w:val="center"/>
      </w:pPr>
      <w:r w:rsidRPr="008F0840">
        <w:lastRenderedPageBreak/>
        <w:t>Tabela 4: CR</w:t>
      </w:r>
      <w:r w:rsidRPr="008F0840">
        <w:rPr>
          <w:vertAlign w:val="subscript"/>
        </w:rPr>
        <w:t>3</w:t>
      </w:r>
      <w:r w:rsidRPr="008F0840">
        <w:t xml:space="preserve"> das exportações brasileiras do complexo soja – 2000/2018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538"/>
        <w:gridCol w:w="2997"/>
        <w:gridCol w:w="1538"/>
      </w:tblGrid>
      <w:tr w:rsidR="00B80892" w:rsidRPr="008F0840" w14:paraId="02C4D2EE" w14:textId="77777777" w:rsidTr="00786424">
        <w:trPr>
          <w:trHeight w:val="64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7F5C1B59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2018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B923340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2000</w:t>
            </w:r>
          </w:p>
        </w:tc>
      </w:tr>
      <w:tr w:rsidR="00B80892" w:rsidRPr="008F0840" w14:paraId="02D7E14A" w14:textId="77777777" w:rsidTr="00786424">
        <w:trPr>
          <w:trHeight w:val="64"/>
          <w:jc w:val="center"/>
        </w:trPr>
        <w:tc>
          <w:tcPr>
            <w:tcW w:w="1652" w:type="pct"/>
            <w:shd w:val="clear" w:color="auto" w:fill="auto"/>
            <w:vAlign w:val="center"/>
            <w:hideMark/>
          </w:tcPr>
          <w:p w14:paraId="53DC9C2C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5160282A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%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70F1BE7A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5254BC1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%</w:t>
            </w:r>
          </w:p>
        </w:tc>
      </w:tr>
      <w:tr w:rsidR="00B80892" w:rsidRPr="008F0840" w14:paraId="15232FBD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2EEA93DF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China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837B07F" w14:textId="0E433955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67,3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0B7AEADB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 Baixos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5908AA3" w14:textId="26E0434B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25,</w:t>
            </w:r>
            <w:r w:rsidR="00FC62B5">
              <w:rPr>
                <w:sz w:val="20"/>
                <w:szCs w:val="20"/>
              </w:rPr>
              <w:t>5</w:t>
            </w:r>
          </w:p>
        </w:tc>
      </w:tr>
      <w:tr w:rsidR="00B80892" w:rsidRPr="008F0840" w14:paraId="0FAB07D7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01EB12B2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 Baixos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238F083" w14:textId="144AEBF1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4,</w:t>
            </w:r>
            <w:r w:rsidR="00FC62B5">
              <w:rPr>
                <w:sz w:val="20"/>
                <w:szCs w:val="20"/>
              </w:rPr>
              <w:t>3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4D6F8DC2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França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B9E36D9" w14:textId="04824DDF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10,7</w:t>
            </w:r>
          </w:p>
        </w:tc>
      </w:tr>
      <w:tr w:rsidR="00B80892" w:rsidRPr="008F0840" w14:paraId="7CA6013E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2F5870E3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Tailândia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EEF8DA1" w14:textId="194A3593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3,4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7719392B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China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B3252D" w14:textId="15F20B4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8,8</w:t>
            </w:r>
          </w:p>
        </w:tc>
      </w:tr>
      <w:tr w:rsidR="00B80892" w:rsidRPr="008F0840" w14:paraId="261A0270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078A95D2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CR</w:t>
            </w:r>
            <w:r w:rsidRPr="008F084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AA25B26" w14:textId="1BA0E690" w:rsidR="00B80892" w:rsidRPr="008F0840" w:rsidRDefault="00FC62B5" w:rsidP="0078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718FB40B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CR</w:t>
            </w:r>
            <w:r w:rsidRPr="008F084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0FAF1C6" w14:textId="01A75D2B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45,0</w:t>
            </w:r>
          </w:p>
        </w:tc>
      </w:tr>
    </w:tbl>
    <w:p w14:paraId="4EDC3D6E" w14:textId="77777777" w:rsidR="00B80892" w:rsidRPr="00E1342F" w:rsidRDefault="00B80892" w:rsidP="00B80892">
      <w:pPr>
        <w:pStyle w:val="Unisinos-Ttulo1"/>
        <w:spacing w:after="0"/>
        <w:jc w:val="both"/>
        <w:rPr>
          <w:b w:val="0"/>
          <w:color w:val="auto"/>
          <w:sz w:val="20"/>
          <w:szCs w:val="20"/>
        </w:rPr>
      </w:pPr>
      <w:r w:rsidRPr="00E1342F">
        <w:rPr>
          <w:rFonts w:ascii="Times New Roman" w:hAnsi="Times New Roman" w:cs="Times New Roman"/>
          <w:b w:val="0"/>
          <w:color w:val="auto"/>
          <w:sz w:val="20"/>
          <w:szCs w:val="20"/>
        </w:rPr>
        <w:t>Fonte: Elaboração dos autores a partir de Brasil (2019a).</w:t>
      </w:r>
    </w:p>
    <w:p w14:paraId="722D8E62" w14:textId="77777777" w:rsidR="00B80892" w:rsidRPr="008F0840" w:rsidRDefault="00B80892" w:rsidP="00B80892">
      <w:pPr>
        <w:spacing w:line="360" w:lineRule="auto"/>
      </w:pPr>
    </w:p>
    <w:p w14:paraId="58BC353E" w14:textId="77777777" w:rsidR="00B80892" w:rsidRPr="008F0840" w:rsidRDefault="00B80892" w:rsidP="00B80892">
      <w:pPr>
        <w:spacing w:line="360" w:lineRule="auto"/>
      </w:pPr>
      <w:r w:rsidRPr="008F0840">
        <w:t>3.2 CARNES</w:t>
      </w:r>
    </w:p>
    <w:p w14:paraId="47537E3D" w14:textId="77777777" w:rsidR="00B80892" w:rsidRPr="008F0840" w:rsidRDefault="00B80892" w:rsidP="00B80892">
      <w:pPr>
        <w:spacing w:line="360" w:lineRule="auto"/>
      </w:pPr>
    </w:p>
    <w:p w14:paraId="691EC785" w14:textId="1A85495B" w:rsidR="00B80892" w:rsidRPr="00590B0B" w:rsidRDefault="00B80892" w:rsidP="00B80892">
      <w:pPr>
        <w:spacing w:line="360" w:lineRule="auto"/>
        <w:ind w:firstLine="709"/>
        <w:jc w:val="both"/>
      </w:pPr>
      <w:r w:rsidRPr="00590B0B">
        <w:t xml:space="preserve">Na Tabela 5, observam-se as exportações de carnes por subsetores no período 2000/2018. O setor como um todo teve aumento na participação relativa na pauta de exportação do agronegócio de </w:t>
      </w:r>
      <w:r w:rsidR="00FC62B5">
        <w:t>5,0 pontos percentuais</w:t>
      </w:r>
      <w:r w:rsidRPr="00590B0B">
        <w:t xml:space="preserve"> no período. A distribuição de participação relativa entre os subsetores manteve-se com poucas variações. Em relação ao valor exportado, </w:t>
      </w:r>
      <w:r w:rsidR="00590B0B" w:rsidRPr="00590B0B">
        <w:t>o mesmo</w:t>
      </w:r>
      <w:r w:rsidRPr="00590B0B">
        <w:t xml:space="preserve"> mais do que dobrou em todos os subsetores, sendo verificado o maior crescimento entre a carne bovina e </w:t>
      </w:r>
      <w:r w:rsidR="00590B0B" w:rsidRPr="00590B0B">
        <w:t xml:space="preserve">a carne </w:t>
      </w:r>
      <w:r w:rsidRPr="00590B0B">
        <w:t>de frango, com aumento</w:t>
      </w:r>
      <w:r w:rsidR="00590B0B" w:rsidRPr="00590B0B">
        <w:t>,</w:t>
      </w:r>
      <w:r w:rsidRPr="00590B0B">
        <w:t xml:space="preserve"> respectivo</w:t>
      </w:r>
      <w:r w:rsidR="00590B0B" w:rsidRPr="00590B0B">
        <w:t>,</w:t>
      </w:r>
      <w:r w:rsidRPr="00590B0B">
        <w:t xml:space="preserve"> de 8 e </w:t>
      </w:r>
      <w:r w:rsidR="00590B0B" w:rsidRPr="00590B0B">
        <w:t xml:space="preserve">de </w:t>
      </w:r>
      <w:r w:rsidRPr="00590B0B">
        <w:t xml:space="preserve">7 vezes.  </w:t>
      </w:r>
    </w:p>
    <w:p w14:paraId="5CD91F98" w14:textId="77777777" w:rsidR="00B80892" w:rsidRPr="00590B0B" w:rsidRDefault="00B80892" w:rsidP="00B80892">
      <w:pPr>
        <w:spacing w:line="360" w:lineRule="auto"/>
        <w:jc w:val="both"/>
      </w:pPr>
    </w:p>
    <w:p w14:paraId="109DE1BD" w14:textId="77777777" w:rsidR="00B80892" w:rsidRPr="00590B0B" w:rsidRDefault="00B80892" w:rsidP="00B80892">
      <w:pPr>
        <w:tabs>
          <w:tab w:val="left" w:pos="4573"/>
          <w:tab w:val="left" w:pos="5432"/>
          <w:tab w:val="left" w:pos="6583"/>
          <w:tab w:val="left" w:pos="7388"/>
          <w:tab w:val="left" w:pos="8406"/>
        </w:tabs>
        <w:spacing w:line="360" w:lineRule="auto"/>
        <w:ind w:left="70"/>
        <w:jc w:val="center"/>
      </w:pPr>
      <w:r w:rsidRPr="00590B0B">
        <w:t>Tabela 5: Exportações brasileiras de carnes por subsetores – 2000/2018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531"/>
        <w:gridCol w:w="1531"/>
        <w:gridCol w:w="1531"/>
        <w:gridCol w:w="1533"/>
      </w:tblGrid>
      <w:tr w:rsidR="00B80892" w:rsidRPr="00590B0B" w14:paraId="5BE37381" w14:textId="77777777" w:rsidTr="00786424">
        <w:trPr>
          <w:trHeight w:val="54"/>
        </w:trPr>
        <w:tc>
          <w:tcPr>
            <w:tcW w:w="1623" w:type="pct"/>
            <w:vMerge w:val="restart"/>
            <w:shd w:val="clear" w:color="auto" w:fill="auto"/>
            <w:noWrap/>
            <w:vAlign w:val="center"/>
            <w:hideMark/>
          </w:tcPr>
          <w:p w14:paraId="13E9C922" w14:textId="77777777" w:rsidR="00B80892" w:rsidRPr="00590B0B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Setor/Subsetores</w:t>
            </w:r>
          </w:p>
        </w:tc>
        <w:tc>
          <w:tcPr>
            <w:tcW w:w="1688" w:type="pct"/>
            <w:gridSpan w:val="2"/>
            <w:vAlign w:val="center"/>
          </w:tcPr>
          <w:p w14:paraId="0AD5DD0B" w14:textId="77777777" w:rsidR="00B80892" w:rsidRPr="00590B0B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689" w:type="pct"/>
            <w:gridSpan w:val="2"/>
            <w:shd w:val="clear" w:color="auto" w:fill="auto"/>
            <w:noWrap/>
            <w:vAlign w:val="center"/>
            <w:hideMark/>
          </w:tcPr>
          <w:p w14:paraId="498DB19B" w14:textId="77777777" w:rsidR="00B80892" w:rsidRPr="00590B0B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2000</w:t>
            </w:r>
          </w:p>
        </w:tc>
      </w:tr>
      <w:tr w:rsidR="00B80892" w:rsidRPr="00590B0B" w14:paraId="6F904ACC" w14:textId="77777777" w:rsidTr="00786424">
        <w:trPr>
          <w:trHeight w:val="54"/>
        </w:trPr>
        <w:tc>
          <w:tcPr>
            <w:tcW w:w="1623" w:type="pct"/>
            <w:vMerge/>
            <w:vAlign w:val="center"/>
            <w:hideMark/>
          </w:tcPr>
          <w:p w14:paraId="3FD300CB" w14:textId="77777777" w:rsidR="00B80892" w:rsidRPr="00590B0B" w:rsidRDefault="00B80892" w:rsidP="00786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CD238ED" w14:textId="77777777" w:rsidR="00B80892" w:rsidRPr="00590B0B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Valor (US$ bilhões)</w:t>
            </w:r>
          </w:p>
        </w:tc>
        <w:tc>
          <w:tcPr>
            <w:tcW w:w="844" w:type="pct"/>
            <w:vAlign w:val="center"/>
          </w:tcPr>
          <w:p w14:paraId="47DE9305" w14:textId="77777777" w:rsidR="00B80892" w:rsidRPr="00590B0B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Peso (</w:t>
            </w:r>
            <w:r w:rsidRPr="00590B0B">
              <w:rPr>
                <w:sz w:val="20"/>
                <w:szCs w:val="20"/>
              </w:rPr>
              <w:t>milhões toneladas</w:t>
            </w:r>
            <w:r w:rsidRPr="00590B0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40BB0620" w14:textId="77777777" w:rsidR="00B80892" w:rsidRPr="00590B0B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Valor (US$ bilhões)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61E6D543" w14:textId="77777777" w:rsidR="00B80892" w:rsidRPr="00590B0B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Peso (</w:t>
            </w:r>
            <w:r w:rsidRPr="00590B0B">
              <w:rPr>
                <w:sz w:val="20"/>
                <w:szCs w:val="20"/>
              </w:rPr>
              <w:t>milhões toneladas</w:t>
            </w:r>
            <w:r w:rsidRPr="00590B0B">
              <w:rPr>
                <w:bCs/>
                <w:sz w:val="20"/>
                <w:szCs w:val="20"/>
              </w:rPr>
              <w:t>)</w:t>
            </w:r>
          </w:p>
        </w:tc>
      </w:tr>
      <w:tr w:rsidR="00FC62B5" w:rsidRPr="00590B0B" w14:paraId="77BA4CB0" w14:textId="77777777" w:rsidTr="00786424">
        <w:trPr>
          <w:trHeight w:val="64"/>
        </w:trPr>
        <w:tc>
          <w:tcPr>
            <w:tcW w:w="1623" w:type="pct"/>
            <w:shd w:val="clear" w:color="auto" w:fill="auto"/>
            <w:noWrap/>
            <w:vAlign w:val="center"/>
            <w:hideMark/>
          </w:tcPr>
          <w:p w14:paraId="0D925DB0" w14:textId="77777777" w:rsidR="00FC62B5" w:rsidRPr="00590B0B" w:rsidRDefault="00FC62B5" w:rsidP="00FC62B5">
            <w:pPr>
              <w:jc w:val="both"/>
              <w:rPr>
                <w:bCs/>
                <w:sz w:val="20"/>
                <w:szCs w:val="20"/>
              </w:rPr>
            </w:pPr>
            <w:r w:rsidRPr="00590B0B">
              <w:rPr>
                <w:bCs/>
                <w:sz w:val="20"/>
                <w:szCs w:val="20"/>
              </w:rPr>
              <w:t>Carnes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320D9DE" w14:textId="4404ECA0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E52E493" w14:textId="0E8D566E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2D17CDD2" w14:textId="397B8F9C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53FB2C8" w14:textId="62C0F4AB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C62B5" w:rsidRPr="00590B0B" w14:paraId="06747E1C" w14:textId="77777777" w:rsidTr="00786424">
        <w:trPr>
          <w:trHeight w:val="53"/>
        </w:trPr>
        <w:tc>
          <w:tcPr>
            <w:tcW w:w="1623" w:type="pct"/>
            <w:shd w:val="clear" w:color="auto" w:fill="auto"/>
            <w:noWrap/>
            <w:vAlign w:val="center"/>
            <w:hideMark/>
          </w:tcPr>
          <w:p w14:paraId="411CF852" w14:textId="77777777" w:rsidR="00FC62B5" w:rsidRPr="00590B0B" w:rsidRDefault="00FC62B5" w:rsidP="00FC62B5">
            <w:pPr>
              <w:jc w:val="both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 xml:space="preserve">   - Carne bovina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F6F2959" w14:textId="379A19FB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69200B7" w14:textId="0B324E5E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1A324DF7" w14:textId="0DD96E27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6E5BC46" w14:textId="2C096ABE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FC62B5" w:rsidRPr="00590B0B" w14:paraId="6883CB4F" w14:textId="77777777" w:rsidTr="00786424">
        <w:trPr>
          <w:trHeight w:val="56"/>
        </w:trPr>
        <w:tc>
          <w:tcPr>
            <w:tcW w:w="1623" w:type="pct"/>
            <w:shd w:val="clear" w:color="auto" w:fill="auto"/>
            <w:noWrap/>
            <w:vAlign w:val="center"/>
            <w:hideMark/>
          </w:tcPr>
          <w:p w14:paraId="3E169FE2" w14:textId="77777777" w:rsidR="00FC62B5" w:rsidRPr="00590B0B" w:rsidRDefault="00FC62B5" w:rsidP="00FC62B5">
            <w:pPr>
              <w:jc w:val="both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 xml:space="preserve">   - Carne de frango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5008549" w14:textId="33430AAA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0005EF61" w14:textId="591C9488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7EBD1601" w14:textId="63902F2F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3702264B" w14:textId="177CA2E9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FC62B5" w:rsidRPr="00590B0B" w14:paraId="33621243" w14:textId="77777777" w:rsidTr="00786424">
        <w:trPr>
          <w:trHeight w:val="56"/>
        </w:trPr>
        <w:tc>
          <w:tcPr>
            <w:tcW w:w="1623" w:type="pct"/>
            <w:shd w:val="clear" w:color="auto" w:fill="auto"/>
            <w:noWrap/>
            <w:vAlign w:val="center"/>
            <w:hideMark/>
          </w:tcPr>
          <w:p w14:paraId="231B7B27" w14:textId="77777777" w:rsidR="00FC62B5" w:rsidRPr="00590B0B" w:rsidRDefault="00FC62B5" w:rsidP="00FC62B5">
            <w:pPr>
              <w:jc w:val="both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 xml:space="preserve">   - Carne suína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0505EC2" w14:textId="6399BD24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6501F47" w14:textId="60E36A45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ACCC8B9" w14:textId="73388CAE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D3D4A8E" w14:textId="6FC8A87E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C62B5" w:rsidRPr="00590B0B" w14:paraId="7141CF61" w14:textId="77777777" w:rsidTr="00786424">
        <w:trPr>
          <w:trHeight w:val="56"/>
        </w:trPr>
        <w:tc>
          <w:tcPr>
            <w:tcW w:w="1623" w:type="pct"/>
            <w:shd w:val="clear" w:color="auto" w:fill="auto"/>
            <w:noWrap/>
            <w:vAlign w:val="center"/>
          </w:tcPr>
          <w:p w14:paraId="546364BD" w14:textId="77777777" w:rsidR="00FC62B5" w:rsidRPr="00590B0B" w:rsidRDefault="00FC62B5" w:rsidP="00FC62B5">
            <w:pPr>
              <w:jc w:val="both"/>
              <w:rPr>
                <w:sz w:val="20"/>
                <w:szCs w:val="20"/>
              </w:rPr>
            </w:pPr>
            <w:r w:rsidRPr="00590B0B">
              <w:rPr>
                <w:sz w:val="20"/>
                <w:szCs w:val="20"/>
              </w:rPr>
              <w:t xml:space="preserve">   - Outros*</w:t>
            </w:r>
          </w:p>
        </w:tc>
        <w:tc>
          <w:tcPr>
            <w:tcW w:w="844" w:type="pct"/>
            <w:vAlign w:val="center"/>
          </w:tcPr>
          <w:p w14:paraId="041C7CAF" w14:textId="6DD5BAC6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44" w:type="pct"/>
            <w:vAlign w:val="center"/>
          </w:tcPr>
          <w:p w14:paraId="53E7E6C4" w14:textId="1B557A72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44" w:type="pct"/>
            <w:noWrap/>
            <w:vAlign w:val="center"/>
          </w:tcPr>
          <w:p w14:paraId="028CD8F4" w14:textId="7C435BEE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5" w:type="pct"/>
            <w:noWrap/>
            <w:vAlign w:val="center"/>
          </w:tcPr>
          <w:p w14:paraId="706BC3C2" w14:textId="650D6155" w:rsidR="00FC62B5" w:rsidRPr="00590B0B" w:rsidRDefault="00FC62B5" w:rsidP="00FC62B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</w:tbl>
    <w:p w14:paraId="04BDAE5C" w14:textId="77777777" w:rsidR="00B80892" w:rsidRPr="00590B0B" w:rsidRDefault="00B80892" w:rsidP="00590B0B">
      <w:pPr>
        <w:jc w:val="both"/>
        <w:rPr>
          <w:sz w:val="20"/>
          <w:szCs w:val="20"/>
        </w:rPr>
      </w:pPr>
      <w:r w:rsidRPr="00590B0B">
        <w:rPr>
          <w:sz w:val="20"/>
          <w:szCs w:val="20"/>
        </w:rPr>
        <w:t>Fonte: Elaboração dos autores a partir de Brasil (2019a). Nota: (*) Inclui carne de ganso, carne de ovino e caprino, carne de pato, carne de peru, carnes de equídeos e demais carnes, miudezas e preparações.</w:t>
      </w:r>
    </w:p>
    <w:p w14:paraId="7BD6A51C" w14:textId="77777777" w:rsidR="00B80892" w:rsidRPr="008F0840" w:rsidRDefault="00B80892" w:rsidP="00B80892">
      <w:pPr>
        <w:spacing w:line="360" w:lineRule="auto"/>
        <w:jc w:val="both"/>
      </w:pPr>
    </w:p>
    <w:p w14:paraId="74890B05" w14:textId="742741D9" w:rsidR="00B80892" w:rsidRPr="008F0840" w:rsidRDefault="00B80892" w:rsidP="00B80892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8F0840">
        <w:rPr>
          <w:sz w:val="24"/>
          <w:szCs w:val="24"/>
          <w:lang w:val="pt-BR"/>
        </w:rPr>
        <w:t>Na Tabela 6 são identificados os três mercados, por valor exportado, com maior relevância na pauta de exportação brasileira de carnes no período 2000/2018. Houve um aumento da concentraçã</w:t>
      </w:r>
      <w:r>
        <w:rPr>
          <w:sz w:val="24"/>
          <w:szCs w:val="24"/>
          <w:lang w:val="pt-BR"/>
        </w:rPr>
        <w:t>o</w:t>
      </w:r>
      <w:r w:rsidRPr="008F0840">
        <w:rPr>
          <w:sz w:val="24"/>
          <w:szCs w:val="24"/>
          <w:lang w:val="pt-BR"/>
        </w:rPr>
        <w:t xml:space="preserve">, porém menos expressivo do que o verificado no mercado se soja. O </w:t>
      </w:r>
      <w:r w:rsidR="00FC62B5">
        <w:rPr>
          <w:sz w:val="24"/>
          <w:szCs w:val="24"/>
          <w:lang w:val="pt-BR"/>
        </w:rPr>
        <w:t>indicador</w:t>
      </w:r>
      <w:r w:rsidRPr="008F0840">
        <w:rPr>
          <w:sz w:val="24"/>
          <w:szCs w:val="24"/>
          <w:lang w:val="pt-BR"/>
        </w:rPr>
        <w:t xml:space="preserve"> de concentração passou de 29,1%</w:t>
      </w:r>
      <w:r w:rsidR="00590B0B">
        <w:rPr>
          <w:sz w:val="24"/>
          <w:szCs w:val="24"/>
          <w:lang w:val="pt-BR"/>
        </w:rPr>
        <w:t>,</w:t>
      </w:r>
      <w:r w:rsidRPr="008F0840">
        <w:rPr>
          <w:sz w:val="24"/>
          <w:szCs w:val="24"/>
          <w:lang w:val="pt-BR"/>
        </w:rPr>
        <w:t xml:space="preserve"> em 2000, para 40,</w:t>
      </w:r>
      <w:r w:rsidR="00FC62B5">
        <w:rPr>
          <w:sz w:val="24"/>
          <w:szCs w:val="24"/>
          <w:lang w:val="pt-BR"/>
        </w:rPr>
        <w:t>1</w:t>
      </w:r>
      <w:r w:rsidRPr="008F0840">
        <w:rPr>
          <w:sz w:val="24"/>
          <w:szCs w:val="24"/>
          <w:lang w:val="pt-BR"/>
        </w:rPr>
        <w:t>%</w:t>
      </w:r>
      <w:r w:rsidR="00590B0B">
        <w:rPr>
          <w:sz w:val="24"/>
          <w:szCs w:val="24"/>
          <w:lang w:val="pt-BR"/>
        </w:rPr>
        <w:t>,</w:t>
      </w:r>
      <w:r w:rsidRPr="008F0840">
        <w:rPr>
          <w:sz w:val="24"/>
          <w:szCs w:val="24"/>
          <w:lang w:val="pt-BR"/>
        </w:rPr>
        <w:t xml:space="preserve"> em 2018. A China despont</w:t>
      </w:r>
      <w:r w:rsidR="00590B0B">
        <w:rPr>
          <w:sz w:val="24"/>
          <w:szCs w:val="24"/>
          <w:lang w:val="pt-BR"/>
        </w:rPr>
        <w:t>ou</w:t>
      </w:r>
      <w:r w:rsidRPr="008F0840">
        <w:rPr>
          <w:sz w:val="24"/>
          <w:szCs w:val="24"/>
          <w:lang w:val="pt-BR"/>
        </w:rPr>
        <w:t xml:space="preserve"> como o maior mercado consumidor, com 17,6% do total, seguido de Hong</w:t>
      </w:r>
      <w:r w:rsidR="00590B0B">
        <w:rPr>
          <w:sz w:val="24"/>
          <w:szCs w:val="24"/>
          <w:lang w:val="pt-BR"/>
        </w:rPr>
        <w:t xml:space="preserve"> </w:t>
      </w:r>
      <w:r w:rsidRPr="008F0840">
        <w:rPr>
          <w:sz w:val="24"/>
          <w:szCs w:val="24"/>
          <w:lang w:val="pt-BR"/>
        </w:rPr>
        <w:t>Kong, que se mant</w:t>
      </w:r>
      <w:r w:rsidR="00590B0B">
        <w:rPr>
          <w:sz w:val="24"/>
          <w:szCs w:val="24"/>
          <w:lang w:val="pt-BR"/>
        </w:rPr>
        <w:t>eve</w:t>
      </w:r>
      <w:r w:rsidRPr="008F0840">
        <w:rPr>
          <w:sz w:val="24"/>
          <w:szCs w:val="24"/>
          <w:lang w:val="pt-BR"/>
        </w:rPr>
        <w:t xml:space="preserve"> entre os maiores compradores, com uma variação positiva de mais de 6</w:t>
      </w:r>
      <w:r w:rsidR="00FC62B5">
        <w:rPr>
          <w:sz w:val="24"/>
          <w:szCs w:val="24"/>
          <w:lang w:val="pt-BR"/>
        </w:rPr>
        <w:t>,0 pontos percentuais</w:t>
      </w:r>
      <w:r w:rsidRPr="008F0840">
        <w:rPr>
          <w:sz w:val="24"/>
          <w:szCs w:val="24"/>
          <w:lang w:val="pt-BR"/>
        </w:rPr>
        <w:t xml:space="preserve"> no total relativo. Not</w:t>
      </w:r>
      <w:r w:rsidR="00590B0B">
        <w:rPr>
          <w:sz w:val="24"/>
          <w:szCs w:val="24"/>
          <w:lang w:val="pt-BR"/>
        </w:rPr>
        <w:t>ou-se</w:t>
      </w:r>
      <w:r w:rsidRPr="008F0840">
        <w:rPr>
          <w:sz w:val="24"/>
          <w:szCs w:val="24"/>
          <w:lang w:val="pt-BR"/>
        </w:rPr>
        <w:t xml:space="preserve"> que os países europeus deixa</w:t>
      </w:r>
      <w:r w:rsidR="00590B0B">
        <w:rPr>
          <w:sz w:val="24"/>
          <w:szCs w:val="24"/>
          <w:lang w:val="pt-BR"/>
        </w:rPr>
        <w:t>ra</w:t>
      </w:r>
      <w:r w:rsidRPr="008F0840">
        <w:rPr>
          <w:sz w:val="24"/>
          <w:szCs w:val="24"/>
          <w:lang w:val="pt-BR"/>
        </w:rPr>
        <w:t xml:space="preserve">m de ser o principal destino dos produtos, tendo esse eixo </w:t>
      </w:r>
      <w:r w:rsidR="00590B0B">
        <w:rPr>
          <w:sz w:val="24"/>
          <w:szCs w:val="24"/>
          <w:lang w:val="pt-BR"/>
        </w:rPr>
        <w:t xml:space="preserve">se </w:t>
      </w:r>
      <w:r w:rsidRPr="008F0840">
        <w:rPr>
          <w:sz w:val="24"/>
          <w:szCs w:val="24"/>
          <w:lang w:val="pt-BR"/>
        </w:rPr>
        <w:t>deslocado para a Ásia.</w:t>
      </w:r>
    </w:p>
    <w:p w14:paraId="4878B5BA" w14:textId="77777777" w:rsidR="00B80892" w:rsidRPr="008F0840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6FCE8AF3" w14:textId="77777777" w:rsidR="00590B0B" w:rsidRDefault="00590B0B">
      <w:r>
        <w:br w:type="page"/>
      </w:r>
    </w:p>
    <w:p w14:paraId="59E08499" w14:textId="0F3E9B0A" w:rsidR="00B80892" w:rsidRPr="008F0840" w:rsidRDefault="00B80892" w:rsidP="00B80892">
      <w:pPr>
        <w:spacing w:line="360" w:lineRule="auto"/>
        <w:jc w:val="center"/>
      </w:pPr>
      <w:r w:rsidRPr="008F0840">
        <w:lastRenderedPageBreak/>
        <w:t>Tabela 6: CR</w:t>
      </w:r>
      <w:r w:rsidRPr="008F0840">
        <w:rPr>
          <w:vertAlign w:val="subscript"/>
        </w:rPr>
        <w:t>3</w:t>
      </w:r>
      <w:r w:rsidRPr="008F0840">
        <w:t xml:space="preserve"> das exportações brasileiras de carnes – 2000/2018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1538"/>
        <w:gridCol w:w="2997"/>
        <w:gridCol w:w="1537"/>
      </w:tblGrid>
      <w:tr w:rsidR="00B80892" w:rsidRPr="008F0840" w14:paraId="0847433B" w14:textId="77777777" w:rsidTr="00786424">
        <w:trPr>
          <w:trHeight w:val="64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154BCE3B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2018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18336F73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2000</w:t>
            </w:r>
          </w:p>
        </w:tc>
      </w:tr>
      <w:tr w:rsidR="00B80892" w:rsidRPr="008F0840" w14:paraId="125B6CF8" w14:textId="77777777" w:rsidTr="00786424">
        <w:trPr>
          <w:trHeight w:val="64"/>
          <w:jc w:val="center"/>
        </w:trPr>
        <w:tc>
          <w:tcPr>
            <w:tcW w:w="1653" w:type="pct"/>
            <w:shd w:val="clear" w:color="auto" w:fill="auto"/>
            <w:vAlign w:val="center"/>
            <w:hideMark/>
          </w:tcPr>
          <w:p w14:paraId="30EAE79B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3EC3EF7D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%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14:paraId="7DC76181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64F47C8F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%</w:t>
            </w:r>
          </w:p>
        </w:tc>
      </w:tr>
      <w:tr w:rsidR="00B80892" w:rsidRPr="008F0840" w14:paraId="30F4AF94" w14:textId="77777777" w:rsidTr="00786424">
        <w:trPr>
          <w:jc w:val="center"/>
        </w:trPr>
        <w:tc>
          <w:tcPr>
            <w:tcW w:w="1653" w:type="pct"/>
            <w:shd w:val="clear" w:color="auto" w:fill="auto"/>
            <w:vAlign w:val="center"/>
          </w:tcPr>
          <w:p w14:paraId="5870129A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China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E8673BD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17,6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6712F2AC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Reino Unido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CF4A898" w14:textId="5AF1010A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10,4</w:t>
            </w:r>
          </w:p>
        </w:tc>
      </w:tr>
      <w:tr w:rsidR="00B80892" w:rsidRPr="008F0840" w14:paraId="2DF638C1" w14:textId="77777777" w:rsidTr="00786424">
        <w:trPr>
          <w:jc w:val="center"/>
        </w:trPr>
        <w:tc>
          <w:tcPr>
            <w:tcW w:w="1653" w:type="pct"/>
            <w:shd w:val="clear" w:color="auto" w:fill="auto"/>
            <w:vAlign w:val="center"/>
          </w:tcPr>
          <w:p w14:paraId="36008ADF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Hong Kong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DDC5923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15,8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19548289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 Baixos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A208E0C" w14:textId="24DE0D7E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9,</w:t>
            </w:r>
            <w:r w:rsidR="00FC62B5">
              <w:rPr>
                <w:sz w:val="20"/>
                <w:szCs w:val="20"/>
              </w:rPr>
              <w:t>5</w:t>
            </w:r>
          </w:p>
        </w:tc>
      </w:tr>
      <w:tr w:rsidR="00B80892" w:rsidRPr="008F0840" w14:paraId="19D11E87" w14:textId="77777777" w:rsidTr="00786424">
        <w:trPr>
          <w:jc w:val="center"/>
        </w:trPr>
        <w:tc>
          <w:tcPr>
            <w:tcW w:w="1653" w:type="pct"/>
            <w:shd w:val="clear" w:color="auto" w:fill="auto"/>
            <w:vAlign w:val="center"/>
          </w:tcPr>
          <w:p w14:paraId="59EC0826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Arábia Saudita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F0170F2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6,6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0556D746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Hong Kong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F8D465C" w14:textId="75B86360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9,2</w:t>
            </w:r>
          </w:p>
        </w:tc>
      </w:tr>
      <w:tr w:rsidR="00B80892" w:rsidRPr="008F0840" w14:paraId="19D4667A" w14:textId="77777777" w:rsidTr="00786424">
        <w:trPr>
          <w:jc w:val="center"/>
        </w:trPr>
        <w:tc>
          <w:tcPr>
            <w:tcW w:w="1653" w:type="pct"/>
            <w:shd w:val="clear" w:color="auto" w:fill="auto"/>
            <w:vAlign w:val="center"/>
          </w:tcPr>
          <w:p w14:paraId="068CD220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CR</w:t>
            </w:r>
            <w:r w:rsidRPr="008F084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365C820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40,1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52BB5DCC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CR</w:t>
            </w:r>
            <w:r w:rsidRPr="008F084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90A43B5" w14:textId="3DC95A74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29,1</w:t>
            </w:r>
          </w:p>
        </w:tc>
      </w:tr>
    </w:tbl>
    <w:p w14:paraId="046C0335" w14:textId="77777777" w:rsidR="00B80892" w:rsidRPr="008F0840" w:rsidRDefault="00B80892" w:rsidP="00B80892">
      <w:pPr>
        <w:pStyle w:val="Unisinos-Ttulo1"/>
        <w:spacing w:after="0"/>
        <w:jc w:val="both"/>
        <w:rPr>
          <w:rFonts w:ascii="Times New Roman" w:eastAsia="Calibri" w:hAnsi="Times New Roman" w:cs="Times New Roman"/>
          <w:b w:val="0"/>
          <w:color w:val="auto"/>
          <w:sz w:val="20"/>
          <w:szCs w:val="20"/>
          <w:lang w:eastAsia="en-US"/>
        </w:rPr>
      </w:pPr>
      <w:r w:rsidRPr="008F0840">
        <w:rPr>
          <w:rFonts w:ascii="Times New Roman" w:hAnsi="Times New Roman" w:cs="Times New Roman"/>
          <w:b w:val="0"/>
          <w:color w:val="auto"/>
          <w:sz w:val="20"/>
          <w:szCs w:val="20"/>
        </w:rPr>
        <w:t>Fonte: Elaboração dos autores a partir de Brasil (2019a).</w:t>
      </w:r>
    </w:p>
    <w:p w14:paraId="3EC3B42A" w14:textId="77777777" w:rsidR="00B80892" w:rsidRPr="008F0840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74E373AA" w14:textId="77777777" w:rsidR="00B80892" w:rsidRPr="008F0840" w:rsidRDefault="00B80892" w:rsidP="00B80892">
      <w:pPr>
        <w:spacing w:line="360" w:lineRule="auto"/>
      </w:pPr>
      <w:r w:rsidRPr="008F0840">
        <w:t>3.3 PRODUTOS FLORESTAIS</w:t>
      </w:r>
    </w:p>
    <w:p w14:paraId="54D93ABD" w14:textId="77777777" w:rsidR="00B80892" w:rsidRPr="008F0840" w:rsidRDefault="00B80892" w:rsidP="00B80892">
      <w:pPr>
        <w:spacing w:line="360" w:lineRule="auto"/>
        <w:jc w:val="both"/>
      </w:pPr>
    </w:p>
    <w:p w14:paraId="2CAF59C6" w14:textId="3CA66DEF" w:rsidR="00B80892" w:rsidRPr="008F0840" w:rsidRDefault="00B80892" w:rsidP="00B80892">
      <w:pPr>
        <w:spacing w:line="360" w:lineRule="auto"/>
        <w:ind w:firstLine="709"/>
        <w:jc w:val="both"/>
      </w:pPr>
      <w:r w:rsidRPr="008F0840">
        <w:t>Na Tabela 7, observam-se as exportações do setor de produtos florestais por subsetores entre 2000 e 2018. As exportações de produtos florestais tiveram um aumento considerável tanto no contexto geral quanto em cada um dos seus subsetores. Pode</w:t>
      </w:r>
      <w:r w:rsidR="00400291">
        <w:t>-se</w:t>
      </w:r>
      <w:r w:rsidRPr="008F0840">
        <w:t xml:space="preserve"> notar aumento no valor da mercadoria e na quantidade vendida, mas como o aumento percentual em todos os casos foi maior no valor do que na quantidade, pode</w:t>
      </w:r>
      <w:r w:rsidR="00400291">
        <w:t>-se</w:t>
      </w:r>
      <w:r w:rsidRPr="008F0840">
        <w:t xml:space="preserve"> concluir que houve um aumento do preço da mercadoria neste mesmo período de tempo. Destaque especial para o setor de celulose</w:t>
      </w:r>
      <w:r w:rsidR="00400291">
        <w:t>,</w:t>
      </w:r>
      <w:r w:rsidRPr="008F0840">
        <w:t xml:space="preserve"> que registrou um aumento superior a cinco vezes o valor das exportações e uma média de aumento de quase 30% ao ano. </w:t>
      </w:r>
    </w:p>
    <w:p w14:paraId="5E13D719" w14:textId="77777777" w:rsidR="00B80892" w:rsidRPr="008F0840" w:rsidRDefault="00B80892" w:rsidP="00B80892">
      <w:pPr>
        <w:spacing w:line="360" w:lineRule="auto"/>
        <w:jc w:val="both"/>
      </w:pPr>
    </w:p>
    <w:p w14:paraId="3A2FAF93" w14:textId="77777777" w:rsidR="00B80892" w:rsidRPr="008F0840" w:rsidRDefault="00B80892" w:rsidP="00B80892">
      <w:pPr>
        <w:tabs>
          <w:tab w:val="left" w:pos="4573"/>
          <w:tab w:val="left" w:pos="5432"/>
          <w:tab w:val="left" w:pos="6583"/>
          <w:tab w:val="left" w:pos="7388"/>
          <w:tab w:val="left" w:pos="8406"/>
        </w:tabs>
        <w:spacing w:line="360" w:lineRule="auto"/>
        <w:ind w:left="70"/>
        <w:jc w:val="center"/>
      </w:pPr>
      <w:r w:rsidRPr="008F0840">
        <w:t>Tabela 7: Exportações brasileiras do setor de produtos florestais– 2000/2018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1"/>
        <w:gridCol w:w="1482"/>
        <w:gridCol w:w="1484"/>
        <w:gridCol w:w="1482"/>
        <w:gridCol w:w="1482"/>
      </w:tblGrid>
      <w:tr w:rsidR="00B80892" w:rsidRPr="008F0840" w14:paraId="65B95AF7" w14:textId="77777777" w:rsidTr="00786424">
        <w:trPr>
          <w:trHeight w:val="54"/>
        </w:trPr>
        <w:tc>
          <w:tcPr>
            <w:tcW w:w="1731" w:type="pct"/>
            <w:vMerge w:val="restart"/>
            <w:shd w:val="clear" w:color="auto" w:fill="auto"/>
            <w:noWrap/>
            <w:vAlign w:val="center"/>
            <w:hideMark/>
          </w:tcPr>
          <w:p w14:paraId="526F7DE8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Setor/Subsetores</w:t>
            </w:r>
          </w:p>
        </w:tc>
        <w:tc>
          <w:tcPr>
            <w:tcW w:w="1635" w:type="pct"/>
            <w:gridSpan w:val="2"/>
            <w:shd w:val="clear" w:color="auto" w:fill="auto"/>
            <w:noWrap/>
            <w:vAlign w:val="center"/>
            <w:hideMark/>
          </w:tcPr>
          <w:p w14:paraId="1A3E0F84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634" w:type="pct"/>
            <w:gridSpan w:val="2"/>
            <w:shd w:val="clear" w:color="auto" w:fill="auto"/>
            <w:noWrap/>
            <w:vAlign w:val="center"/>
            <w:hideMark/>
          </w:tcPr>
          <w:p w14:paraId="59E5F373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2000</w:t>
            </w:r>
          </w:p>
        </w:tc>
      </w:tr>
      <w:tr w:rsidR="00B80892" w:rsidRPr="008F0840" w14:paraId="586B97F0" w14:textId="77777777" w:rsidTr="00786424">
        <w:trPr>
          <w:trHeight w:val="54"/>
        </w:trPr>
        <w:tc>
          <w:tcPr>
            <w:tcW w:w="1731" w:type="pct"/>
            <w:vMerge/>
            <w:vAlign w:val="center"/>
            <w:hideMark/>
          </w:tcPr>
          <w:p w14:paraId="12E3ADEB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4393D156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Valor</w:t>
            </w:r>
          </w:p>
          <w:p w14:paraId="18D2963A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(US$ bilhões)</w:t>
            </w:r>
          </w:p>
        </w:tc>
        <w:tc>
          <w:tcPr>
            <w:tcW w:w="818" w:type="pct"/>
            <w:shd w:val="clear" w:color="auto" w:fill="auto"/>
            <w:noWrap/>
            <w:vAlign w:val="center"/>
            <w:hideMark/>
          </w:tcPr>
          <w:p w14:paraId="61D9FB92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Peso</w:t>
            </w:r>
          </w:p>
          <w:p w14:paraId="0294FB57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(</w:t>
            </w:r>
            <w:r w:rsidRPr="008F0840">
              <w:rPr>
                <w:sz w:val="20"/>
                <w:szCs w:val="20"/>
              </w:rPr>
              <w:t>milhões toneladas</w:t>
            </w:r>
            <w:r w:rsidRPr="008F084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287AF047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Valor</w:t>
            </w:r>
          </w:p>
          <w:p w14:paraId="0F60AC10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(US$ bilhões)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AB5AB3F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Peso</w:t>
            </w:r>
          </w:p>
          <w:p w14:paraId="767743A9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(</w:t>
            </w:r>
            <w:r w:rsidRPr="008F0840">
              <w:rPr>
                <w:sz w:val="20"/>
                <w:szCs w:val="20"/>
              </w:rPr>
              <w:t>milhões toneladas</w:t>
            </w:r>
            <w:r w:rsidRPr="008F0840">
              <w:rPr>
                <w:bCs/>
                <w:sz w:val="20"/>
                <w:szCs w:val="20"/>
              </w:rPr>
              <w:t>)</w:t>
            </w:r>
          </w:p>
        </w:tc>
      </w:tr>
      <w:tr w:rsidR="00400291" w:rsidRPr="008F0840" w14:paraId="300DA08B" w14:textId="77777777" w:rsidTr="00786424">
        <w:trPr>
          <w:trHeight w:val="64"/>
        </w:trPr>
        <w:tc>
          <w:tcPr>
            <w:tcW w:w="1731" w:type="pct"/>
            <w:shd w:val="clear" w:color="auto" w:fill="auto"/>
            <w:noWrap/>
            <w:vAlign w:val="center"/>
            <w:hideMark/>
          </w:tcPr>
          <w:p w14:paraId="32B0C19B" w14:textId="77777777" w:rsidR="00400291" w:rsidRPr="008F0840" w:rsidRDefault="00400291" w:rsidP="00400291">
            <w:pPr>
              <w:jc w:val="both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Produtos florestais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420034F8" w14:textId="18E0005F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CFCE9E2" w14:textId="5D8EC357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2DA54A23" w14:textId="27DD2432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3919DBAF" w14:textId="5D4412C2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00291" w:rsidRPr="008F0840" w14:paraId="452F007A" w14:textId="77777777" w:rsidTr="00786424">
        <w:trPr>
          <w:trHeight w:val="53"/>
        </w:trPr>
        <w:tc>
          <w:tcPr>
            <w:tcW w:w="1731" w:type="pct"/>
            <w:shd w:val="clear" w:color="auto" w:fill="auto"/>
            <w:noWrap/>
            <w:vAlign w:val="center"/>
            <w:hideMark/>
          </w:tcPr>
          <w:p w14:paraId="15D4B16A" w14:textId="77777777" w:rsidR="00400291" w:rsidRPr="008F0840" w:rsidRDefault="00400291" w:rsidP="00400291">
            <w:pPr>
              <w:jc w:val="both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Borracha natural e gomas naturais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1BA6FCD6" w14:textId="1C992D48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703E6299" w14:textId="0D9BEC4F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24598504" w14:textId="7B04BCC8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1950A0A1" w14:textId="308E46BE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0291" w:rsidRPr="008F0840" w14:paraId="717DE53C" w14:textId="77777777" w:rsidTr="00786424">
        <w:trPr>
          <w:trHeight w:val="56"/>
        </w:trPr>
        <w:tc>
          <w:tcPr>
            <w:tcW w:w="1731" w:type="pct"/>
            <w:shd w:val="clear" w:color="auto" w:fill="auto"/>
            <w:noWrap/>
            <w:vAlign w:val="center"/>
            <w:hideMark/>
          </w:tcPr>
          <w:p w14:paraId="373226CE" w14:textId="77777777" w:rsidR="00400291" w:rsidRPr="008F0840" w:rsidRDefault="00400291" w:rsidP="00400291">
            <w:pPr>
              <w:jc w:val="both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Celulose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1A07888D" w14:textId="7B55D745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E0E494A" w14:textId="06916A5B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751E5AF8" w14:textId="7449C3EF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2894DA0D" w14:textId="76F3B16D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00291" w:rsidRPr="008F0840" w14:paraId="1F60301B" w14:textId="77777777" w:rsidTr="00786424">
        <w:trPr>
          <w:trHeight w:val="56"/>
        </w:trPr>
        <w:tc>
          <w:tcPr>
            <w:tcW w:w="1731" w:type="pct"/>
            <w:shd w:val="clear" w:color="auto" w:fill="auto"/>
            <w:noWrap/>
            <w:vAlign w:val="center"/>
            <w:hideMark/>
          </w:tcPr>
          <w:p w14:paraId="05D017B3" w14:textId="77777777" w:rsidR="00400291" w:rsidRPr="008F0840" w:rsidRDefault="00400291" w:rsidP="00400291">
            <w:pPr>
              <w:jc w:val="both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Madeira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1B29ECE5" w14:textId="2E297C26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271CFE1" w14:textId="12410209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5340B78A" w14:textId="5531AED6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74CE09F0" w14:textId="09581C99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</w:tr>
      <w:tr w:rsidR="00400291" w:rsidRPr="008F0840" w14:paraId="6C595796" w14:textId="77777777" w:rsidTr="00786424">
        <w:trPr>
          <w:trHeight w:val="56"/>
        </w:trPr>
        <w:tc>
          <w:tcPr>
            <w:tcW w:w="1731" w:type="pct"/>
            <w:shd w:val="clear" w:color="auto" w:fill="auto"/>
            <w:noWrap/>
            <w:vAlign w:val="center"/>
            <w:hideMark/>
          </w:tcPr>
          <w:p w14:paraId="48222F49" w14:textId="77777777" w:rsidR="00400291" w:rsidRPr="008F0840" w:rsidRDefault="00400291" w:rsidP="00400291">
            <w:pPr>
              <w:jc w:val="both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Papel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627CD531" w14:textId="06CF14FD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6A0B9230" w14:textId="2638A3DD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58F43006" w14:textId="399DDBC0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2AE3484C" w14:textId="53F4E318" w:rsidR="00400291" w:rsidRPr="008F0840" w:rsidRDefault="00400291" w:rsidP="004002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</w:tbl>
    <w:p w14:paraId="3A81F660" w14:textId="77777777" w:rsidR="00B80892" w:rsidRPr="008F0840" w:rsidRDefault="00B80892" w:rsidP="00B80892">
      <w:pPr>
        <w:spacing w:line="360" w:lineRule="auto"/>
        <w:rPr>
          <w:sz w:val="20"/>
          <w:szCs w:val="20"/>
        </w:rPr>
      </w:pPr>
      <w:r w:rsidRPr="008F0840">
        <w:rPr>
          <w:sz w:val="20"/>
          <w:szCs w:val="20"/>
        </w:rPr>
        <w:t>Fonte: Elaboração dos autores a partir de Brasil (2019a).</w:t>
      </w:r>
    </w:p>
    <w:p w14:paraId="26D59579" w14:textId="77777777" w:rsidR="00B80892" w:rsidRPr="008F0840" w:rsidRDefault="00B80892" w:rsidP="00B80892">
      <w:pPr>
        <w:pStyle w:val="Unisinos-Ttulo1"/>
        <w:spacing w:after="0"/>
        <w:jc w:val="both"/>
        <w:rPr>
          <w:rFonts w:ascii="Times New Roman" w:eastAsia="Calibri" w:hAnsi="Times New Roman" w:cs="Times New Roman"/>
          <w:b w:val="0"/>
          <w:color w:val="auto"/>
          <w:lang w:eastAsia="en-US"/>
        </w:rPr>
      </w:pPr>
    </w:p>
    <w:p w14:paraId="6AD3F934" w14:textId="0BD5AFC8" w:rsidR="00B80892" w:rsidRPr="00400291" w:rsidRDefault="00B80892" w:rsidP="00B8089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F0840">
        <w:rPr>
          <w:rFonts w:eastAsia="Calibri"/>
          <w:lang w:eastAsia="en-US"/>
        </w:rPr>
        <w:t>Na Tabela 8 são identificados os três mercados com maior relevância na pauta de exportação de produtos florestais brasileiros</w:t>
      </w:r>
      <w:r w:rsidRPr="008F0840">
        <w:t xml:space="preserve">, por valor exportado, </w:t>
      </w:r>
      <w:r w:rsidRPr="008F0840">
        <w:rPr>
          <w:rFonts w:eastAsia="Calibri"/>
          <w:lang w:eastAsia="en-US"/>
        </w:rPr>
        <w:t>no período 2000/2018. Como em vários setores da exportação brasileira nos últimos anos, a China tomou um lugar de destaque na importação de produtos florestais brasileiros, seguid</w:t>
      </w:r>
      <w:r w:rsidR="00400291">
        <w:rPr>
          <w:rFonts w:eastAsia="Calibri"/>
          <w:lang w:eastAsia="en-US"/>
        </w:rPr>
        <w:t>a</w:t>
      </w:r>
      <w:r w:rsidRPr="008F0840">
        <w:rPr>
          <w:rFonts w:eastAsia="Calibri"/>
          <w:lang w:eastAsia="en-US"/>
        </w:rPr>
        <w:t xml:space="preserve"> pelos EUA. O que chama a atenção é o aumento da razão de concentração das exportações brasileiras neste setor, </w:t>
      </w:r>
      <w:r w:rsidR="00400291">
        <w:rPr>
          <w:rFonts w:eastAsia="Calibri"/>
          <w:lang w:eastAsia="en-US"/>
        </w:rPr>
        <w:t>que</w:t>
      </w:r>
      <w:r w:rsidRPr="008F0840">
        <w:rPr>
          <w:rFonts w:eastAsia="Calibri"/>
          <w:lang w:eastAsia="en-US"/>
        </w:rPr>
        <w:t xml:space="preserve"> </w:t>
      </w:r>
      <w:r w:rsidR="00400291">
        <w:rPr>
          <w:rFonts w:eastAsia="Calibri"/>
          <w:lang w:eastAsia="en-US"/>
        </w:rPr>
        <w:t>foi</w:t>
      </w:r>
      <w:r w:rsidRPr="008F0840">
        <w:rPr>
          <w:rFonts w:eastAsia="Calibri"/>
          <w:lang w:eastAsia="en-US"/>
        </w:rPr>
        <w:t xml:space="preserve"> de quase </w:t>
      </w:r>
      <w:r w:rsidR="00400291">
        <w:rPr>
          <w:rFonts w:eastAsia="Calibri"/>
          <w:lang w:eastAsia="en-US"/>
        </w:rPr>
        <w:t>10</w:t>
      </w:r>
      <w:r w:rsidRPr="008F0840">
        <w:rPr>
          <w:rFonts w:eastAsia="Calibri"/>
          <w:lang w:eastAsia="en-US"/>
        </w:rPr>
        <w:t xml:space="preserve"> pontos percentuais em 18 anos, ou seja, o Brasil vende mais e para menos países, neste caso mais da metade dos produtos florestais são para apenas três países. </w:t>
      </w:r>
      <w:r w:rsidRPr="00400291">
        <w:rPr>
          <w:rFonts w:eastAsia="Calibri"/>
          <w:lang w:eastAsia="en-US"/>
        </w:rPr>
        <w:t xml:space="preserve">Assim, o Brasil se torna </w:t>
      </w:r>
      <w:r w:rsidR="00400291">
        <w:rPr>
          <w:rFonts w:eastAsia="Calibri"/>
          <w:lang w:eastAsia="en-US"/>
        </w:rPr>
        <w:t>dependente</w:t>
      </w:r>
      <w:r w:rsidRPr="00400291">
        <w:rPr>
          <w:rFonts w:eastAsia="Calibri"/>
          <w:lang w:eastAsia="en-US"/>
        </w:rPr>
        <w:t xml:space="preserve"> destes países, se eles apresentam desenvolvimento econômico e importam </w:t>
      </w:r>
      <w:r w:rsidRPr="00400291">
        <w:rPr>
          <w:rFonts w:eastAsia="Calibri"/>
          <w:lang w:eastAsia="en-US"/>
        </w:rPr>
        <w:lastRenderedPageBreak/>
        <w:t xml:space="preserve">mais, </w:t>
      </w:r>
      <w:r w:rsidR="00400291">
        <w:rPr>
          <w:rFonts w:eastAsia="Calibri"/>
          <w:lang w:eastAsia="en-US"/>
        </w:rPr>
        <w:t>isso é positivo para a economia brasileira</w:t>
      </w:r>
      <w:r w:rsidRPr="00400291">
        <w:rPr>
          <w:rFonts w:eastAsia="Calibri"/>
          <w:lang w:eastAsia="en-US"/>
        </w:rPr>
        <w:t>, mas se t</w:t>
      </w:r>
      <w:r w:rsidR="00400291">
        <w:rPr>
          <w:rFonts w:eastAsia="Calibri"/>
          <w:lang w:eastAsia="en-US"/>
        </w:rPr>
        <w:t>ê</w:t>
      </w:r>
      <w:r w:rsidRPr="00400291">
        <w:rPr>
          <w:rFonts w:eastAsia="Calibri"/>
          <w:lang w:eastAsia="en-US"/>
        </w:rPr>
        <w:t xml:space="preserve">m uma crise ou passam a produzir este bem internamente, o Brasil deixa de vender uma grande parcela do seu produto </w:t>
      </w:r>
      <w:r w:rsidR="00400291">
        <w:rPr>
          <w:rFonts w:eastAsia="Calibri"/>
          <w:lang w:eastAsia="en-US"/>
        </w:rPr>
        <w:t>para o exterior</w:t>
      </w:r>
      <w:r w:rsidRPr="00400291">
        <w:rPr>
          <w:rFonts w:eastAsia="Calibri"/>
          <w:lang w:eastAsia="en-US"/>
        </w:rPr>
        <w:t xml:space="preserve">. </w:t>
      </w:r>
    </w:p>
    <w:p w14:paraId="610C2D36" w14:textId="77777777" w:rsidR="00B80892" w:rsidRPr="008F0840" w:rsidRDefault="00B80892" w:rsidP="00B80892">
      <w:pPr>
        <w:spacing w:line="360" w:lineRule="auto"/>
        <w:jc w:val="both"/>
        <w:rPr>
          <w:rFonts w:eastAsia="Calibri"/>
          <w:b/>
          <w:lang w:eastAsia="en-US"/>
        </w:rPr>
      </w:pPr>
    </w:p>
    <w:p w14:paraId="2B2F4B0F" w14:textId="77777777" w:rsidR="00B80892" w:rsidRPr="008F0840" w:rsidRDefault="00B80892" w:rsidP="00B80892">
      <w:pPr>
        <w:spacing w:line="360" w:lineRule="auto"/>
        <w:jc w:val="center"/>
      </w:pPr>
      <w:r w:rsidRPr="008F0840">
        <w:t>Tabela 8: CR</w:t>
      </w:r>
      <w:r w:rsidRPr="008F0840">
        <w:rPr>
          <w:vertAlign w:val="subscript"/>
        </w:rPr>
        <w:t>3</w:t>
      </w:r>
      <w:r w:rsidRPr="008F0840">
        <w:t xml:space="preserve"> das exportações brasileiras de produtos florestais – 2000/2018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538"/>
        <w:gridCol w:w="2997"/>
        <w:gridCol w:w="1538"/>
      </w:tblGrid>
      <w:tr w:rsidR="00B80892" w:rsidRPr="008F0840" w14:paraId="15169983" w14:textId="77777777" w:rsidTr="00786424">
        <w:trPr>
          <w:trHeight w:val="64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505F3B24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2018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706CB2DC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2000</w:t>
            </w:r>
          </w:p>
        </w:tc>
      </w:tr>
      <w:tr w:rsidR="00B80892" w:rsidRPr="008F0840" w14:paraId="4E2F7E63" w14:textId="77777777" w:rsidTr="00786424">
        <w:trPr>
          <w:trHeight w:val="64"/>
          <w:jc w:val="center"/>
        </w:trPr>
        <w:tc>
          <w:tcPr>
            <w:tcW w:w="1652" w:type="pct"/>
            <w:shd w:val="clear" w:color="auto" w:fill="auto"/>
            <w:vAlign w:val="center"/>
            <w:hideMark/>
          </w:tcPr>
          <w:p w14:paraId="1F0BE62C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2689E693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%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14:paraId="135F5EE9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4CC8CB63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%</w:t>
            </w:r>
          </w:p>
        </w:tc>
      </w:tr>
      <w:tr w:rsidR="00B80892" w:rsidRPr="008F0840" w14:paraId="05BF2E42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0F108B9C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China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8C8ABE1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26,52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15767FCD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EUA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E11A3A0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25,27</w:t>
            </w:r>
          </w:p>
        </w:tc>
      </w:tr>
      <w:tr w:rsidR="00B80892" w:rsidRPr="008F0840" w14:paraId="678F4758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125E5AA5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EUA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8C8160D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18,64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3F02CDB6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Argentina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9A828D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8,81</w:t>
            </w:r>
          </w:p>
        </w:tc>
      </w:tr>
      <w:tr w:rsidR="00B80892" w:rsidRPr="008F0840" w14:paraId="788603E0" w14:textId="77777777" w:rsidTr="00786424">
        <w:trPr>
          <w:trHeight w:val="53"/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7EB0D8ED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Itália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17EF3C2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6,53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5E5A3676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Bélgica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5E836AA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8,45</w:t>
            </w:r>
          </w:p>
        </w:tc>
      </w:tr>
      <w:tr w:rsidR="00B80892" w:rsidRPr="008F0840" w14:paraId="65D76139" w14:textId="77777777" w:rsidTr="00786424">
        <w:trPr>
          <w:trHeight w:val="53"/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484FACB3" w14:textId="44C790D6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</w:t>
            </w:r>
            <w:r w:rsidR="00D374B5">
              <w:rPr>
                <w:sz w:val="20"/>
                <w:szCs w:val="20"/>
              </w:rPr>
              <w:t>R</w:t>
            </w:r>
            <w:r w:rsidRPr="008F084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3A1207A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51,66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4767ACCE" w14:textId="68D87182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</w:t>
            </w:r>
            <w:r w:rsidR="00D374B5">
              <w:rPr>
                <w:sz w:val="20"/>
                <w:szCs w:val="20"/>
              </w:rPr>
              <w:t>R</w:t>
            </w:r>
            <w:r w:rsidRPr="008F084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F5D356C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42,53</w:t>
            </w:r>
          </w:p>
        </w:tc>
      </w:tr>
    </w:tbl>
    <w:p w14:paraId="12B9C49E" w14:textId="77777777" w:rsidR="00B80892" w:rsidRPr="008F0840" w:rsidRDefault="00B80892" w:rsidP="00B80892">
      <w:pPr>
        <w:pStyle w:val="Unisinos-Ttulo1"/>
        <w:spacing w:after="0"/>
        <w:jc w:val="both"/>
        <w:rPr>
          <w:rFonts w:ascii="Times New Roman" w:eastAsia="Calibri" w:hAnsi="Times New Roman" w:cs="Times New Roman"/>
          <w:b w:val="0"/>
          <w:color w:val="auto"/>
          <w:sz w:val="20"/>
          <w:szCs w:val="20"/>
          <w:lang w:eastAsia="en-US"/>
        </w:rPr>
      </w:pPr>
      <w:r w:rsidRPr="008F0840">
        <w:rPr>
          <w:rFonts w:ascii="Times New Roman" w:hAnsi="Times New Roman" w:cs="Times New Roman"/>
          <w:b w:val="0"/>
          <w:color w:val="auto"/>
          <w:sz w:val="20"/>
          <w:szCs w:val="20"/>
        </w:rPr>
        <w:t>Fonte: Elaboração dos autores a partir de Brasil (2019a).</w:t>
      </w:r>
    </w:p>
    <w:p w14:paraId="7BB88D01" w14:textId="77777777" w:rsidR="00B80892" w:rsidRPr="008F0840" w:rsidRDefault="00B80892" w:rsidP="00B80892">
      <w:pPr>
        <w:spacing w:line="360" w:lineRule="auto"/>
      </w:pPr>
    </w:p>
    <w:p w14:paraId="720654A0" w14:textId="77777777" w:rsidR="00B80892" w:rsidRPr="008F0840" w:rsidRDefault="00B80892" w:rsidP="00B80892">
      <w:pPr>
        <w:spacing w:line="360" w:lineRule="auto"/>
      </w:pPr>
      <w:r w:rsidRPr="008F0840">
        <w:t>3.4 COMPLEXO SUCROALCOOLEIRO</w:t>
      </w:r>
    </w:p>
    <w:p w14:paraId="77E9624D" w14:textId="77777777" w:rsidR="00B80892" w:rsidRPr="008F0840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4F6D1EA1" w14:textId="34511DFC" w:rsidR="00B80892" w:rsidRPr="00F00CA2" w:rsidRDefault="00B80892" w:rsidP="00B80892">
      <w:pPr>
        <w:spacing w:line="360" w:lineRule="auto"/>
        <w:ind w:firstLine="709"/>
        <w:jc w:val="both"/>
      </w:pPr>
      <w:r w:rsidRPr="008F0840">
        <w:t xml:space="preserve">Na </w:t>
      </w:r>
      <w:r w:rsidRPr="00F00CA2">
        <w:t xml:space="preserve">Tabela 9, observam-se as exportações do complexo sucroalcooleiro por subsetores entre 2000 e 2018. O complexo sucroalcooleiro também registrou aumento no valor e na quantidade exportada </w:t>
      </w:r>
      <w:r w:rsidR="00F00CA2" w:rsidRPr="00F00CA2">
        <w:t>no período</w:t>
      </w:r>
      <w:r w:rsidRPr="00F00CA2">
        <w:t>.</w:t>
      </w:r>
      <w:r w:rsidR="00F00CA2" w:rsidRPr="00F00CA2">
        <w:t xml:space="preserve"> </w:t>
      </w:r>
      <w:r w:rsidRPr="00F00CA2">
        <w:t>O setor como um todo registou um aumento médio anual em torno de 33%, com destaque para o álcool</w:t>
      </w:r>
      <w:r w:rsidR="00F00CA2" w:rsidRPr="00F00CA2">
        <w:t>,</w:t>
      </w:r>
      <w:r w:rsidRPr="00F00CA2">
        <w:t xml:space="preserve"> que aumentou mais de 25 vezes o valor exportado, fato esse que se explica também pela diminuição do consum</w:t>
      </w:r>
      <w:r w:rsidR="00F00CA2" w:rsidRPr="00F00CA2">
        <w:t>o</w:t>
      </w:r>
      <w:r w:rsidRPr="00F00CA2">
        <w:t xml:space="preserve"> interno do álcool por diversos motivos, </w:t>
      </w:r>
      <w:r w:rsidR="00F00CA2" w:rsidRPr="00F00CA2">
        <w:t xml:space="preserve">como </w:t>
      </w:r>
      <w:r w:rsidRPr="00F00CA2">
        <w:t>preço semelhante à gasolina, falta de incentivo do setor público à continuidade do consumo deste produt</w:t>
      </w:r>
      <w:r w:rsidR="00F00CA2" w:rsidRPr="00F00CA2">
        <w:t>o</w:t>
      </w:r>
      <w:r w:rsidRPr="00F00CA2">
        <w:t xml:space="preserve"> etc.</w:t>
      </w:r>
    </w:p>
    <w:p w14:paraId="283CEDAB" w14:textId="77777777" w:rsidR="00B80892" w:rsidRPr="00F00CA2" w:rsidRDefault="00B80892" w:rsidP="00B80892">
      <w:pPr>
        <w:spacing w:line="360" w:lineRule="auto"/>
        <w:jc w:val="both"/>
      </w:pPr>
    </w:p>
    <w:p w14:paraId="4476712B" w14:textId="082537B1" w:rsidR="00B80892" w:rsidRPr="008F0840" w:rsidRDefault="00B80892" w:rsidP="00B80892">
      <w:pPr>
        <w:tabs>
          <w:tab w:val="left" w:pos="4573"/>
          <w:tab w:val="left" w:pos="5432"/>
          <w:tab w:val="left" w:pos="6583"/>
          <w:tab w:val="left" w:pos="7388"/>
          <w:tab w:val="left" w:pos="8406"/>
        </w:tabs>
        <w:spacing w:line="360" w:lineRule="auto"/>
        <w:ind w:left="70"/>
        <w:jc w:val="center"/>
      </w:pPr>
      <w:r w:rsidRPr="008F0840">
        <w:t>Tabela 9: Exportações brasileiras do complexo sucroalcooleiro por subsetores</w:t>
      </w:r>
      <w:r w:rsidR="00D374B5">
        <w:t xml:space="preserve"> </w:t>
      </w:r>
      <w:r w:rsidRPr="008F0840">
        <w:t>– 2000/2018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531"/>
        <w:gridCol w:w="1531"/>
        <w:gridCol w:w="1531"/>
        <w:gridCol w:w="1533"/>
      </w:tblGrid>
      <w:tr w:rsidR="00B80892" w:rsidRPr="008F0840" w14:paraId="76A7D81D" w14:textId="77777777" w:rsidTr="00786424">
        <w:trPr>
          <w:trHeight w:val="54"/>
        </w:trPr>
        <w:tc>
          <w:tcPr>
            <w:tcW w:w="1623" w:type="pct"/>
            <w:vMerge w:val="restart"/>
            <w:shd w:val="clear" w:color="auto" w:fill="auto"/>
            <w:noWrap/>
            <w:vAlign w:val="center"/>
            <w:hideMark/>
          </w:tcPr>
          <w:p w14:paraId="0EE0535E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Setor/Subsetores</w:t>
            </w:r>
          </w:p>
        </w:tc>
        <w:tc>
          <w:tcPr>
            <w:tcW w:w="1688" w:type="pct"/>
            <w:gridSpan w:val="2"/>
            <w:vAlign w:val="center"/>
          </w:tcPr>
          <w:p w14:paraId="4EEB0155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689" w:type="pct"/>
            <w:gridSpan w:val="2"/>
            <w:shd w:val="clear" w:color="auto" w:fill="auto"/>
            <w:noWrap/>
            <w:vAlign w:val="center"/>
            <w:hideMark/>
          </w:tcPr>
          <w:p w14:paraId="289EFEF5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2000</w:t>
            </w:r>
          </w:p>
        </w:tc>
      </w:tr>
      <w:tr w:rsidR="00B80892" w:rsidRPr="008F0840" w14:paraId="12001D56" w14:textId="77777777" w:rsidTr="00786424">
        <w:trPr>
          <w:trHeight w:val="54"/>
        </w:trPr>
        <w:tc>
          <w:tcPr>
            <w:tcW w:w="1623" w:type="pct"/>
            <w:vMerge/>
            <w:vAlign w:val="center"/>
            <w:hideMark/>
          </w:tcPr>
          <w:p w14:paraId="201ACBF2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F0EBCAF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Valor (US$ milhões)</w:t>
            </w:r>
          </w:p>
        </w:tc>
        <w:tc>
          <w:tcPr>
            <w:tcW w:w="844" w:type="pct"/>
            <w:vAlign w:val="center"/>
          </w:tcPr>
          <w:p w14:paraId="33696123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Peso (</w:t>
            </w:r>
            <w:r w:rsidRPr="008F0840">
              <w:rPr>
                <w:sz w:val="20"/>
                <w:szCs w:val="20"/>
              </w:rPr>
              <w:t>mil toneladas</w:t>
            </w:r>
            <w:r w:rsidRPr="008F084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14:paraId="6CC05434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Valor (US$ milhões)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14:paraId="296B3C96" w14:textId="77777777" w:rsidR="00B80892" w:rsidRPr="008F0840" w:rsidRDefault="00B80892" w:rsidP="00786424">
            <w:pPr>
              <w:jc w:val="center"/>
              <w:rPr>
                <w:bCs/>
                <w:sz w:val="20"/>
                <w:szCs w:val="20"/>
              </w:rPr>
            </w:pPr>
            <w:r w:rsidRPr="008F0840">
              <w:rPr>
                <w:bCs/>
                <w:sz w:val="20"/>
                <w:szCs w:val="20"/>
              </w:rPr>
              <w:t>Peso (</w:t>
            </w:r>
            <w:r w:rsidRPr="008F0840">
              <w:rPr>
                <w:sz w:val="20"/>
                <w:szCs w:val="20"/>
              </w:rPr>
              <w:t>mil toneladas</w:t>
            </w:r>
            <w:r w:rsidRPr="008F0840">
              <w:rPr>
                <w:bCs/>
                <w:sz w:val="20"/>
                <w:szCs w:val="20"/>
              </w:rPr>
              <w:t>)</w:t>
            </w:r>
          </w:p>
        </w:tc>
      </w:tr>
      <w:tr w:rsidR="00F00CA2" w:rsidRPr="008F0840" w14:paraId="55063A5E" w14:textId="77777777" w:rsidTr="00786424">
        <w:trPr>
          <w:trHeight w:val="64"/>
        </w:trPr>
        <w:tc>
          <w:tcPr>
            <w:tcW w:w="1623" w:type="pct"/>
            <w:shd w:val="clear" w:color="auto" w:fill="auto"/>
            <w:noWrap/>
            <w:vAlign w:val="center"/>
            <w:hideMark/>
          </w:tcPr>
          <w:p w14:paraId="297233BA" w14:textId="77777777" w:rsidR="00F00CA2" w:rsidRPr="008F0840" w:rsidRDefault="00F00CA2" w:rsidP="00F00CA2">
            <w:pPr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Complexo sucroalcooleiro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1D3724FD" w14:textId="09D4D6D3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7.432,7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6792BD26" w14:textId="155FD1E9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22.678,5</w:t>
            </w:r>
          </w:p>
        </w:tc>
        <w:tc>
          <w:tcPr>
            <w:tcW w:w="844" w:type="pct"/>
            <w:shd w:val="clear" w:color="000000" w:fill="FFFFFF"/>
            <w:noWrap/>
            <w:vAlign w:val="center"/>
          </w:tcPr>
          <w:p w14:paraId="036F4056" w14:textId="0112192C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1.238,1</w:t>
            </w:r>
          </w:p>
        </w:tc>
        <w:tc>
          <w:tcPr>
            <w:tcW w:w="845" w:type="pct"/>
            <w:shd w:val="clear" w:color="000000" w:fill="FFFFFF"/>
            <w:noWrap/>
            <w:vAlign w:val="center"/>
          </w:tcPr>
          <w:p w14:paraId="5E03DB70" w14:textId="270D5624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6.714,4</w:t>
            </w:r>
          </w:p>
        </w:tc>
      </w:tr>
      <w:tr w:rsidR="00F00CA2" w:rsidRPr="008F0840" w14:paraId="0FAB7C5D" w14:textId="77777777" w:rsidTr="00786424">
        <w:trPr>
          <w:trHeight w:val="63"/>
        </w:trPr>
        <w:tc>
          <w:tcPr>
            <w:tcW w:w="1623" w:type="pct"/>
            <w:shd w:val="clear" w:color="auto" w:fill="auto"/>
            <w:noWrap/>
            <w:vAlign w:val="center"/>
            <w:hideMark/>
          </w:tcPr>
          <w:p w14:paraId="6AFA0A74" w14:textId="77777777" w:rsidR="00F00CA2" w:rsidRPr="008F0840" w:rsidRDefault="00F00CA2" w:rsidP="00F00CA2">
            <w:pPr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- Açúcar de cana ou beterraba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156FE9F9" w14:textId="4D8A3831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6.525,8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016FA33E" w14:textId="2579CBEF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21.305,0</w:t>
            </w:r>
          </w:p>
        </w:tc>
        <w:tc>
          <w:tcPr>
            <w:tcW w:w="844" w:type="pct"/>
            <w:shd w:val="clear" w:color="000000" w:fill="FFFFFF"/>
            <w:noWrap/>
            <w:vAlign w:val="center"/>
          </w:tcPr>
          <w:p w14:paraId="32D63453" w14:textId="7E05F92A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1.199,1</w:t>
            </w:r>
          </w:p>
        </w:tc>
        <w:tc>
          <w:tcPr>
            <w:tcW w:w="845" w:type="pct"/>
            <w:shd w:val="clear" w:color="000000" w:fill="FFFFFF"/>
            <w:noWrap/>
            <w:vAlign w:val="center"/>
          </w:tcPr>
          <w:p w14:paraId="5EA233D6" w14:textId="6FC86C32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6.502,4</w:t>
            </w:r>
          </w:p>
        </w:tc>
      </w:tr>
      <w:tr w:rsidR="00F00CA2" w:rsidRPr="008F0840" w14:paraId="5DF41B80" w14:textId="77777777" w:rsidTr="00786424">
        <w:trPr>
          <w:trHeight w:val="56"/>
        </w:trPr>
        <w:tc>
          <w:tcPr>
            <w:tcW w:w="1623" w:type="pct"/>
            <w:shd w:val="clear" w:color="auto" w:fill="auto"/>
            <w:noWrap/>
            <w:vAlign w:val="center"/>
            <w:hideMark/>
          </w:tcPr>
          <w:p w14:paraId="40CEAEE3" w14:textId="77777777" w:rsidR="00F00CA2" w:rsidRPr="008F0840" w:rsidRDefault="00F00CA2" w:rsidP="00F00CA2">
            <w:pPr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Álcool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54180FA8" w14:textId="4BD81FCA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892,1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3A1D8E07" w14:textId="1E00E9F7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1.341,5</w:t>
            </w:r>
          </w:p>
        </w:tc>
        <w:tc>
          <w:tcPr>
            <w:tcW w:w="844" w:type="pct"/>
            <w:shd w:val="clear" w:color="000000" w:fill="FFFFFF"/>
            <w:noWrap/>
            <w:vAlign w:val="center"/>
          </w:tcPr>
          <w:p w14:paraId="1ADE6EE6" w14:textId="72ECC22D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845" w:type="pct"/>
            <w:shd w:val="clear" w:color="000000" w:fill="FFFFFF"/>
            <w:noWrap/>
            <w:vAlign w:val="center"/>
          </w:tcPr>
          <w:p w14:paraId="6251248D" w14:textId="2397D6DF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</w:tr>
      <w:tr w:rsidR="00F00CA2" w:rsidRPr="008F0840" w14:paraId="0AF66AA7" w14:textId="77777777" w:rsidTr="00786424">
        <w:trPr>
          <w:trHeight w:val="56"/>
        </w:trPr>
        <w:tc>
          <w:tcPr>
            <w:tcW w:w="1623" w:type="pct"/>
            <w:shd w:val="clear" w:color="auto" w:fill="auto"/>
            <w:noWrap/>
            <w:vAlign w:val="center"/>
            <w:hideMark/>
          </w:tcPr>
          <w:p w14:paraId="78CFD503" w14:textId="77777777" w:rsidR="00F00CA2" w:rsidRPr="008F0840" w:rsidRDefault="00F00CA2" w:rsidP="00F00CA2">
            <w:pPr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 xml:space="preserve">   - Demais açúcares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582BDA49" w14:textId="08D9F577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844" w:type="pct"/>
            <w:shd w:val="clear" w:color="000000" w:fill="FFFFFF"/>
            <w:vAlign w:val="center"/>
          </w:tcPr>
          <w:p w14:paraId="256208A6" w14:textId="2554F7B9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844" w:type="pct"/>
            <w:shd w:val="clear" w:color="000000" w:fill="FFFFFF"/>
            <w:noWrap/>
            <w:vAlign w:val="center"/>
          </w:tcPr>
          <w:p w14:paraId="3CF291E3" w14:textId="4C4B321B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45" w:type="pct"/>
            <w:shd w:val="clear" w:color="000000" w:fill="FFFFFF"/>
            <w:noWrap/>
            <w:vAlign w:val="center"/>
          </w:tcPr>
          <w:p w14:paraId="40D3732D" w14:textId="2E65C082" w:rsidR="00F00CA2" w:rsidRPr="008F0840" w:rsidRDefault="00F00CA2" w:rsidP="00F0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</w:tr>
    </w:tbl>
    <w:p w14:paraId="2A665253" w14:textId="77777777" w:rsidR="00B80892" w:rsidRPr="008F0840" w:rsidRDefault="00B80892" w:rsidP="00B80892">
      <w:pPr>
        <w:spacing w:line="360" w:lineRule="auto"/>
        <w:rPr>
          <w:sz w:val="20"/>
          <w:szCs w:val="20"/>
        </w:rPr>
      </w:pPr>
      <w:r w:rsidRPr="008F0840">
        <w:rPr>
          <w:sz w:val="20"/>
          <w:szCs w:val="20"/>
        </w:rPr>
        <w:t>Fonte: Elaboração dos autores a partir de Brasil (2019a).</w:t>
      </w:r>
    </w:p>
    <w:p w14:paraId="327102D5" w14:textId="77777777" w:rsidR="00B80892" w:rsidRPr="008F0840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34868690" w14:textId="27BEF5EE" w:rsidR="00B80892" w:rsidRPr="008F0840" w:rsidRDefault="00B80892" w:rsidP="00B80892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8F0840">
        <w:rPr>
          <w:sz w:val="24"/>
          <w:szCs w:val="24"/>
          <w:lang w:val="pt-BR"/>
        </w:rPr>
        <w:t xml:space="preserve">Na Tabela 10 são identificados, por valor exportado, os três mercados com maior relevância na pauta de exportação brasileira </w:t>
      </w:r>
      <w:r w:rsidRPr="008F0840">
        <w:rPr>
          <w:sz w:val="24"/>
          <w:szCs w:val="24"/>
        </w:rPr>
        <w:t xml:space="preserve">do complexo sucroalcooleiro </w:t>
      </w:r>
      <w:r w:rsidRPr="008F0840">
        <w:rPr>
          <w:sz w:val="24"/>
          <w:szCs w:val="24"/>
          <w:lang w:val="pt-BR"/>
        </w:rPr>
        <w:t xml:space="preserve">no período 2000/2018. </w:t>
      </w:r>
      <w:r w:rsidR="00D374B5">
        <w:rPr>
          <w:sz w:val="24"/>
          <w:szCs w:val="24"/>
          <w:lang w:val="pt-BR"/>
        </w:rPr>
        <w:t>Neste setor</w:t>
      </w:r>
      <w:r w:rsidRPr="008F0840">
        <w:rPr>
          <w:sz w:val="24"/>
          <w:szCs w:val="24"/>
          <w:lang w:val="pt-BR"/>
        </w:rPr>
        <w:t>, diferente</w:t>
      </w:r>
      <w:r w:rsidR="00D374B5">
        <w:rPr>
          <w:sz w:val="24"/>
          <w:szCs w:val="24"/>
          <w:lang w:val="pt-BR"/>
        </w:rPr>
        <w:t>mente</w:t>
      </w:r>
      <w:r w:rsidRPr="008F0840">
        <w:rPr>
          <w:sz w:val="24"/>
          <w:szCs w:val="24"/>
          <w:lang w:val="pt-BR"/>
        </w:rPr>
        <w:t xml:space="preserve"> do setor florestal, observ</w:t>
      </w:r>
      <w:r w:rsidR="00D374B5">
        <w:rPr>
          <w:sz w:val="24"/>
          <w:szCs w:val="24"/>
          <w:lang w:val="pt-BR"/>
        </w:rPr>
        <w:t>ou-se</w:t>
      </w:r>
      <w:r w:rsidRPr="008F0840">
        <w:rPr>
          <w:sz w:val="24"/>
          <w:szCs w:val="24"/>
          <w:lang w:val="pt-BR"/>
        </w:rPr>
        <w:t xml:space="preserve"> uma diminuição da taxa de concentração</w:t>
      </w:r>
      <w:r w:rsidR="00D374B5">
        <w:rPr>
          <w:sz w:val="24"/>
          <w:szCs w:val="24"/>
          <w:lang w:val="pt-BR"/>
        </w:rPr>
        <w:t xml:space="preserve"> de</w:t>
      </w:r>
      <w:r w:rsidRPr="008F0840">
        <w:rPr>
          <w:sz w:val="24"/>
          <w:szCs w:val="24"/>
          <w:lang w:val="pt-BR"/>
        </w:rPr>
        <w:t xml:space="preserve"> 16,</w:t>
      </w:r>
      <w:r w:rsidR="00D374B5">
        <w:rPr>
          <w:sz w:val="24"/>
          <w:szCs w:val="24"/>
          <w:lang w:val="pt-BR"/>
        </w:rPr>
        <w:t>9</w:t>
      </w:r>
      <w:r w:rsidRPr="008F0840">
        <w:rPr>
          <w:sz w:val="24"/>
          <w:szCs w:val="24"/>
          <w:lang w:val="pt-BR"/>
        </w:rPr>
        <w:t xml:space="preserve"> pontos percentuais</w:t>
      </w:r>
      <w:r w:rsidR="00D374B5">
        <w:rPr>
          <w:sz w:val="24"/>
          <w:szCs w:val="24"/>
          <w:lang w:val="pt-BR"/>
        </w:rPr>
        <w:t>. I</w:t>
      </w:r>
      <w:r w:rsidRPr="008F0840">
        <w:rPr>
          <w:sz w:val="24"/>
          <w:szCs w:val="24"/>
          <w:lang w:val="pt-BR"/>
        </w:rPr>
        <w:t xml:space="preserve">sso fica mais evidente quando </w:t>
      </w:r>
      <w:r w:rsidR="00D374B5">
        <w:rPr>
          <w:sz w:val="24"/>
          <w:szCs w:val="24"/>
          <w:lang w:val="pt-BR"/>
        </w:rPr>
        <w:t>se observou</w:t>
      </w:r>
      <w:r w:rsidRPr="008F0840">
        <w:rPr>
          <w:sz w:val="24"/>
          <w:szCs w:val="24"/>
          <w:lang w:val="pt-BR"/>
        </w:rPr>
        <w:t xml:space="preserve"> que não há mais um grande importador, como em 2000</w:t>
      </w:r>
      <w:r w:rsidR="00D374B5">
        <w:rPr>
          <w:sz w:val="24"/>
          <w:szCs w:val="24"/>
          <w:lang w:val="pt-BR"/>
        </w:rPr>
        <w:t>,</w:t>
      </w:r>
      <w:r w:rsidRPr="008F0840">
        <w:rPr>
          <w:sz w:val="24"/>
          <w:szCs w:val="24"/>
          <w:lang w:val="pt-BR"/>
        </w:rPr>
        <w:t xml:space="preserve"> com a Rússia </w:t>
      </w:r>
      <w:r w:rsidR="00D374B5">
        <w:rPr>
          <w:sz w:val="24"/>
          <w:szCs w:val="24"/>
          <w:lang w:val="pt-BR"/>
        </w:rPr>
        <w:t>consumindo</w:t>
      </w:r>
      <w:r w:rsidRPr="008F0840">
        <w:rPr>
          <w:sz w:val="24"/>
          <w:szCs w:val="24"/>
          <w:lang w:val="pt-BR"/>
        </w:rPr>
        <w:t xml:space="preserve"> quase ¼ das exportações do setor. Destaque positivo para o aumento das exportações para os EUA (em 2000</w:t>
      </w:r>
      <w:r w:rsidR="00D374B5">
        <w:rPr>
          <w:sz w:val="24"/>
          <w:szCs w:val="24"/>
          <w:lang w:val="pt-BR"/>
        </w:rPr>
        <w:t>,</w:t>
      </w:r>
      <w:r w:rsidRPr="008F0840">
        <w:rPr>
          <w:sz w:val="24"/>
          <w:szCs w:val="24"/>
          <w:lang w:val="pt-BR"/>
        </w:rPr>
        <w:t xml:space="preserve"> </w:t>
      </w:r>
      <w:r w:rsidRPr="008F0840">
        <w:rPr>
          <w:sz w:val="24"/>
          <w:szCs w:val="24"/>
          <w:lang w:val="pt-BR"/>
        </w:rPr>
        <w:lastRenderedPageBreak/>
        <w:t>representava 6,</w:t>
      </w:r>
      <w:r w:rsidR="00D374B5">
        <w:rPr>
          <w:sz w:val="24"/>
          <w:szCs w:val="24"/>
          <w:lang w:val="pt-BR"/>
        </w:rPr>
        <w:t>3</w:t>
      </w:r>
      <w:r w:rsidRPr="008F0840">
        <w:rPr>
          <w:sz w:val="24"/>
          <w:szCs w:val="24"/>
          <w:lang w:val="pt-BR"/>
        </w:rPr>
        <w:t xml:space="preserve">% das exportações brasileiras do setor) de quase 50% em 18 anos. Outro ponto </w:t>
      </w:r>
      <w:r w:rsidR="00D374B5">
        <w:rPr>
          <w:sz w:val="24"/>
          <w:szCs w:val="24"/>
          <w:lang w:val="pt-BR"/>
        </w:rPr>
        <w:t xml:space="preserve">que identificado foi </w:t>
      </w:r>
      <w:r w:rsidRPr="008F0840">
        <w:rPr>
          <w:sz w:val="24"/>
          <w:szCs w:val="24"/>
          <w:lang w:val="pt-BR"/>
        </w:rPr>
        <w:t xml:space="preserve">o fato </w:t>
      </w:r>
      <w:r w:rsidR="00D374B5" w:rsidRPr="008F0840">
        <w:rPr>
          <w:sz w:val="24"/>
          <w:szCs w:val="24"/>
          <w:lang w:val="pt-BR"/>
        </w:rPr>
        <w:t>de o</w:t>
      </w:r>
      <w:r w:rsidRPr="008F0840">
        <w:rPr>
          <w:sz w:val="24"/>
          <w:szCs w:val="24"/>
          <w:lang w:val="pt-BR"/>
        </w:rPr>
        <w:t xml:space="preserve"> Brasil conseguir realocar grande parcela da produção que a Rússia deixou de importar (caiu de 24,9% para 0,9% das exportações brasileiras do setor). </w:t>
      </w:r>
    </w:p>
    <w:p w14:paraId="27E50C58" w14:textId="77777777" w:rsidR="00B80892" w:rsidRPr="008F0840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19175121" w14:textId="77777777" w:rsidR="00B80892" w:rsidRPr="008F0840" w:rsidRDefault="00B80892" w:rsidP="00B80892">
      <w:pPr>
        <w:spacing w:line="360" w:lineRule="auto"/>
        <w:jc w:val="center"/>
      </w:pPr>
      <w:r w:rsidRPr="008F0840">
        <w:t>Tabela 10: CR</w:t>
      </w:r>
      <w:r w:rsidRPr="008F0840">
        <w:rPr>
          <w:vertAlign w:val="subscript"/>
        </w:rPr>
        <w:t>3</w:t>
      </w:r>
      <w:r w:rsidRPr="008F0840">
        <w:t xml:space="preserve"> das exportações brasileiras do complexo sucroalcooleiro – 2000/2018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538"/>
        <w:gridCol w:w="2997"/>
        <w:gridCol w:w="1538"/>
      </w:tblGrid>
      <w:tr w:rsidR="00B80892" w:rsidRPr="008F0840" w14:paraId="2A8278AE" w14:textId="77777777" w:rsidTr="00786424">
        <w:trPr>
          <w:trHeight w:val="64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2E902B91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2018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6BE42593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2000</w:t>
            </w:r>
          </w:p>
        </w:tc>
      </w:tr>
      <w:tr w:rsidR="00B80892" w:rsidRPr="008F0840" w14:paraId="257A9348" w14:textId="77777777" w:rsidTr="00786424">
        <w:trPr>
          <w:trHeight w:val="64"/>
          <w:jc w:val="center"/>
        </w:trPr>
        <w:tc>
          <w:tcPr>
            <w:tcW w:w="1652" w:type="pct"/>
            <w:shd w:val="clear" w:color="auto" w:fill="auto"/>
            <w:vAlign w:val="center"/>
            <w:hideMark/>
          </w:tcPr>
          <w:p w14:paraId="6A5C83D9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7A3B1776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%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14:paraId="47FFFED5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Países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14:paraId="42DFF9AF" w14:textId="77777777" w:rsidR="00B80892" w:rsidRPr="008F0840" w:rsidRDefault="00B80892" w:rsidP="00786424">
            <w:pPr>
              <w:jc w:val="center"/>
              <w:rPr>
                <w:sz w:val="20"/>
                <w:szCs w:val="20"/>
              </w:rPr>
            </w:pPr>
            <w:r w:rsidRPr="008F0840">
              <w:rPr>
                <w:sz w:val="20"/>
                <w:szCs w:val="20"/>
              </w:rPr>
              <w:t>%</w:t>
            </w:r>
          </w:p>
        </w:tc>
      </w:tr>
      <w:tr w:rsidR="00B80892" w:rsidRPr="008F0840" w14:paraId="2FF1FC93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6A70E96D" w14:textId="77777777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EUA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8B7E440" w14:textId="63ED6454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9,3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11BC2313" w14:textId="77777777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Rússia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99A4FBD" w14:textId="7BAA58CD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24,9</w:t>
            </w:r>
          </w:p>
        </w:tc>
      </w:tr>
      <w:tr w:rsidR="00B80892" w:rsidRPr="008F0840" w14:paraId="6797D139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71735111" w14:textId="77777777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Argélia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FF9E5D2" w14:textId="252EE58D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9,1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60F291D0" w14:textId="77777777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Nigéria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4D0C163" w14:textId="511DA98E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9,1</w:t>
            </w:r>
          </w:p>
        </w:tc>
      </w:tr>
      <w:tr w:rsidR="00B80892" w:rsidRPr="008F0840" w14:paraId="70E42310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464264E1" w14:textId="77777777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Índia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C24D829" w14:textId="294224E3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7,</w:t>
            </w:r>
            <w:r w:rsidR="00D374B5">
              <w:rPr>
                <w:sz w:val="20"/>
                <w:szCs w:val="20"/>
                <w:lang w:eastAsia="pt-PT"/>
              </w:rPr>
              <w:t>9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2C85A797" w14:textId="77777777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Emirados Árabes Unidos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E7B07BA" w14:textId="3785B218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8,</w:t>
            </w:r>
            <w:r w:rsidR="00D374B5">
              <w:rPr>
                <w:sz w:val="20"/>
                <w:szCs w:val="20"/>
                <w:lang w:eastAsia="pt-PT"/>
              </w:rPr>
              <w:t>6</w:t>
            </w:r>
          </w:p>
        </w:tc>
      </w:tr>
      <w:tr w:rsidR="00B80892" w:rsidRPr="008F0840" w14:paraId="431AD2F0" w14:textId="77777777" w:rsidTr="00786424">
        <w:trPr>
          <w:jc w:val="center"/>
        </w:trPr>
        <w:tc>
          <w:tcPr>
            <w:tcW w:w="1652" w:type="pct"/>
            <w:shd w:val="clear" w:color="auto" w:fill="auto"/>
            <w:vAlign w:val="center"/>
          </w:tcPr>
          <w:p w14:paraId="7B221B5D" w14:textId="77777777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CR</w:t>
            </w:r>
            <w:r w:rsidRPr="00D374B5">
              <w:rPr>
                <w:sz w:val="20"/>
                <w:szCs w:val="20"/>
                <w:vertAlign w:val="subscript"/>
                <w:lang w:eastAsia="pt-PT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680B70B" w14:textId="05B7EA76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25,</w:t>
            </w:r>
            <w:r w:rsidR="00D374B5">
              <w:rPr>
                <w:sz w:val="20"/>
                <w:szCs w:val="20"/>
                <w:lang w:eastAsia="pt-PT"/>
              </w:rPr>
              <w:t>8</w:t>
            </w:r>
          </w:p>
        </w:tc>
        <w:tc>
          <w:tcPr>
            <w:tcW w:w="1652" w:type="pct"/>
            <w:shd w:val="clear" w:color="auto" w:fill="auto"/>
            <w:vAlign w:val="center"/>
          </w:tcPr>
          <w:p w14:paraId="72FB0F5D" w14:textId="77777777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CR</w:t>
            </w:r>
            <w:r w:rsidRPr="00D374B5">
              <w:rPr>
                <w:sz w:val="20"/>
                <w:szCs w:val="20"/>
                <w:vertAlign w:val="subscript"/>
                <w:lang w:eastAsia="pt-PT"/>
              </w:rPr>
              <w:t>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48951FB" w14:textId="1F0E13DE" w:rsidR="00B80892" w:rsidRPr="008F0840" w:rsidRDefault="00B80892" w:rsidP="00786424">
            <w:pPr>
              <w:jc w:val="center"/>
              <w:rPr>
                <w:sz w:val="20"/>
                <w:szCs w:val="20"/>
                <w:lang w:eastAsia="pt-PT"/>
              </w:rPr>
            </w:pPr>
            <w:r w:rsidRPr="008F0840">
              <w:rPr>
                <w:sz w:val="20"/>
                <w:szCs w:val="20"/>
                <w:lang w:eastAsia="pt-PT"/>
              </w:rPr>
              <w:t>42,6</w:t>
            </w:r>
          </w:p>
        </w:tc>
      </w:tr>
    </w:tbl>
    <w:p w14:paraId="68F65FE8" w14:textId="771B2956" w:rsidR="00570209" w:rsidRPr="008F0840" w:rsidRDefault="00B80892" w:rsidP="00A62506">
      <w:pPr>
        <w:pStyle w:val="Unisinos-Ttulo1"/>
        <w:spacing w:after="0"/>
        <w:jc w:val="both"/>
        <w:rPr>
          <w:rFonts w:ascii="Times New Roman" w:eastAsia="Calibri" w:hAnsi="Times New Roman" w:cs="Times New Roman"/>
          <w:b w:val="0"/>
          <w:color w:val="auto"/>
          <w:sz w:val="20"/>
          <w:szCs w:val="20"/>
          <w:lang w:eastAsia="en-US"/>
        </w:rPr>
      </w:pPr>
      <w:r w:rsidRPr="008F0840">
        <w:rPr>
          <w:rFonts w:ascii="Times New Roman" w:hAnsi="Times New Roman" w:cs="Times New Roman"/>
          <w:b w:val="0"/>
          <w:color w:val="auto"/>
          <w:sz w:val="20"/>
          <w:szCs w:val="20"/>
        </w:rPr>
        <w:t>Fonte: Elaboração dos autores a partir de Brasil (2019a).</w:t>
      </w:r>
    </w:p>
    <w:p w14:paraId="4ECA4768" w14:textId="77777777" w:rsidR="00570209" w:rsidRPr="008F0840" w:rsidRDefault="00570209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09DE9793" w14:textId="71C7A3C4" w:rsidR="0071374B" w:rsidRPr="008F0840" w:rsidRDefault="0071374B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5B8E7BC9" w14:textId="3398407F" w:rsidR="00B80892" w:rsidRPr="008F0840" w:rsidRDefault="00B80892" w:rsidP="00B80892">
      <w:pPr>
        <w:pStyle w:val="lisbonparagraph"/>
        <w:spacing w:after="0" w:line="360" w:lineRule="auto"/>
        <w:rPr>
          <w:b/>
          <w:sz w:val="24"/>
          <w:szCs w:val="24"/>
          <w:lang w:val="pt-BR"/>
        </w:rPr>
      </w:pPr>
      <w:r w:rsidRPr="008F0840">
        <w:rPr>
          <w:b/>
          <w:sz w:val="24"/>
          <w:szCs w:val="24"/>
          <w:lang w:val="pt-BR"/>
        </w:rPr>
        <w:t>4 PROJEÇÕES DO AGRONEGÓCIO BRASILEIRO</w:t>
      </w:r>
    </w:p>
    <w:p w14:paraId="042FAA2F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33A09096" w14:textId="70D84781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>4.1 SOJA EM GRÃO</w:t>
      </w:r>
    </w:p>
    <w:p w14:paraId="31D79738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36D1192F" w14:textId="16BF071B" w:rsidR="00B80892" w:rsidRPr="00D374B5" w:rsidRDefault="00B80892" w:rsidP="00D374B5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 xml:space="preserve">A </w:t>
      </w:r>
      <w:r w:rsidR="003A78C7">
        <w:rPr>
          <w:sz w:val="24"/>
          <w:szCs w:val="24"/>
          <w:lang w:val="pt-BR"/>
        </w:rPr>
        <w:t>T</w:t>
      </w:r>
      <w:r w:rsidRPr="00D374B5">
        <w:rPr>
          <w:sz w:val="24"/>
          <w:szCs w:val="24"/>
          <w:lang w:val="pt-BR"/>
        </w:rPr>
        <w:t>abela 11 contempla dados concernentes à projeção da produção e da exportação da soja em grão nas safras compreendidas no período 2018-2029. Em relação às informações sobre a produção, observa-se um aumento de aproximadamente 33% entre as safras 2018/2019 e 2028/2029. Projeta-se um cenário mais otimista entre as duas primeiras safras (2018/2019-2019/2020), onde a variação percentual entre elas chega a 5,5%. Excetuando a produção entre o biênio 2020/2021 e 2021/2022</w:t>
      </w:r>
      <w:r w:rsidR="003A78C7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com um aumento de 3,</w:t>
      </w:r>
      <w:r w:rsidR="003A78C7">
        <w:rPr>
          <w:sz w:val="24"/>
          <w:szCs w:val="24"/>
          <w:lang w:val="pt-BR"/>
        </w:rPr>
        <w:t>2</w:t>
      </w:r>
      <w:r w:rsidRPr="00D374B5">
        <w:rPr>
          <w:sz w:val="24"/>
          <w:szCs w:val="24"/>
          <w:lang w:val="pt-BR"/>
        </w:rPr>
        <w:t>%, as demais safras apresentam um crescimento na produção entre a banda percentual de 2,40</w:t>
      </w:r>
      <w:r w:rsidR="00786716">
        <w:rPr>
          <w:sz w:val="24"/>
          <w:szCs w:val="24"/>
          <w:lang w:val="pt-BR"/>
        </w:rPr>
        <w:t>%</w:t>
      </w:r>
      <w:r w:rsidRPr="00D374B5">
        <w:rPr>
          <w:sz w:val="24"/>
          <w:szCs w:val="24"/>
          <w:lang w:val="pt-BR"/>
        </w:rPr>
        <w:t>-2,80%. Por fim, analisando o crescimento médio anual para o período analisado, projeta-se que a produção de soja em grão aumente cerca de 2,6%.</w:t>
      </w:r>
    </w:p>
    <w:p w14:paraId="0EBFF1C0" w14:textId="17A646CD" w:rsidR="00B80892" w:rsidRPr="00D374B5" w:rsidRDefault="00B80892" w:rsidP="00D374B5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 xml:space="preserve">As projeções acerca das exportações também revelam um cenário otimista. Se analisados os dados entre as safras de 2018/2019 e 2028/2029, nota-se um crescimento de 42% nas exportações. Apesar do aumento substancial no período, as variações entre as safras vão diminuindo ao longo dos anos. A título de exemplo, enquanto as duas primeiras safras (2018/2019-2019/2020) apresentam uma variação positiva de 7,2%, as safras de 2027/2028-2028/2029 contabilizam um aumento de </w:t>
      </w:r>
      <w:r w:rsidR="002A1571">
        <w:rPr>
          <w:sz w:val="24"/>
          <w:szCs w:val="24"/>
          <w:lang w:val="pt-BR"/>
        </w:rPr>
        <w:t xml:space="preserve">apenas </w:t>
      </w:r>
      <w:r w:rsidRPr="00D374B5">
        <w:rPr>
          <w:sz w:val="24"/>
          <w:szCs w:val="24"/>
          <w:lang w:val="pt-BR"/>
        </w:rPr>
        <w:t>2,8%. Este valor encontra-se um pouco abaixo do crescimento médio anual de 3,2%</w:t>
      </w:r>
      <w:r w:rsidR="002A1571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calculado para todo o período de projeção.</w:t>
      </w:r>
    </w:p>
    <w:p w14:paraId="74AA05C6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19BF2AFC" w14:textId="77777777" w:rsidR="00786716" w:rsidRDefault="00786716">
      <w:pPr>
        <w:rPr>
          <w:lang w:val="pt-PT" w:eastAsia="pt-PT"/>
        </w:rPr>
      </w:pPr>
      <w:r>
        <w:br w:type="page"/>
      </w:r>
    </w:p>
    <w:p w14:paraId="39AC7185" w14:textId="66EC7E89" w:rsidR="00B80892" w:rsidRPr="00D374B5" w:rsidRDefault="00B80892" w:rsidP="00B80892">
      <w:pPr>
        <w:pStyle w:val="lisbonparagraph"/>
        <w:spacing w:after="0" w:line="360" w:lineRule="auto"/>
        <w:jc w:val="center"/>
        <w:rPr>
          <w:sz w:val="24"/>
          <w:szCs w:val="24"/>
          <w:lang w:val="pt-BR"/>
        </w:rPr>
      </w:pPr>
      <w:r w:rsidRPr="00D374B5">
        <w:rPr>
          <w:sz w:val="24"/>
          <w:szCs w:val="24"/>
        </w:rPr>
        <w:lastRenderedPageBreak/>
        <w:t>Tabela 11: Produção e exportação de soja em grão (mil toneladas)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80892" w:rsidRPr="00D374B5" w14:paraId="7E5CBF42" w14:textId="77777777" w:rsidTr="00786424">
        <w:trPr>
          <w:trHeight w:val="54"/>
          <w:jc w:val="center"/>
        </w:trPr>
        <w:tc>
          <w:tcPr>
            <w:tcW w:w="1666" w:type="pct"/>
            <w:vAlign w:val="center"/>
          </w:tcPr>
          <w:p w14:paraId="278BC71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Safra</w:t>
            </w:r>
          </w:p>
        </w:tc>
        <w:tc>
          <w:tcPr>
            <w:tcW w:w="1667" w:type="pct"/>
            <w:vAlign w:val="center"/>
          </w:tcPr>
          <w:p w14:paraId="3860C98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Produção (Projeção)</w:t>
            </w:r>
          </w:p>
        </w:tc>
        <w:tc>
          <w:tcPr>
            <w:tcW w:w="1667" w:type="pct"/>
            <w:vAlign w:val="center"/>
          </w:tcPr>
          <w:p w14:paraId="741FADD5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Exportação (Projeção)</w:t>
            </w:r>
          </w:p>
        </w:tc>
      </w:tr>
      <w:tr w:rsidR="00B80892" w:rsidRPr="00D374B5" w14:paraId="09F36E0A" w14:textId="77777777" w:rsidTr="00786424">
        <w:trPr>
          <w:trHeight w:val="64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472242F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2018/2019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087088B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114.314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60391BF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68.000</w:t>
            </w:r>
          </w:p>
        </w:tc>
      </w:tr>
      <w:tr w:rsidR="00B80892" w:rsidRPr="00D374B5" w14:paraId="485E22A4" w14:textId="77777777" w:rsidTr="00786424">
        <w:trPr>
          <w:trHeight w:val="63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5AD120C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2019/2020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23E3D73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120.620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76C395FE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72.926</w:t>
            </w:r>
          </w:p>
        </w:tc>
      </w:tr>
      <w:tr w:rsidR="00B80892" w:rsidRPr="00D374B5" w14:paraId="5A488671" w14:textId="77777777" w:rsidTr="00786424">
        <w:trPr>
          <w:trHeight w:val="56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5E63C0A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2020/2021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33E3712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123.091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3779E4B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75.537</w:t>
            </w:r>
          </w:p>
        </w:tc>
      </w:tr>
      <w:tr w:rsidR="00B80892" w:rsidRPr="00D374B5" w14:paraId="57A6C31A" w14:textId="77777777" w:rsidTr="00786424">
        <w:trPr>
          <w:trHeight w:val="56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2B5A72D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2021/2022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47F4A17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126.999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0EE3E3C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78.149</w:t>
            </w:r>
          </w:p>
        </w:tc>
      </w:tr>
      <w:tr w:rsidR="00B80892" w:rsidRPr="00D374B5" w14:paraId="73BDD042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ACE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2022/2023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592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130.426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555C2B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80.760</w:t>
            </w:r>
          </w:p>
        </w:tc>
      </w:tr>
      <w:tr w:rsidR="00B80892" w:rsidRPr="00D374B5" w14:paraId="2D047110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70BB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2023/2024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A069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134.038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2693E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83.372</w:t>
            </w:r>
          </w:p>
        </w:tc>
      </w:tr>
      <w:tr w:rsidR="00B80892" w:rsidRPr="00D374B5" w14:paraId="585E94DF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477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2024/2025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D1D4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137.589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C87C8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85.984</w:t>
            </w:r>
          </w:p>
        </w:tc>
      </w:tr>
      <w:tr w:rsidR="00B80892" w:rsidRPr="00D374B5" w14:paraId="763E6468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079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2025/2026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8710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141.164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6F69E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88.595</w:t>
            </w:r>
          </w:p>
        </w:tc>
      </w:tr>
      <w:tr w:rsidR="00B80892" w:rsidRPr="00D374B5" w14:paraId="67D88560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F16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2026/2027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CD9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144.732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9E02A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91.207</w:t>
            </w:r>
          </w:p>
        </w:tc>
      </w:tr>
      <w:tr w:rsidR="00B80892" w:rsidRPr="00D374B5" w14:paraId="026A62A6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A35D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2027/2028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531C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148.303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33770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93.819</w:t>
            </w:r>
          </w:p>
        </w:tc>
      </w:tr>
      <w:tr w:rsidR="00B80892" w:rsidRPr="00D374B5" w14:paraId="6A573865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2DA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2028/2029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639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151.873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BF6A2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96.430</w:t>
            </w:r>
          </w:p>
        </w:tc>
      </w:tr>
    </w:tbl>
    <w:p w14:paraId="2F1B74AD" w14:textId="097F498D" w:rsidR="00B80892" w:rsidRPr="00D374B5" w:rsidRDefault="00B80892" w:rsidP="00B80892">
      <w:pPr>
        <w:pStyle w:val="Unisinos-Ttulo1"/>
        <w:spacing w:after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D374B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Fonte: Elaboração dos autores a partir de Brasil (2019</w:t>
      </w:r>
      <w:r w:rsidR="003A7CB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b</w:t>
      </w:r>
      <w:r w:rsidRPr="00D374B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).</w:t>
      </w:r>
    </w:p>
    <w:p w14:paraId="4B57DF99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0529C6C1" w14:textId="6C923939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>4.2 CARNES</w:t>
      </w:r>
    </w:p>
    <w:p w14:paraId="2EBA893F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45754DDA" w14:textId="144CA486" w:rsidR="00D374B5" w:rsidRDefault="00B80892" w:rsidP="00D374B5">
      <w:pPr>
        <w:pStyle w:val="lisbonparagraph"/>
        <w:spacing w:after="0" w:line="360" w:lineRule="auto"/>
        <w:ind w:firstLine="708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 xml:space="preserve">Na Tabela 12, observa-se uma projeção no comportamento da produção e </w:t>
      </w:r>
      <w:r w:rsidR="00226848">
        <w:rPr>
          <w:sz w:val="24"/>
          <w:szCs w:val="24"/>
          <w:lang w:val="pt-BR"/>
        </w:rPr>
        <w:t xml:space="preserve">da </w:t>
      </w:r>
      <w:r w:rsidRPr="00D374B5">
        <w:rPr>
          <w:sz w:val="24"/>
          <w:szCs w:val="24"/>
          <w:lang w:val="pt-BR"/>
        </w:rPr>
        <w:t>exportação de carne bovina, suína e de frango para o decênio 2019-2029. Dentre estes três tipos de carne</w:t>
      </w:r>
      <w:r w:rsidR="00226848">
        <w:rPr>
          <w:sz w:val="24"/>
          <w:szCs w:val="24"/>
          <w:lang w:val="pt-BR"/>
        </w:rPr>
        <w:t>s</w:t>
      </w:r>
      <w:r w:rsidRPr="00D374B5">
        <w:rPr>
          <w:sz w:val="24"/>
          <w:szCs w:val="24"/>
          <w:lang w:val="pt-BR"/>
        </w:rPr>
        <w:t>, a produção vinculada à bovina é a que apresenta o menor crescimento percentual entre os anos de 2019-2029, contabilizando 24,6%. Se analisada a taxa média de crescimento anual para o período projetado, observa-se um valor de</w:t>
      </w:r>
      <w:r w:rsidR="00226848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aproximadamente</w:t>
      </w:r>
      <w:r w:rsidR="00226848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2%. Por outro lado, a produção de carne suína apresenta um aumento de 28,2% para o mesmo período de projeção, assim como uma taxa média de crescimento anual de 2,3%. Por fim, a produção de frango apresentou a maior variação percentual se comparada com as anteriores: 28,6%. Ademais, a taxa média de crescimento anual também apresentou valor ligeiramente maior ao da produção de carne suína, sendo 2,5% de aumento ao ano.</w:t>
      </w:r>
    </w:p>
    <w:p w14:paraId="5B8B35C6" w14:textId="7569B308" w:rsidR="00B80892" w:rsidRPr="00D374B5" w:rsidRDefault="00B80892" w:rsidP="00D374B5">
      <w:pPr>
        <w:pStyle w:val="lisbonparagraph"/>
        <w:spacing w:after="0" w:line="360" w:lineRule="auto"/>
        <w:ind w:firstLine="708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 xml:space="preserve">Concernente aos dados de projeção das exportações, observa-se um aumento de 32,3% para a carne bovina no decênio 2019-2029, valor 7,7 pontos percentuais maior </w:t>
      </w:r>
      <w:r w:rsidR="00226848">
        <w:rPr>
          <w:sz w:val="24"/>
          <w:szCs w:val="24"/>
          <w:lang w:val="pt-BR"/>
        </w:rPr>
        <w:t xml:space="preserve">do </w:t>
      </w:r>
      <w:r w:rsidRPr="00D374B5">
        <w:rPr>
          <w:sz w:val="24"/>
          <w:szCs w:val="24"/>
          <w:lang w:val="pt-BR"/>
        </w:rPr>
        <w:t xml:space="preserve">que aquele calculado para a produção. Já a carne suína apresenta um aumento de 34,3% nas exportações, ou seja, cerca de 6 pontos percentuais a mais </w:t>
      </w:r>
      <w:r w:rsidR="00226848">
        <w:rPr>
          <w:sz w:val="24"/>
          <w:szCs w:val="24"/>
          <w:lang w:val="pt-BR"/>
        </w:rPr>
        <w:t xml:space="preserve">do </w:t>
      </w:r>
      <w:r w:rsidRPr="00D374B5">
        <w:rPr>
          <w:sz w:val="24"/>
          <w:szCs w:val="24"/>
          <w:lang w:val="pt-BR"/>
        </w:rPr>
        <w:t>que o valor calculado para a produção. Com relação às exportações de frango, projeta-se um crescimento de 32,5%, localizando-se a</w:t>
      </w:r>
      <w:r w:rsidR="00226848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aproximadamente</w:t>
      </w:r>
      <w:r w:rsidR="00226848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4 pontos percentuais a mais se comparado à produção. A exportações chegarão a 9,28 milhões de toneladas em 2029, se considerados os três tipos de carne, em 2019, este número é de</w:t>
      </w:r>
      <w:r w:rsidR="00226848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aproximadamente</w:t>
      </w:r>
      <w:r w:rsidR="00226848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7 milhões de toneladas.</w:t>
      </w:r>
    </w:p>
    <w:p w14:paraId="069ACBCB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34932037" w14:textId="77777777" w:rsidR="00226848" w:rsidRDefault="00226848">
      <w:pPr>
        <w:rPr>
          <w:lang w:val="pt-PT" w:eastAsia="pt-PT"/>
        </w:rPr>
      </w:pPr>
      <w:r>
        <w:br w:type="page"/>
      </w:r>
    </w:p>
    <w:p w14:paraId="7B88DC92" w14:textId="5B5059D5" w:rsidR="00B80892" w:rsidRPr="00D374B5" w:rsidRDefault="00B80892" w:rsidP="00B80892">
      <w:pPr>
        <w:pStyle w:val="lisbonparagraph"/>
        <w:spacing w:after="0" w:line="360" w:lineRule="auto"/>
        <w:jc w:val="center"/>
        <w:rPr>
          <w:sz w:val="24"/>
          <w:szCs w:val="24"/>
          <w:lang w:val="pt-BR"/>
        </w:rPr>
      </w:pPr>
      <w:r w:rsidRPr="00D374B5">
        <w:rPr>
          <w:sz w:val="24"/>
          <w:szCs w:val="24"/>
        </w:rPr>
        <w:lastRenderedPageBreak/>
        <w:t>Tabela 12: Produção e exportação de carnes (mil toneladas)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296"/>
        <w:gridCol w:w="1297"/>
        <w:gridCol w:w="1295"/>
        <w:gridCol w:w="1295"/>
        <w:gridCol w:w="1295"/>
        <w:gridCol w:w="1295"/>
      </w:tblGrid>
      <w:tr w:rsidR="00B80892" w:rsidRPr="00D374B5" w14:paraId="0937CBD6" w14:textId="77777777" w:rsidTr="00786424">
        <w:trPr>
          <w:trHeight w:val="54"/>
          <w:jc w:val="center"/>
        </w:trPr>
        <w:tc>
          <w:tcPr>
            <w:tcW w:w="715" w:type="pct"/>
            <w:vMerge w:val="restart"/>
            <w:vAlign w:val="center"/>
          </w:tcPr>
          <w:p w14:paraId="4C82C539" w14:textId="3FD72E04" w:rsidR="00B80892" w:rsidRPr="00D374B5" w:rsidRDefault="0050295F" w:rsidP="00786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Safra</w:t>
            </w:r>
          </w:p>
        </w:tc>
        <w:tc>
          <w:tcPr>
            <w:tcW w:w="1429" w:type="pct"/>
            <w:gridSpan w:val="2"/>
            <w:vAlign w:val="center"/>
          </w:tcPr>
          <w:p w14:paraId="4FD5030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Bovina</w:t>
            </w:r>
          </w:p>
        </w:tc>
        <w:tc>
          <w:tcPr>
            <w:tcW w:w="1428" w:type="pct"/>
            <w:gridSpan w:val="2"/>
          </w:tcPr>
          <w:p w14:paraId="39E2364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Suína</w:t>
            </w:r>
          </w:p>
        </w:tc>
        <w:tc>
          <w:tcPr>
            <w:tcW w:w="1428" w:type="pct"/>
            <w:gridSpan w:val="2"/>
          </w:tcPr>
          <w:p w14:paraId="3648281E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Frango</w:t>
            </w:r>
          </w:p>
        </w:tc>
      </w:tr>
      <w:tr w:rsidR="00B80892" w:rsidRPr="00D374B5" w14:paraId="4BC94FF1" w14:textId="77777777" w:rsidTr="00786424">
        <w:trPr>
          <w:trHeight w:val="54"/>
          <w:jc w:val="center"/>
        </w:trPr>
        <w:tc>
          <w:tcPr>
            <w:tcW w:w="715" w:type="pct"/>
            <w:vMerge/>
            <w:vAlign w:val="center"/>
          </w:tcPr>
          <w:p w14:paraId="3C93886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02E522C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Produção (Projeção)</w:t>
            </w:r>
          </w:p>
        </w:tc>
        <w:tc>
          <w:tcPr>
            <w:tcW w:w="715" w:type="pct"/>
            <w:vAlign w:val="center"/>
          </w:tcPr>
          <w:p w14:paraId="2B73DEB9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Exportação (Projeção)</w:t>
            </w:r>
          </w:p>
        </w:tc>
        <w:tc>
          <w:tcPr>
            <w:tcW w:w="714" w:type="pct"/>
            <w:vAlign w:val="center"/>
          </w:tcPr>
          <w:p w14:paraId="17341C0E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Produção (Projeção)</w:t>
            </w:r>
          </w:p>
        </w:tc>
        <w:tc>
          <w:tcPr>
            <w:tcW w:w="714" w:type="pct"/>
            <w:vAlign w:val="center"/>
          </w:tcPr>
          <w:p w14:paraId="4524FC15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Exportação (Projeção)</w:t>
            </w:r>
          </w:p>
        </w:tc>
        <w:tc>
          <w:tcPr>
            <w:tcW w:w="714" w:type="pct"/>
            <w:vAlign w:val="center"/>
          </w:tcPr>
          <w:p w14:paraId="36E797E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Produção (Projeção)</w:t>
            </w:r>
          </w:p>
        </w:tc>
        <w:tc>
          <w:tcPr>
            <w:tcW w:w="714" w:type="pct"/>
            <w:vAlign w:val="center"/>
          </w:tcPr>
          <w:p w14:paraId="6DBB76C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Exportação (Projeção)</w:t>
            </w:r>
          </w:p>
        </w:tc>
      </w:tr>
      <w:tr w:rsidR="0050295F" w:rsidRPr="00D374B5" w14:paraId="789F8AD0" w14:textId="77777777" w:rsidTr="00786424">
        <w:trPr>
          <w:trHeight w:val="64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14:paraId="050CB6AF" w14:textId="0702ABC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2018/2019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14:paraId="53C8FACA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8.468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14:paraId="6049FF75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2.238</w:t>
            </w:r>
          </w:p>
        </w:tc>
        <w:tc>
          <w:tcPr>
            <w:tcW w:w="714" w:type="pct"/>
            <w:shd w:val="clear" w:color="000000" w:fill="FFFFFF"/>
          </w:tcPr>
          <w:p w14:paraId="11DA10CF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3.973</w:t>
            </w:r>
          </w:p>
        </w:tc>
        <w:tc>
          <w:tcPr>
            <w:tcW w:w="714" w:type="pct"/>
            <w:shd w:val="clear" w:color="000000" w:fill="FFFFFF"/>
          </w:tcPr>
          <w:p w14:paraId="75C39EDA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664</w:t>
            </w:r>
          </w:p>
        </w:tc>
        <w:tc>
          <w:tcPr>
            <w:tcW w:w="714" w:type="pct"/>
            <w:shd w:val="clear" w:color="000000" w:fill="FFFFFF"/>
          </w:tcPr>
          <w:p w14:paraId="6CB2003D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13.555</w:t>
            </w:r>
          </w:p>
        </w:tc>
        <w:tc>
          <w:tcPr>
            <w:tcW w:w="714" w:type="pct"/>
            <w:shd w:val="clear" w:color="000000" w:fill="FFFFFF"/>
          </w:tcPr>
          <w:p w14:paraId="03C0057F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4.098</w:t>
            </w:r>
          </w:p>
        </w:tc>
      </w:tr>
      <w:tr w:rsidR="0050295F" w:rsidRPr="00D374B5" w14:paraId="09514F11" w14:textId="77777777" w:rsidTr="00786424">
        <w:trPr>
          <w:trHeight w:val="63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14:paraId="1B9D37D0" w14:textId="5A4CCD3C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2019/2020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14:paraId="7972EFEA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9.476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14:paraId="496ADD8B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2.303</w:t>
            </w:r>
          </w:p>
        </w:tc>
        <w:tc>
          <w:tcPr>
            <w:tcW w:w="714" w:type="pct"/>
            <w:shd w:val="clear" w:color="000000" w:fill="FFFFFF"/>
          </w:tcPr>
          <w:p w14:paraId="23C1E8F3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4.082</w:t>
            </w:r>
          </w:p>
        </w:tc>
        <w:tc>
          <w:tcPr>
            <w:tcW w:w="714" w:type="pct"/>
            <w:shd w:val="clear" w:color="000000" w:fill="FFFFFF"/>
          </w:tcPr>
          <w:p w14:paraId="611288BE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671</w:t>
            </w:r>
          </w:p>
        </w:tc>
        <w:tc>
          <w:tcPr>
            <w:tcW w:w="714" w:type="pct"/>
            <w:shd w:val="clear" w:color="000000" w:fill="FFFFFF"/>
          </w:tcPr>
          <w:p w14:paraId="1F14D264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13.735</w:t>
            </w:r>
          </w:p>
        </w:tc>
        <w:tc>
          <w:tcPr>
            <w:tcW w:w="714" w:type="pct"/>
            <w:shd w:val="clear" w:color="000000" w:fill="FFFFFF"/>
          </w:tcPr>
          <w:p w14:paraId="7CD81958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4.036</w:t>
            </w:r>
          </w:p>
        </w:tc>
      </w:tr>
      <w:tr w:rsidR="0050295F" w:rsidRPr="00D374B5" w14:paraId="1E6766B4" w14:textId="77777777" w:rsidTr="00786424">
        <w:trPr>
          <w:trHeight w:val="56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14:paraId="0F52E9AA" w14:textId="3D060A7D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2020/2021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14:paraId="7ADAD1DB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9.620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14:paraId="37B1BA1E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2.373</w:t>
            </w:r>
          </w:p>
        </w:tc>
        <w:tc>
          <w:tcPr>
            <w:tcW w:w="714" w:type="pct"/>
            <w:shd w:val="clear" w:color="000000" w:fill="FFFFFF"/>
          </w:tcPr>
          <w:p w14:paraId="383DD89B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4.216</w:t>
            </w:r>
          </w:p>
        </w:tc>
        <w:tc>
          <w:tcPr>
            <w:tcW w:w="714" w:type="pct"/>
            <w:shd w:val="clear" w:color="000000" w:fill="FFFFFF"/>
          </w:tcPr>
          <w:p w14:paraId="37AB85A1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696</w:t>
            </w:r>
          </w:p>
        </w:tc>
        <w:tc>
          <w:tcPr>
            <w:tcW w:w="714" w:type="pct"/>
            <w:shd w:val="clear" w:color="000000" w:fill="FFFFFF"/>
          </w:tcPr>
          <w:p w14:paraId="4A324ABA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14.223</w:t>
            </w:r>
          </w:p>
        </w:tc>
        <w:tc>
          <w:tcPr>
            <w:tcW w:w="714" w:type="pct"/>
            <w:shd w:val="clear" w:color="000000" w:fill="FFFFFF"/>
          </w:tcPr>
          <w:p w14:paraId="0669A83A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4.257</w:t>
            </w:r>
          </w:p>
        </w:tc>
      </w:tr>
      <w:tr w:rsidR="0050295F" w:rsidRPr="00D374B5" w14:paraId="60E2DF71" w14:textId="77777777" w:rsidTr="00786424">
        <w:trPr>
          <w:trHeight w:val="56"/>
          <w:jc w:val="center"/>
        </w:trPr>
        <w:tc>
          <w:tcPr>
            <w:tcW w:w="715" w:type="pct"/>
            <w:shd w:val="clear" w:color="auto" w:fill="auto"/>
            <w:noWrap/>
            <w:vAlign w:val="center"/>
          </w:tcPr>
          <w:p w14:paraId="7FDBD29D" w14:textId="7CBBCDAD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2021/2022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14:paraId="2F2BDF53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9.751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14:paraId="41234A98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2.446</w:t>
            </w:r>
          </w:p>
        </w:tc>
        <w:tc>
          <w:tcPr>
            <w:tcW w:w="714" w:type="pct"/>
            <w:shd w:val="clear" w:color="000000" w:fill="FFFFFF"/>
          </w:tcPr>
          <w:p w14:paraId="01F18216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4.339</w:t>
            </w:r>
          </w:p>
        </w:tc>
        <w:tc>
          <w:tcPr>
            <w:tcW w:w="714" w:type="pct"/>
            <w:shd w:val="clear" w:color="000000" w:fill="FFFFFF"/>
          </w:tcPr>
          <w:p w14:paraId="291849CE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720</w:t>
            </w:r>
          </w:p>
        </w:tc>
        <w:tc>
          <w:tcPr>
            <w:tcW w:w="714" w:type="pct"/>
            <w:shd w:val="clear" w:color="000000" w:fill="FFFFFF"/>
          </w:tcPr>
          <w:p w14:paraId="23D42614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14.493</w:t>
            </w:r>
          </w:p>
        </w:tc>
        <w:tc>
          <w:tcPr>
            <w:tcW w:w="714" w:type="pct"/>
            <w:shd w:val="clear" w:color="000000" w:fill="FFFFFF"/>
          </w:tcPr>
          <w:p w14:paraId="1CC58743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4.274</w:t>
            </w:r>
          </w:p>
        </w:tc>
      </w:tr>
      <w:tr w:rsidR="0050295F" w:rsidRPr="00D374B5" w14:paraId="5BC1CD54" w14:textId="77777777" w:rsidTr="00786424">
        <w:trPr>
          <w:trHeight w:val="56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E48A" w14:textId="455F32CD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2022/2023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670F3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10.401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C80CFF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2.519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4A749A2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4.448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0C0B222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745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B7E7380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15.014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D21FBB3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4.533</w:t>
            </w:r>
          </w:p>
        </w:tc>
      </w:tr>
      <w:tr w:rsidR="0050295F" w:rsidRPr="00D374B5" w14:paraId="10413644" w14:textId="77777777" w:rsidTr="00786424">
        <w:trPr>
          <w:trHeight w:val="56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E69" w14:textId="7F66790D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2023/2024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2D564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10.557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E12F9A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2.593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DEBEB5B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4.545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EB0D5AE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769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10242F7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15.295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ECFAD89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4.566</w:t>
            </w:r>
          </w:p>
        </w:tc>
      </w:tr>
      <w:tr w:rsidR="0050295F" w:rsidRPr="00D374B5" w14:paraId="4C12897E" w14:textId="77777777" w:rsidTr="00786424">
        <w:trPr>
          <w:trHeight w:val="56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974F" w14:textId="1AFE5BBF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2024/2025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8BEB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10.187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9C5E28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2.666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DD50FAD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4.648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1C7564F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794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746F534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15.820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839CA4C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4.830</w:t>
            </w:r>
          </w:p>
        </w:tc>
      </w:tr>
      <w:tr w:rsidR="0050295F" w:rsidRPr="00D374B5" w14:paraId="75F210FB" w14:textId="77777777" w:rsidTr="00786424">
        <w:trPr>
          <w:trHeight w:val="56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9657" w14:textId="7E352AF1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2025/2026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7334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10.358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8D656F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2.740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3794179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4.756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DD172E2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7311D38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16.103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23AD460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4.865</w:t>
            </w:r>
          </w:p>
        </w:tc>
      </w:tr>
      <w:tr w:rsidR="0050295F" w:rsidRPr="00D374B5" w14:paraId="6318A63B" w14:textId="77777777" w:rsidTr="00786424">
        <w:trPr>
          <w:trHeight w:val="56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7088" w14:textId="728B323E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2026/2027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FB48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10.537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6BC5E3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2.814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D9348F0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4.871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6621739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C21BF3F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16.628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5B2B00C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5.130</w:t>
            </w:r>
          </w:p>
        </w:tc>
      </w:tr>
      <w:tr w:rsidR="0050295F" w:rsidRPr="00D374B5" w14:paraId="0CAF0829" w14:textId="77777777" w:rsidTr="00786424">
        <w:trPr>
          <w:trHeight w:val="56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1899" w14:textId="3F839725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2027/2028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28665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10.391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1A77E1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2.887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175CC81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4.983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F333B91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B810730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16.910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FFD8A4B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5.166</w:t>
            </w:r>
          </w:p>
        </w:tc>
      </w:tr>
      <w:tr w:rsidR="0050295F" w:rsidRPr="00D374B5" w14:paraId="1E181148" w14:textId="77777777" w:rsidTr="00786424">
        <w:trPr>
          <w:trHeight w:val="56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C71D" w14:textId="5BCCE21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2028/2029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B828B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10.554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5ABF4A0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2.961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0D467B4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5.092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F9B4C76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892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3D1568A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17.436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0F18F6D" w14:textId="77777777" w:rsidR="0050295F" w:rsidRPr="00D374B5" w:rsidRDefault="0050295F" w:rsidP="0050295F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5.431</w:t>
            </w:r>
          </w:p>
        </w:tc>
      </w:tr>
    </w:tbl>
    <w:p w14:paraId="1C5BB1FA" w14:textId="620C6AB2" w:rsidR="00B80892" w:rsidRPr="00D374B5" w:rsidRDefault="00B80892" w:rsidP="00B80892">
      <w:pPr>
        <w:pStyle w:val="Unisinos-Ttulo1"/>
        <w:spacing w:after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D374B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Fonte: Elaboração dos autores a partir de Brasil (2019</w:t>
      </w:r>
      <w:r w:rsidR="003A7CB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b</w:t>
      </w:r>
      <w:r w:rsidRPr="00D374B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).</w:t>
      </w:r>
    </w:p>
    <w:p w14:paraId="6A5A767D" w14:textId="77777777" w:rsidR="0081756C" w:rsidRPr="00D374B5" w:rsidRDefault="0081756C" w:rsidP="0081756C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1F70EE00" w14:textId="51E6CCE1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>4.3 CELULOSE E PAPEL</w:t>
      </w:r>
    </w:p>
    <w:p w14:paraId="4A673F6E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75F9477C" w14:textId="3BD8F3B7" w:rsidR="00B80892" w:rsidRPr="00D374B5" w:rsidRDefault="00B80892" w:rsidP="00A51E8A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>Na Tabela 13, observa-se a projeção no comportamento d</w:t>
      </w:r>
      <w:r w:rsidR="0096367B">
        <w:rPr>
          <w:sz w:val="24"/>
          <w:szCs w:val="24"/>
          <w:lang w:val="pt-BR"/>
        </w:rPr>
        <w:t>a</w:t>
      </w:r>
      <w:r w:rsidRPr="00D374B5">
        <w:rPr>
          <w:sz w:val="24"/>
          <w:szCs w:val="24"/>
          <w:lang w:val="pt-BR"/>
        </w:rPr>
        <w:t xml:space="preserve"> produção e </w:t>
      </w:r>
      <w:r w:rsidR="0096367B">
        <w:rPr>
          <w:sz w:val="24"/>
          <w:szCs w:val="24"/>
          <w:lang w:val="pt-BR"/>
        </w:rPr>
        <w:t xml:space="preserve">da </w:t>
      </w:r>
      <w:r w:rsidRPr="00D374B5">
        <w:rPr>
          <w:sz w:val="24"/>
          <w:szCs w:val="24"/>
          <w:lang w:val="pt-BR"/>
        </w:rPr>
        <w:t xml:space="preserve">exportação na celulose </w:t>
      </w:r>
      <w:r w:rsidR="008648BB">
        <w:rPr>
          <w:sz w:val="24"/>
          <w:szCs w:val="24"/>
          <w:lang w:val="pt-BR"/>
        </w:rPr>
        <w:t>e</w:t>
      </w:r>
      <w:r w:rsidRPr="00D374B5">
        <w:rPr>
          <w:sz w:val="24"/>
          <w:szCs w:val="24"/>
          <w:lang w:val="pt-BR"/>
        </w:rPr>
        <w:t xml:space="preserve"> no papel no decênio 2019-2029. Dentre a celulose e o papel</w:t>
      </w:r>
      <w:r w:rsidR="0096367B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pode</w:t>
      </w:r>
      <w:r w:rsidR="0096367B">
        <w:rPr>
          <w:sz w:val="24"/>
          <w:szCs w:val="24"/>
          <w:lang w:val="pt-BR"/>
        </w:rPr>
        <w:t>-se</w:t>
      </w:r>
      <w:r w:rsidRPr="00D374B5">
        <w:rPr>
          <w:sz w:val="24"/>
          <w:szCs w:val="24"/>
          <w:lang w:val="pt-BR"/>
        </w:rPr>
        <w:t xml:space="preserve"> destacar uma </w:t>
      </w:r>
      <w:r w:rsidR="008648BB">
        <w:rPr>
          <w:sz w:val="24"/>
          <w:szCs w:val="24"/>
          <w:lang w:val="pt-BR"/>
        </w:rPr>
        <w:t xml:space="preserve">importante </w:t>
      </w:r>
      <w:r w:rsidRPr="00D374B5">
        <w:rPr>
          <w:sz w:val="24"/>
          <w:szCs w:val="24"/>
          <w:lang w:val="pt-BR"/>
        </w:rPr>
        <w:t xml:space="preserve">diferença, tanto na produção </w:t>
      </w:r>
      <w:r w:rsidR="0096367B">
        <w:rPr>
          <w:sz w:val="24"/>
          <w:szCs w:val="24"/>
          <w:lang w:val="pt-BR"/>
        </w:rPr>
        <w:t>quanto</w:t>
      </w:r>
      <w:r w:rsidRPr="00D374B5">
        <w:rPr>
          <w:sz w:val="24"/>
          <w:szCs w:val="24"/>
          <w:lang w:val="pt-BR"/>
        </w:rPr>
        <w:t xml:space="preserve"> na exportação. O crescimento projetado de produção nesse período de 10 anos para a celulose é de 31,4 %, já no papel o projetado </w:t>
      </w:r>
      <w:r w:rsidR="008648BB">
        <w:rPr>
          <w:sz w:val="24"/>
          <w:szCs w:val="24"/>
          <w:lang w:val="pt-BR"/>
        </w:rPr>
        <w:t>n</w:t>
      </w:r>
      <w:r w:rsidRPr="00D374B5">
        <w:rPr>
          <w:sz w:val="24"/>
          <w:szCs w:val="24"/>
          <w:lang w:val="pt-BR"/>
        </w:rPr>
        <w:t>o mesmo período é de 18,8%. Sendo assim</w:t>
      </w:r>
      <w:r w:rsidR="0096367B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a média </w:t>
      </w:r>
      <w:r w:rsidR="0096367B">
        <w:rPr>
          <w:sz w:val="24"/>
          <w:szCs w:val="24"/>
          <w:lang w:val="pt-BR"/>
        </w:rPr>
        <w:t xml:space="preserve">anula </w:t>
      </w:r>
      <w:r w:rsidRPr="00D374B5">
        <w:rPr>
          <w:sz w:val="24"/>
          <w:szCs w:val="24"/>
          <w:lang w:val="pt-BR"/>
        </w:rPr>
        <w:t xml:space="preserve">de crescimento da celulose é um pouco mais de 3% e o papel </w:t>
      </w:r>
      <w:r w:rsidR="0096367B">
        <w:rPr>
          <w:sz w:val="24"/>
          <w:szCs w:val="24"/>
          <w:lang w:val="pt-BR"/>
        </w:rPr>
        <w:t>de</w:t>
      </w:r>
      <w:r w:rsidRPr="00D374B5">
        <w:rPr>
          <w:sz w:val="24"/>
          <w:szCs w:val="24"/>
          <w:lang w:val="pt-BR"/>
        </w:rPr>
        <w:t xml:space="preserve"> 1,8%. </w:t>
      </w:r>
      <w:r w:rsidR="008648BB">
        <w:rPr>
          <w:sz w:val="24"/>
          <w:szCs w:val="24"/>
          <w:lang w:val="pt-BR"/>
        </w:rPr>
        <w:t>Ao analisar</w:t>
      </w:r>
      <w:r w:rsidRPr="00D374B5">
        <w:rPr>
          <w:sz w:val="24"/>
          <w:szCs w:val="24"/>
          <w:lang w:val="pt-BR"/>
        </w:rPr>
        <w:t xml:space="preserve"> </w:t>
      </w:r>
      <w:r w:rsidR="008648BB">
        <w:rPr>
          <w:sz w:val="24"/>
          <w:szCs w:val="24"/>
          <w:lang w:val="pt-BR"/>
        </w:rPr>
        <w:t>a</w:t>
      </w:r>
      <w:r w:rsidRPr="00D374B5">
        <w:rPr>
          <w:sz w:val="24"/>
          <w:szCs w:val="24"/>
          <w:lang w:val="pt-BR"/>
        </w:rPr>
        <w:t xml:space="preserve"> primeiro e </w:t>
      </w:r>
      <w:r w:rsidR="008648BB">
        <w:rPr>
          <w:sz w:val="24"/>
          <w:szCs w:val="24"/>
          <w:lang w:val="pt-BR"/>
        </w:rPr>
        <w:t>a</w:t>
      </w:r>
      <w:r w:rsidRPr="00D374B5">
        <w:rPr>
          <w:sz w:val="24"/>
          <w:szCs w:val="24"/>
          <w:lang w:val="pt-BR"/>
        </w:rPr>
        <w:t xml:space="preserve"> último </w:t>
      </w:r>
      <w:r w:rsidR="008648BB">
        <w:rPr>
          <w:sz w:val="24"/>
          <w:szCs w:val="24"/>
          <w:lang w:val="pt-BR"/>
        </w:rPr>
        <w:t>safra</w:t>
      </w:r>
      <w:r w:rsidRPr="00D374B5">
        <w:rPr>
          <w:sz w:val="24"/>
          <w:szCs w:val="24"/>
          <w:lang w:val="pt-BR"/>
        </w:rPr>
        <w:t xml:space="preserve"> da produção de celulose</w:t>
      </w:r>
      <w:r w:rsidR="008648BB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pode</w:t>
      </w:r>
      <w:r w:rsidR="008648BB">
        <w:rPr>
          <w:sz w:val="24"/>
          <w:szCs w:val="24"/>
          <w:lang w:val="pt-BR"/>
        </w:rPr>
        <w:t>-se</w:t>
      </w:r>
      <w:r w:rsidRPr="00D374B5">
        <w:rPr>
          <w:sz w:val="24"/>
          <w:szCs w:val="24"/>
          <w:lang w:val="pt-BR"/>
        </w:rPr>
        <w:t xml:space="preserve"> perceber que</w:t>
      </w:r>
      <w:r w:rsidR="008648BB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entre 2019</w:t>
      </w:r>
      <w:r w:rsidR="008648BB">
        <w:rPr>
          <w:sz w:val="24"/>
          <w:szCs w:val="24"/>
          <w:lang w:val="pt-BR"/>
        </w:rPr>
        <w:t>/</w:t>
      </w:r>
      <w:r w:rsidRPr="00D374B5">
        <w:rPr>
          <w:sz w:val="24"/>
          <w:szCs w:val="24"/>
          <w:lang w:val="pt-BR"/>
        </w:rPr>
        <w:t>2020</w:t>
      </w:r>
      <w:r w:rsidR="008648BB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houve um crescimento de 4,1%, destaca-se um crescimento acima da média do período estudado</w:t>
      </w:r>
      <w:r w:rsidR="008648BB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e já </w:t>
      </w:r>
      <w:r w:rsidR="008648BB">
        <w:rPr>
          <w:sz w:val="24"/>
          <w:szCs w:val="24"/>
          <w:lang w:val="pt-BR"/>
        </w:rPr>
        <w:t>na safra</w:t>
      </w:r>
      <w:r w:rsidRPr="00D374B5">
        <w:rPr>
          <w:sz w:val="24"/>
          <w:szCs w:val="24"/>
          <w:lang w:val="pt-BR"/>
        </w:rPr>
        <w:t xml:space="preserve"> 2028</w:t>
      </w:r>
      <w:r w:rsidR="008648BB">
        <w:rPr>
          <w:sz w:val="24"/>
          <w:szCs w:val="24"/>
          <w:lang w:val="pt-BR"/>
        </w:rPr>
        <w:t>/</w:t>
      </w:r>
      <w:r w:rsidRPr="00D374B5">
        <w:rPr>
          <w:sz w:val="24"/>
          <w:szCs w:val="24"/>
          <w:lang w:val="pt-BR"/>
        </w:rPr>
        <w:t>2029 houve um crescimento de 2,3%</w:t>
      </w:r>
      <w:r w:rsidR="008648BB">
        <w:rPr>
          <w:sz w:val="24"/>
          <w:szCs w:val="24"/>
          <w:lang w:val="pt-BR"/>
        </w:rPr>
        <w:t xml:space="preserve">, ou seja, </w:t>
      </w:r>
      <w:r w:rsidRPr="00D374B5">
        <w:rPr>
          <w:sz w:val="24"/>
          <w:szCs w:val="24"/>
          <w:lang w:val="pt-BR"/>
        </w:rPr>
        <w:t xml:space="preserve">abaixo da média. </w:t>
      </w:r>
    </w:p>
    <w:p w14:paraId="773848CB" w14:textId="1BFB6FA6" w:rsidR="00B80892" w:rsidRPr="00D374B5" w:rsidRDefault="00B80892" w:rsidP="00A51E8A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>Referente ao crescimento d</w:t>
      </w:r>
      <w:r w:rsidR="008648BB">
        <w:rPr>
          <w:sz w:val="24"/>
          <w:szCs w:val="24"/>
          <w:lang w:val="pt-BR"/>
        </w:rPr>
        <w:t>as</w:t>
      </w:r>
      <w:r w:rsidRPr="00D374B5">
        <w:rPr>
          <w:sz w:val="24"/>
          <w:szCs w:val="24"/>
          <w:lang w:val="pt-BR"/>
        </w:rPr>
        <w:t xml:space="preserve"> exportações entre os produtos celulose e papel, </w:t>
      </w:r>
      <w:r w:rsidR="008648BB">
        <w:rPr>
          <w:sz w:val="24"/>
          <w:szCs w:val="24"/>
          <w:lang w:val="pt-BR"/>
        </w:rPr>
        <w:t>há</w:t>
      </w:r>
      <w:r w:rsidRPr="00D374B5">
        <w:rPr>
          <w:sz w:val="24"/>
          <w:szCs w:val="24"/>
          <w:lang w:val="pt-BR"/>
        </w:rPr>
        <w:t xml:space="preserve"> um comportamento muito </w:t>
      </w:r>
      <w:r w:rsidR="008648BB">
        <w:rPr>
          <w:sz w:val="24"/>
          <w:szCs w:val="24"/>
          <w:lang w:val="pt-BR"/>
        </w:rPr>
        <w:t>semelhante</w:t>
      </w:r>
      <w:r w:rsidRPr="00D374B5">
        <w:rPr>
          <w:sz w:val="24"/>
          <w:szCs w:val="24"/>
          <w:lang w:val="pt-BR"/>
        </w:rPr>
        <w:t xml:space="preserve"> com o anterior, </w:t>
      </w:r>
      <w:r w:rsidR="008648BB">
        <w:rPr>
          <w:sz w:val="24"/>
          <w:szCs w:val="24"/>
          <w:lang w:val="pt-BR"/>
        </w:rPr>
        <w:t xml:space="preserve">isto é, </w:t>
      </w:r>
      <w:r w:rsidRPr="00D374B5">
        <w:rPr>
          <w:sz w:val="24"/>
          <w:szCs w:val="24"/>
          <w:lang w:val="pt-BR"/>
        </w:rPr>
        <w:t xml:space="preserve">o crescimento projetado de exportações de celulose </w:t>
      </w:r>
      <w:r w:rsidR="00686F42">
        <w:rPr>
          <w:sz w:val="24"/>
          <w:szCs w:val="24"/>
          <w:lang w:val="pt-BR"/>
        </w:rPr>
        <w:t>na safra</w:t>
      </w:r>
      <w:r w:rsidRPr="00D374B5">
        <w:rPr>
          <w:sz w:val="24"/>
          <w:szCs w:val="24"/>
          <w:lang w:val="pt-BR"/>
        </w:rPr>
        <w:t xml:space="preserve"> 2019</w:t>
      </w:r>
      <w:r w:rsidR="00686F42">
        <w:rPr>
          <w:sz w:val="24"/>
          <w:szCs w:val="24"/>
          <w:lang w:val="pt-BR"/>
        </w:rPr>
        <w:t>/</w:t>
      </w:r>
      <w:r w:rsidRPr="00D374B5">
        <w:rPr>
          <w:sz w:val="24"/>
          <w:szCs w:val="24"/>
          <w:lang w:val="pt-BR"/>
        </w:rPr>
        <w:t>2029 é de 37%, já no papel o crescimento projetado é de 10%. Pode</w:t>
      </w:r>
      <w:r w:rsidR="00CC7D2C">
        <w:rPr>
          <w:sz w:val="24"/>
          <w:szCs w:val="24"/>
          <w:lang w:val="pt-BR"/>
        </w:rPr>
        <w:t>-se</w:t>
      </w:r>
      <w:r w:rsidRPr="00D374B5">
        <w:rPr>
          <w:sz w:val="24"/>
          <w:szCs w:val="24"/>
          <w:lang w:val="pt-BR"/>
        </w:rPr>
        <w:t xml:space="preserve"> concluir que a </w:t>
      </w:r>
      <w:r w:rsidR="00CC7D2C">
        <w:rPr>
          <w:sz w:val="24"/>
          <w:szCs w:val="24"/>
          <w:lang w:val="pt-BR"/>
        </w:rPr>
        <w:t>c</w:t>
      </w:r>
      <w:r w:rsidRPr="00D374B5">
        <w:rPr>
          <w:sz w:val="24"/>
          <w:szCs w:val="24"/>
          <w:lang w:val="pt-BR"/>
        </w:rPr>
        <w:t xml:space="preserve">elulose se encontra em uma situação mais favorável </w:t>
      </w:r>
      <w:r w:rsidR="00CC7D2C">
        <w:rPr>
          <w:sz w:val="24"/>
          <w:szCs w:val="24"/>
          <w:lang w:val="pt-BR"/>
        </w:rPr>
        <w:t xml:space="preserve">do </w:t>
      </w:r>
      <w:r w:rsidRPr="00D374B5">
        <w:rPr>
          <w:sz w:val="24"/>
          <w:szCs w:val="24"/>
          <w:lang w:val="pt-BR"/>
        </w:rPr>
        <w:t>que o papel</w:t>
      </w:r>
      <w:r w:rsidR="00CC7D2C">
        <w:rPr>
          <w:sz w:val="24"/>
          <w:szCs w:val="24"/>
          <w:lang w:val="pt-BR"/>
        </w:rPr>
        <w:t xml:space="preserve"> no cenário internacional</w:t>
      </w:r>
      <w:r w:rsidRPr="00D374B5">
        <w:rPr>
          <w:sz w:val="24"/>
          <w:szCs w:val="24"/>
          <w:lang w:val="pt-BR"/>
        </w:rPr>
        <w:t>.</w:t>
      </w:r>
    </w:p>
    <w:p w14:paraId="454D918D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2528F83B" w14:textId="77777777" w:rsidR="00CC7D2C" w:rsidRDefault="00CC7D2C">
      <w:pPr>
        <w:rPr>
          <w:lang w:val="pt-PT" w:eastAsia="pt-PT"/>
        </w:rPr>
      </w:pPr>
      <w:r>
        <w:br w:type="page"/>
      </w:r>
    </w:p>
    <w:p w14:paraId="5E7AC109" w14:textId="40B2C47E" w:rsidR="00B80892" w:rsidRPr="00D374B5" w:rsidRDefault="00B80892" w:rsidP="00B80892">
      <w:pPr>
        <w:pStyle w:val="lisbonparagraph"/>
        <w:spacing w:after="0" w:line="360" w:lineRule="auto"/>
        <w:jc w:val="center"/>
        <w:rPr>
          <w:sz w:val="24"/>
          <w:szCs w:val="24"/>
          <w:lang w:val="pt-BR"/>
        </w:rPr>
      </w:pPr>
      <w:r w:rsidRPr="00D374B5">
        <w:rPr>
          <w:sz w:val="24"/>
          <w:szCs w:val="24"/>
        </w:rPr>
        <w:lastRenderedPageBreak/>
        <w:t>Tabela 13: Produção e exportação de celulose e papel (mil toneladas)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1814"/>
        <w:gridCol w:w="1816"/>
        <w:gridCol w:w="1812"/>
        <w:gridCol w:w="1812"/>
      </w:tblGrid>
      <w:tr w:rsidR="00B80892" w:rsidRPr="00D374B5" w14:paraId="5FA928F0" w14:textId="77777777" w:rsidTr="00786424">
        <w:trPr>
          <w:trHeight w:val="54"/>
          <w:jc w:val="center"/>
        </w:trPr>
        <w:tc>
          <w:tcPr>
            <w:tcW w:w="1001" w:type="pct"/>
            <w:vMerge w:val="restart"/>
            <w:vAlign w:val="center"/>
          </w:tcPr>
          <w:p w14:paraId="264C5AC0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Safra</w:t>
            </w:r>
          </w:p>
        </w:tc>
        <w:tc>
          <w:tcPr>
            <w:tcW w:w="2001" w:type="pct"/>
            <w:gridSpan w:val="2"/>
            <w:vAlign w:val="center"/>
          </w:tcPr>
          <w:p w14:paraId="5A42417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Celulose</w:t>
            </w:r>
          </w:p>
        </w:tc>
        <w:tc>
          <w:tcPr>
            <w:tcW w:w="1998" w:type="pct"/>
            <w:gridSpan w:val="2"/>
          </w:tcPr>
          <w:p w14:paraId="3AD6DB55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Papel</w:t>
            </w:r>
          </w:p>
        </w:tc>
      </w:tr>
      <w:tr w:rsidR="00B80892" w:rsidRPr="00D374B5" w14:paraId="57117DDB" w14:textId="77777777" w:rsidTr="00786424">
        <w:trPr>
          <w:trHeight w:val="54"/>
          <w:jc w:val="center"/>
        </w:trPr>
        <w:tc>
          <w:tcPr>
            <w:tcW w:w="1001" w:type="pct"/>
            <w:vMerge/>
            <w:vAlign w:val="center"/>
          </w:tcPr>
          <w:p w14:paraId="77946FF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1497CBA5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Produção (Projeção)</w:t>
            </w:r>
          </w:p>
        </w:tc>
        <w:tc>
          <w:tcPr>
            <w:tcW w:w="1001" w:type="pct"/>
            <w:vAlign w:val="center"/>
          </w:tcPr>
          <w:p w14:paraId="1E6C30E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Exportação (Projeção)</w:t>
            </w:r>
          </w:p>
        </w:tc>
        <w:tc>
          <w:tcPr>
            <w:tcW w:w="999" w:type="pct"/>
            <w:vAlign w:val="center"/>
          </w:tcPr>
          <w:p w14:paraId="379D4EC9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Produção (Projeção)</w:t>
            </w:r>
          </w:p>
        </w:tc>
        <w:tc>
          <w:tcPr>
            <w:tcW w:w="999" w:type="pct"/>
            <w:vAlign w:val="center"/>
          </w:tcPr>
          <w:p w14:paraId="28E43D5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Exportação (Projeção)</w:t>
            </w:r>
          </w:p>
        </w:tc>
      </w:tr>
      <w:tr w:rsidR="00B80892" w:rsidRPr="00D374B5" w14:paraId="36AC7973" w14:textId="77777777" w:rsidTr="00786424">
        <w:trPr>
          <w:trHeight w:val="64"/>
          <w:jc w:val="center"/>
        </w:trPr>
        <w:tc>
          <w:tcPr>
            <w:tcW w:w="1001" w:type="pct"/>
            <w:shd w:val="clear" w:color="auto" w:fill="auto"/>
            <w:noWrap/>
            <w:vAlign w:val="center"/>
          </w:tcPr>
          <w:p w14:paraId="5516193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2018/2019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BD1567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21.912</w:t>
            </w:r>
          </w:p>
        </w:tc>
        <w:tc>
          <w:tcPr>
            <w:tcW w:w="1001" w:type="pct"/>
            <w:shd w:val="clear" w:color="000000" w:fill="FFFFFF"/>
            <w:vAlign w:val="center"/>
          </w:tcPr>
          <w:p w14:paraId="38EE57F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15.385</w:t>
            </w:r>
          </w:p>
        </w:tc>
        <w:tc>
          <w:tcPr>
            <w:tcW w:w="999" w:type="pct"/>
            <w:shd w:val="clear" w:color="000000" w:fill="FFFFFF"/>
          </w:tcPr>
          <w:p w14:paraId="2AB15E9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10.643</w:t>
            </w:r>
          </w:p>
        </w:tc>
        <w:tc>
          <w:tcPr>
            <w:tcW w:w="999" w:type="pct"/>
            <w:shd w:val="clear" w:color="000000" w:fill="FFFFFF"/>
          </w:tcPr>
          <w:p w14:paraId="7185D79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2.037</w:t>
            </w:r>
          </w:p>
        </w:tc>
      </w:tr>
      <w:tr w:rsidR="00B80892" w:rsidRPr="00D374B5" w14:paraId="174F1BFA" w14:textId="77777777" w:rsidTr="00786424">
        <w:trPr>
          <w:trHeight w:val="63"/>
          <w:jc w:val="center"/>
        </w:trPr>
        <w:tc>
          <w:tcPr>
            <w:tcW w:w="1001" w:type="pct"/>
            <w:shd w:val="clear" w:color="auto" w:fill="auto"/>
            <w:noWrap/>
            <w:vAlign w:val="center"/>
          </w:tcPr>
          <w:p w14:paraId="11BBF03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2019/2020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1FC4E9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22.817</w:t>
            </w:r>
          </w:p>
        </w:tc>
        <w:tc>
          <w:tcPr>
            <w:tcW w:w="1001" w:type="pct"/>
            <w:shd w:val="clear" w:color="000000" w:fill="FFFFFF"/>
            <w:vAlign w:val="center"/>
          </w:tcPr>
          <w:p w14:paraId="775FEF69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16.084</w:t>
            </w:r>
          </w:p>
        </w:tc>
        <w:tc>
          <w:tcPr>
            <w:tcW w:w="999" w:type="pct"/>
            <w:shd w:val="clear" w:color="000000" w:fill="FFFFFF"/>
          </w:tcPr>
          <w:p w14:paraId="3670996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10.842</w:t>
            </w:r>
          </w:p>
        </w:tc>
        <w:tc>
          <w:tcPr>
            <w:tcW w:w="999" w:type="pct"/>
            <w:shd w:val="clear" w:color="000000" w:fill="FFFFFF"/>
          </w:tcPr>
          <w:p w14:paraId="18B949C0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2.058</w:t>
            </w:r>
          </w:p>
        </w:tc>
      </w:tr>
      <w:tr w:rsidR="00B80892" w:rsidRPr="00D374B5" w14:paraId="4C68F93B" w14:textId="77777777" w:rsidTr="00786424">
        <w:trPr>
          <w:trHeight w:val="56"/>
          <w:jc w:val="center"/>
        </w:trPr>
        <w:tc>
          <w:tcPr>
            <w:tcW w:w="1001" w:type="pct"/>
            <w:shd w:val="clear" w:color="auto" w:fill="auto"/>
            <w:noWrap/>
            <w:vAlign w:val="center"/>
          </w:tcPr>
          <w:p w14:paraId="50F0F56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2020/2021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703310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23.523</w:t>
            </w:r>
          </w:p>
        </w:tc>
        <w:tc>
          <w:tcPr>
            <w:tcW w:w="1001" w:type="pct"/>
            <w:shd w:val="clear" w:color="000000" w:fill="FFFFFF"/>
            <w:vAlign w:val="center"/>
          </w:tcPr>
          <w:p w14:paraId="607BE33B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16.722</w:t>
            </w:r>
          </w:p>
        </w:tc>
        <w:tc>
          <w:tcPr>
            <w:tcW w:w="999" w:type="pct"/>
            <w:shd w:val="clear" w:color="000000" w:fill="FFFFFF"/>
          </w:tcPr>
          <w:p w14:paraId="0BC92F8B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11.042</w:t>
            </w:r>
          </w:p>
        </w:tc>
        <w:tc>
          <w:tcPr>
            <w:tcW w:w="999" w:type="pct"/>
            <w:shd w:val="clear" w:color="000000" w:fill="FFFFFF"/>
          </w:tcPr>
          <w:p w14:paraId="4031AA8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2.078</w:t>
            </w:r>
          </w:p>
        </w:tc>
      </w:tr>
      <w:tr w:rsidR="00B80892" w:rsidRPr="00D374B5" w14:paraId="3557A4BB" w14:textId="77777777" w:rsidTr="00786424">
        <w:trPr>
          <w:trHeight w:val="56"/>
          <w:jc w:val="center"/>
        </w:trPr>
        <w:tc>
          <w:tcPr>
            <w:tcW w:w="1001" w:type="pct"/>
            <w:shd w:val="clear" w:color="auto" w:fill="auto"/>
            <w:noWrap/>
            <w:vAlign w:val="center"/>
          </w:tcPr>
          <w:p w14:paraId="722E18A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2021/2022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D73F4A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24.220</w:t>
            </w:r>
          </w:p>
        </w:tc>
        <w:tc>
          <w:tcPr>
            <w:tcW w:w="1001" w:type="pct"/>
            <w:shd w:val="clear" w:color="000000" w:fill="FFFFFF"/>
            <w:vAlign w:val="center"/>
          </w:tcPr>
          <w:p w14:paraId="147CFFBD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17.294</w:t>
            </w:r>
          </w:p>
        </w:tc>
        <w:tc>
          <w:tcPr>
            <w:tcW w:w="999" w:type="pct"/>
            <w:shd w:val="clear" w:color="000000" w:fill="FFFFFF"/>
          </w:tcPr>
          <w:p w14:paraId="1A6BA62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11.241</w:t>
            </w:r>
          </w:p>
        </w:tc>
        <w:tc>
          <w:tcPr>
            <w:tcW w:w="999" w:type="pct"/>
            <w:shd w:val="clear" w:color="000000" w:fill="FFFFFF"/>
          </w:tcPr>
          <w:p w14:paraId="2ED17A90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2.098</w:t>
            </w:r>
          </w:p>
        </w:tc>
      </w:tr>
      <w:tr w:rsidR="00B80892" w:rsidRPr="00D374B5" w14:paraId="0FB25D7E" w14:textId="77777777" w:rsidTr="00786424">
        <w:trPr>
          <w:trHeight w:val="56"/>
          <w:jc w:val="center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592B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2022/2023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4D28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24.929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0CCA39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17.861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1B6D66E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11.441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E4D1F3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2.118</w:t>
            </w:r>
          </w:p>
        </w:tc>
      </w:tr>
      <w:tr w:rsidR="00B80892" w:rsidRPr="00D374B5" w14:paraId="6C2DBC88" w14:textId="77777777" w:rsidTr="00786424">
        <w:trPr>
          <w:trHeight w:val="56"/>
          <w:jc w:val="center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513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2023/2024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D656E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25.572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D8D425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18.417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44F8F9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11.640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B439EBD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2.139</w:t>
            </w:r>
          </w:p>
        </w:tc>
      </w:tr>
      <w:tr w:rsidR="00B80892" w:rsidRPr="00D374B5" w14:paraId="1EE844C4" w14:textId="77777777" w:rsidTr="00786424">
        <w:trPr>
          <w:trHeight w:val="56"/>
          <w:jc w:val="center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A19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2024/2025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3201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26.222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43B9B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18.953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C38C91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11.840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9878439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2.159</w:t>
            </w:r>
          </w:p>
        </w:tc>
      </w:tr>
      <w:tr w:rsidR="00B80892" w:rsidRPr="00D374B5" w14:paraId="1BCB454B" w14:textId="77777777" w:rsidTr="00786424">
        <w:trPr>
          <w:trHeight w:val="56"/>
          <w:jc w:val="center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6A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2025/2026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83BA9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26.880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A95A0C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19.490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946D39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12.039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D2FBF5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2.179</w:t>
            </w:r>
          </w:p>
        </w:tc>
      </w:tr>
      <w:tr w:rsidR="00B80892" w:rsidRPr="00D374B5" w14:paraId="3F0C7748" w14:textId="77777777" w:rsidTr="00786424">
        <w:trPr>
          <w:trHeight w:val="56"/>
          <w:jc w:val="center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0EE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2026/2027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C6DA0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27.514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1673E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20.026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D6A6560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12.239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5BFEDA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2.200</w:t>
            </w:r>
          </w:p>
        </w:tc>
      </w:tr>
      <w:tr w:rsidR="00B80892" w:rsidRPr="00D374B5" w14:paraId="59074D6D" w14:textId="77777777" w:rsidTr="00786424">
        <w:trPr>
          <w:trHeight w:val="56"/>
          <w:jc w:val="center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E2A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2027/2028/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C87F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28.153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692AB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20.554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39928A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12.439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5B9EEB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2.200</w:t>
            </w:r>
          </w:p>
        </w:tc>
      </w:tr>
      <w:tr w:rsidR="00B80892" w:rsidRPr="00D374B5" w14:paraId="453A27CF" w14:textId="77777777" w:rsidTr="00786424">
        <w:trPr>
          <w:trHeight w:val="56"/>
          <w:jc w:val="center"/>
        </w:trPr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26DE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2028/2029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C51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28.796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DA4D1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21.085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DCCF18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12.638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A5AB76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2.240</w:t>
            </w:r>
          </w:p>
        </w:tc>
      </w:tr>
    </w:tbl>
    <w:p w14:paraId="6315F7AE" w14:textId="156EEB5D" w:rsidR="00B80892" w:rsidRPr="00D374B5" w:rsidRDefault="00B80892" w:rsidP="00B80892">
      <w:pPr>
        <w:pStyle w:val="Unisinos-Ttulo1"/>
        <w:spacing w:after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D374B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Fonte: Elaboração dos autores a partir de Brasil (2019</w:t>
      </w:r>
      <w:r w:rsidR="003A7CB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b</w:t>
      </w:r>
      <w:r w:rsidRPr="00D374B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).</w:t>
      </w:r>
    </w:p>
    <w:p w14:paraId="5CCBB2FD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0D9E7984" w14:textId="4B34FAA3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>4.4 AÇÚCAR</w:t>
      </w:r>
    </w:p>
    <w:p w14:paraId="13A87C1F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41AE6975" w14:textId="345D1BFF" w:rsidR="00B80892" w:rsidRPr="00D374B5" w:rsidRDefault="00B80892" w:rsidP="00D374B5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 w:rsidRPr="00D374B5">
        <w:rPr>
          <w:sz w:val="24"/>
          <w:szCs w:val="24"/>
          <w:lang w:val="pt-BR"/>
        </w:rPr>
        <w:t xml:space="preserve">Na Tabela 14, observa-se uma projeção </w:t>
      </w:r>
      <w:r w:rsidR="00CC7D2C">
        <w:rPr>
          <w:sz w:val="24"/>
          <w:szCs w:val="24"/>
          <w:lang w:val="pt-BR"/>
        </w:rPr>
        <w:t>na</w:t>
      </w:r>
      <w:r w:rsidRPr="00D374B5">
        <w:rPr>
          <w:sz w:val="24"/>
          <w:szCs w:val="24"/>
          <w:lang w:val="pt-BR"/>
        </w:rPr>
        <w:t xml:space="preserve"> produção e </w:t>
      </w:r>
      <w:r w:rsidR="00CC7D2C">
        <w:rPr>
          <w:sz w:val="24"/>
          <w:szCs w:val="24"/>
          <w:lang w:val="pt-BR"/>
        </w:rPr>
        <w:t xml:space="preserve">na </w:t>
      </w:r>
      <w:r w:rsidRPr="00D374B5">
        <w:rPr>
          <w:sz w:val="24"/>
          <w:szCs w:val="24"/>
          <w:lang w:val="pt-BR"/>
        </w:rPr>
        <w:t xml:space="preserve">exportação de açúcar, </w:t>
      </w:r>
      <w:r w:rsidR="00A040AF">
        <w:rPr>
          <w:sz w:val="24"/>
          <w:szCs w:val="24"/>
          <w:lang w:val="pt-BR"/>
        </w:rPr>
        <w:t>n</w:t>
      </w:r>
      <w:r w:rsidRPr="00D374B5">
        <w:rPr>
          <w:sz w:val="24"/>
          <w:szCs w:val="24"/>
          <w:lang w:val="pt-BR"/>
        </w:rPr>
        <w:t>o período de 2019-2029. Conforme os dados analisados</w:t>
      </w:r>
      <w:r w:rsidR="00A040AF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pode</w:t>
      </w:r>
      <w:r w:rsidR="00A040AF">
        <w:rPr>
          <w:sz w:val="24"/>
          <w:szCs w:val="24"/>
          <w:lang w:val="pt-BR"/>
        </w:rPr>
        <w:t>-se</w:t>
      </w:r>
      <w:r w:rsidRPr="00D374B5">
        <w:rPr>
          <w:sz w:val="24"/>
          <w:szCs w:val="24"/>
          <w:lang w:val="pt-BR"/>
        </w:rPr>
        <w:t xml:space="preserve"> destacar um crescimento de produção do açúcar de 78,6%, </w:t>
      </w:r>
      <w:r w:rsidR="00A040AF">
        <w:rPr>
          <w:sz w:val="24"/>
          <w:szCs w:val="24"/>
          <w:lang w:val="pt-BR"/>
        </w:rPr>
        <w:t xml:space="preserve">ou seja, </w:t>
      </w:r>
      <w:r w:rsidRPr="00D374B5">
        <w:rPr>
          <w:sz w:val="24"/>
          <w:szCs w:val="24"/>
          <w:lang w:val="pt-BR"/>
        </w:rPr>
        <w:t xml:space="preserve">um cenário otimista em relação aos outros produtos estudados neste </w:t>
      </w:r>
      <w:r w:rsidR="00A040AF">
        <w:rPr>
          <w:sz w:val="24"/>
          <w:szCs w:val="24"/>
          <w:lang w:val="pt-BR"/>
        </w:rPr>
        <w:t>artigo</w:t>
      </w:r>
      <w:r w:rsidRPr="00D374B5">
        <w:rPr>
          <w:sz w:val="24"/>
          <w:szCs w:val="24"/>
          <w:lang w:val="pt-BR"/>
        </w:rPr>
        <w:t>. Já o crescimento de exportações deste produto</w:t>
      </w:r>
      <w:r w:rsidR="00A040AF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nesse mesmo período</w:t>
      </w:r>
      <w:r w:rsidR="00A040AF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é de 32,8%. Podemos dizer</w:t>
      </w:r>
      <w:r w:rsidR="00A040AF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então, que um pouco menos da metade da sua produção será exportada</w:t>
      </w:r>
      <w:r w:rsidR="00A040AF">
        <w:rPr>
          <w:sz w:val="24"/>
          <w:szCs w:val="24"/>
          <w:lang w:val="pt-BR"/>
        </w:rPr>
        <w:t xml:space="preserve"> e</w:t>
      </w:r>
      <w:r w:rsidRPr="00D374B5">
        <w:rPr>
          <w:sz w:val="24"/>
          <w:szCs w:val="24"/>
          <w:lang w:val="pt-BR"/>
        </w:rPr>
        <w:t xml:space="preserve"> o restante será consum</w:t>
      </w:r>
      <w:r w:rsidR="00A040AF">
        <w:rPr>
          <w:sz w:val="24"/>
          <w:szCs w:val="24"/>
          <w:lang w:val="pt-BR"/>
        </w:rPr>
        <w:t>ido</w:t>
      </w:r>
      <w:r w:rsidRPr="00D374B5">
        <w:rPr>
          <w:sz w:val="24"/>
          <w:szCs w:val="24"/>
          <w:lang w:val="pt-BR"/>
        </w:rPr>
        <w:t xml:space="preserve"> intern</w:t>
      </w:r>
      <w:r w:rsidR="00A040AF">
        <w:rPr>
          <w:sz w:val="24"/>
          <w:szCs w:val="24"/>
          <w:lang w:val="pt-BR"/>
        </w:rPr>
        <w:t>amente</w:t>
      </w:r>
      <w:r w:rsidRPr="00D374B5">
        <w:rPr>
          <w:sz w:val="24"/>
          <w:szCs w:val="24"/>
          <w:lang w:val="pt-BR"/>
        </w:rPr>
        <w:t>. Sendo assim</w:t>
      </w:r>
      <w:r w:rsidR="00A040AF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o crescimento </w:t>
      </w:r>
      <w:r w:rsidR="00A040AF" w:rsidRPr="00D374B5">
        <w:rPr>
          <w:sz w:val="24"/>
          <w:szCs w:val="24"/>
          <w:lang w:val="pt-BR"/>
        </w:rPr>
        <w:t xml:space="preserve">anual </w:t>
      </w:r>
      <w:r w:rsidRPr="00D374B5">
        <w:rPr>
          <w:sz w:val="24"/>
          <w:szCs w:val="24"/>
          <w:lang w:val="pt-BR"/>
        </w:rPr>
        <w:t>projetado para a produção será</w:t>
      </w:r>
      <w:r w:rsidR="00A040AF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em média</w:t>
      </w:r>
      <w:r w:rsidR="00A040AF">
        <w:rPr>
          <w:sz w:val="24"/>
          <w:szCs w:val="24"/>
          <w:lang w:val="pt-BR"/>
        </w:rPr>
        <w:t>, de</w:t>
      </w:r>
      <w:r w:rsidRPr="00D374B5">
        <w:rPr>
          <w:sz w:val="24"/>
          <w:szCs w:val="24"/>
          <w:lang w:val="pt-BR"/>
        </w:rPr>
        <w:t xml:space="preserve"> 7,1% e </w:t>
      </w:r>
      <w:r w:rsidR="00A040AF">
        <w:rPr>
          <w:sz w:val="24"/>
          <w:szCs w:val="24"/>
          <w:lang w:val="pt-BR"/>
        </w:rPr>
        <w:t xml:space="preserve">para </w:t>
      </w:r>
      <w:r w:rsidRPr="00D374B5">
        <w:rPr>
          <w:sz w:val="24"/>
          <w:szCs w:val="24"/>
          <w:lang w:val="pt-BR"/>
        </w:rPr>
        <w:t>as exportações será</w:t>
      </w:r>
      <w:r w:rsidR="00A040AF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em torno</w:t>
      </w:r>
      <w:r w:rsidR="00A040AF">
        <w:rPr>
          <w:sz w:val="24"/>
          <w:szCs w:val="24"/>
          <w:lang w:val="pt-BR"/>
        </w:rPr>
        <w:t>,</w:t>
      </w:r>
      <w:r w:rsidRPr="00D374B5">
        <w:rPr>
          <w:sz w:val="24"/>
          <w:szCs w:val="24"/>
          <w:lang w:val="pt-BR"/>
        </w:rPr>
        <w:t xml:space="preserve"> de 2,9%. </w:t>
      </w:r>
    </w:p>
    <w:p w14:paraId="5B10902F" w14:textId="77777777" w:rsidR="00B80892" w:rsidRPr="00D374B5" w:rsidRDefault="00B80892" w:rsidP="00B80892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25783D62" w14:textId="77777777" w:rsidR="00B80892" w:rsidRPr="00D374B5" w:rsidRDefault="00B80892" w:rsidP="00B80892">
      <w:pPr>
        <w:pStyle w:val="lisbonparagraph"/>
        <w:spacing w:after="0" w:line="360" w:lineRule="auto"/>
        <w:jc w:val="center"/>
        <w:rPr>
          <w:sz w:val="24"/>
          <w:szCs w:val="24"/>
          <w:lang w:val="pt-BR"/>
        </w:rPr>
      </w:pPr>
      <w:r w:rsidRPr="00D374B5">
        <w:rPr>
          <w:sz w:val="24"/>
          <w:szCs w:val="24"/>
        </w:rPr>
        <w:t>Tabela 14: Produção e exportação de açúcar (mil toneladas)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B80892" w:rsidRPr="00D374B5" w14:paraId="0400B870" w14:textId="77777777" w:rsidTr="00786424">
        <w:trPr>
          <w:trHeight w:val="54"/>
          <w:jc w:val="center"/>
        </w:trPr>
        <w:tc>
          <w:tcPr>
            <w:tcW w:w="1666" w:type="pct"/>
            <w:vAlign w:val="center"/>
          </w:tcPr>
          <w:p w14:paraId="10D7981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Safra</w:t>
            </w:r>
          </w:p>
        </w:tc>
        <w:tc>
          <w:tcPr>
            <w:tcW w:w="1667" w:type="pct"/>
            <w:vAlign w:val="center"/>
          </w:tcPr>
          <w:p w14:paraId="39F1983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Produção (Projeção)</w:t>
            </w:r>
          </w:p>
        </w:tc>
        <w:tc>
          <w:tcPr>
            <w:tcW w:w="1667" w:type="pct"/>
            <w:vAlign w:val="center"/>
          </w:tcPr>
          <w:p w14:paraId="046A7B1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Exportação (Projeção)</w:t>
            </w:r>
          </w:p>
        </w:tc>
      </w:tr>
      <w:tr w:rsidR="00B80892" w:rsidRPr="00D374B5" w14:paraId="67A4EABE" w14:textId="77777777" w:rsidTr="00786424">
        <w:trPr>
          <w:trHeight w:val="64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2AB0521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2018/2019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4949248D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29.038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160C0EEA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18.368</w:t>
            </w:r>
          </w:p>
        </w:tc>
      </w:tr>
      <w:tr w:rsidR="00B80892" w:rsidRPr="00D374B5" w14:paraId="5DA92101" w14:textId="77777777" w:rsidTr="00786424">
        <w:trPr>
          <w:trHeight w:val="63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3CCE5CA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2019/2020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53C5668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39.857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56FA5C05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18.970</w:t>
            </w:r>
          </w:p>
        </w:tc>
      </w:tr>
      <w:tr w:rsidR="00B80892" w:rsidRPr="00D374B5" w14:paraId="54EB9689" w14:textId="77777777" w:rsidTr="00786424">
        <w:trPr>
          <w:trHeight w:val="56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3C640080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2020/2021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6373FFD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42.169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742BF1E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19.572</w:t>
            </w:r>
          </w:p>
        </w:tc>
      </w:tr>
      <w:tr w:rsidR="00B80892" w:rsidRPr="00D374B5" w14:paraId="7DFE771A" w14:textId="77777777" w:rsidTr="00786424">
        <w:trPr>
          <w:trHeight w:val="56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6CFAF66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2021/2022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72CB0E0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42.280</w:t>
            </w:r>
          </w:p>
        </w:tc>
        <w:tc>
          <w:tcPr>
            <w:tcW w:w="1667" w:type="pct"/>
            <w:shd w:val="clear" w:color="000000" w:fill="FFFFFF"/>
            <w:vAlign w:val="center"/>
          </w:tcPr>
          <w:p w14:paraId="72E6094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20.174</w:t>
            </w:r>
          </w:p>
        </w:tc>
      </w:tr>
      <w:tr w:rsidR="00B80892" w:rsidRPr="00D374B5" w14:paraId="2B23191A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14F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2022/2023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CE63B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44.593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89162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20.776</w:t>
            </w:r>
          </w:p>
        </w:tc>
      </w:tr>
      <w:tr w:rsidR="00B80892" w:rsidRPr="00D374B5" w14:paraId="402C550B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D2DB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2023/2024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428A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44.703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A84358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21.378</w:t>
            </w:r>
          </w:p>
        </w:tc>
      </w:tr>
      <w:tr w:rsidR="00B80892" w:rsidRPr="00D374B5" w14:paraId="383E8BC3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6B2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2024/2025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77192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47.015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7CA7C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21.980</w:t>
            </w:r>
          </w:p>
        </w:tc>
      </w:tr>
      <w:tr w:rsidR="00B80892" w:rsidRPr="00D374B5" w14:paraId="03A0605A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9054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2025/2026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D43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47.124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56F275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22.582</w:t>
            </w:r>
          </w:p>
        </w:tc>
      </w:tr>
      <w:tr w:rsidR="00B80892" w:rsidRPr="00D374B5" w14:paraId="75AAAA0F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1B1C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2026/2027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5E6C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49.436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131F76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23.183</w:t>
            </w:r>
          </w:p>
        </w:tc>
      </w:tr>
      <w:tr w:rsidR="00B80892" w:rsidRPr="00D374B5" w14:paraId="00071DAF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0A7F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2027/2028/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662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49.546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01D2F7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23.785</w:t>
            </w:r>
          </w:p>
        </w:tc>
      </w:tr>
      <w:tr w:rsidR="00B80892" w:rsidRPr="00D374B5" w14:paraId="097376A7" w14:textId="77777777" w:rsidTr="00786424">
        <w:trPr>
          <w:trHeight w:val="56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6EC9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2028/2029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8CEF1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51.858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37C453" w14:textId="77777777" w:rsidR="00B80892" w:rsidRPr="00D374B5" w:rsidRDefault="00B80892" w:rsidP="00786424">
            <w:pPr>
              <w:jc w:val="center"/>
              <w:rPr>
                <w:sz w:val="20"/>
                <w:szCs w:val="20"/>
              </w:rPr>
            </w:pPr>
            <w:r w:rsidRPr="00D374B5">
              <w:rPr>
                <w:sz w:val="20"/>
                <w:szCs w:val="20"/>
              </w:rPr>
              <w:t>24.387</w:t>
            </w:r>
          </w:p>
        </w:tc>
      </w:tr>
    </w:tbl>
    <w:p w14:paraId="2D9B979F" w14:textId="73386545" w:rsidR="00B80892" w:rsidRPr="00D374B5" w:rsidRDefault="00B80892" w:rsidP="00B80892">
      <w:pPr>
        <w:pStyle w:val="Unisinos-Ttulo1"/>
        <w:spacing w:after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D374B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Fonte: Elaboração dos autores a partir de Brasil (2019</w:t>
      </w:r>
      <w:r w:rsidR="003A7CBE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b</w:t>
      </w:r>
      <w:r w:rsidRPr="00D374B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).</w:t>
      </w:r>
    </w:p>
    <w:p w14:paraId="13C1AF13" w14:textId="77777777" w:rsidR="00512CC8" w:rsidRPr="008F0840" w:rsidRDefault="00512CC8" w:rsidP="00512CC8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0CA58492" w14:textId="77777777" w:rsidR="00A040AF" w:rsidRDefault="00A040AF">
      <w:pPr>
        <w:rPr>
          <w:b/>
        </w:rPr>
      </w:pPr>
      <w:r>
        <w:rPr>
          <w:b/>
        </w:rPr>
        <w:br w:type="page"/>
      </w:r>
    </w:p>
    <w:p w14:paraId="4AEE5461" w14:textId="7307C88B" w:rsidR="003E7D6C" w:rsidRPr="008F0840" w:rsidRDefault="005455BB" w:rsidP="00A62506">
      <w:pPr>
        <w:spacing w:line="360" w:lineRule="auto"/>
        <w:rPr>
          <w:b/>
        </w:rPr>
      </w:pPr>
      <w:r w:rsidRPr="008F0840">
        <w:rPr>
          <w:b/>
        </w:rPr>
        <w:lastRenderedPageBreak/>
        <w:t xml:space="preserve">5 </w:t>
      </w:r>
      <w:r w:rsidR="003E7D6C" w:rsidRPr="008F0840">
        <w:rPr>
          <w:b/>
        </w:rPr>
        <w:t>CONSIDERAÇÕES FINAIS</w:t>
      </w:r>
    </w:p>
    <w:p w14:paraId="0F1D854A" w14:textId="4DCC0947" w:rsidR="00326722" w:rsidRPr="00EC10EF" w:rsidRDefault="00326722" w:rsidP="00A62506">
      <w:pPr>
        <w:pStyle w:val="lisbonparagraph"/>
        <w:spacing w:after="0" w:line="360" w:lineRule="auto"/>
        <w:rPr>
          <w:sz w:val="24"/>
          <w:szCs w:val="24"/>
          <w:lang w:val="pt-BR"/>
        </w:rPr>
      </w:pPr>
    </w:p>
    <w:p w14:paraId="278CBF13" w14:textId="123A54D3" w:rsidR="00EC10EF" w:rsidRDefault="00EC10EF" w:rsidP="00EC10EF">
      <w:pPr>
        <w:pStyle w:val="lisbonparagraph"/>
        <w:spacing w:after="0" w:line="360" w:lineRule="auto"/>
        <w:ind w:firstLine="709"/>
        <w:rPr>
          <w:sz w:val="24"/>
          <w:szCs w:val="24"/>
          <w:lang w:val="pt-BR"/>
        </w:rPr>
      </w:pPr>
      <w:r>
        <w:rPr>
          <w:sz w:val="24"/>
          <w:szCs w:val="24"/>
        </w:rPr>
        <w:t>A p</w:t>
      </w:r>
      <w:r w:rsidRPr="00EC10EF">
        <w:rPr>
          <w:sz w:val="24"/>
          <w:szCs w:val="24"/>
        </w:rPr>
        <w:t>articipação do agronegócio nas exportações do Brasil aumentou de 37,4%, em 2000, para 42,4%, em 2018.</w:t>
      </w:r>
      <w:r>
        <w:rPr>
          <w:sz w:val="24"/>
          <w:szCs w:val="24"/>
        </w:rPr>
        <w:t xml:space="preserve"> Os setores c</w:t>
      </w:r>
      <w:r w:rsidRPr="00EC10EF">
        <w:rPr>
          <w:sz w:val="24"/>
          <w:szCs w:val="24"/>
        </w:rPr>
        <w:t xml:space="preserve">omplexo soja, carnes, produtos florestais e complexo sucroalcooleiro, juntos, representaram 75,9% do valor exportado pelo agronegócio, em 2018 (em 2000, representavam 57,3%). O principal destino das exportações do agronegócio foi a China, que, em 2018, importou US$ 35,6 bilhões. </w:t>
      </w:r>
      <w:r w:rsidRPr="00EC10EF">
        <w:rPr>
          <w:sz w:val="24"/>
          <w:szCs w:val="24"/>
          <w:lang w:val="pt-BR"/>
        </w:rPr>
        <w:t>Este valor foi bem superior ao total exportado pelo agronegócio brasileiro no ano de 2000, que foi de US$ 20,6 bilhões</w:t>
      </w:r>
      <w:r>
        <w:rPr>
          <w:sz w:val="24"/>
          <w:szCs w:val="24"/>
          <w:lang w:val="pt-BR"/>
        </w:rPr>
        <w:t>.</w:t>
      </w:r>
    </w:p>
    <w:p w14:paraId="4428AEA2" w14:textId="6E45432A" w:rsidR="00EC10EF" w:rsidRDefault="00EC10EF" w:rsidP="00EC10EF">
      <w:pPr>
        <w:pStyle w:val="lisbonparagraph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Em relação ao c</w:t>
      </w:r>
      <w:r w:rsidRPr="00EC10EF">
        <w:rPr>
          <w:sz w:val="24"/>
          <w:szCs w:val="24"/>
        </w:rPr>
        <w:t xml:space="preserve">omplexo </w:t>
      </w:r>
      <w:r>
        <w:rPr>
          <w:sz w:val="24"/>
          <w:szCs w:val="24"/>
        </w:rPr>
        <w:t>s</w:t>
      </w:r>
      <w:r w:rsidRPr="00EC10EF">
        <w:rPr>
          <w:sz w:val="24"/>
          <w:szCs w:val="24"/>
        </w:rPr>
        <w:t>oja</w:t>
      </w:r>
      <w:r>
        <w:rPr>
          <w:sz w:val="24"/>
          <w:szCs w:val="24"/>
        </w:rPr>
        <w:t>, a C</w:t>
      </w:r>
      <w:r w:rsidRPr="00EC10EF">
        <w:rPr>
          <w:sz w:val="24"/>
          <w:szCs w:val="24"/>
        </w:rPr>
        <w:t>hina</w:t>
      </w:r>
      <w:r>
        <w:rPr>
          <w:sz w:val="24"/>
          <w:szCs w:val="24"/>
        </w:rPr>
        <w:t xml:space="preserve"> é</w:t>
      </w:r>
      <w:r w:rsidRPr="00EC10EF">
        <w:rPr>
          <w:sz w:val="24"/>
          <w:szCs w:val="24"/>
        </w:rPr>
        <w:t xml:space="preserve"> </w:t>
      </w:r>
      <w:r w:rsidR="003A7CBE">
        <w:rPr>
          <w:sz w:val="24"/>
          <w:szCs w:val="24"/>
        </w:rPr>
        <w:t xml:space="preserve">o </w:t>
      </w:r>
      <w:r w:rsidRPr="00EC10EF">
        <w:rPr>
          <w:sz w:val="24"/>
          <w:szCs w:val="24"/>
        </w:rPr>
        <w:t xml:space="preserve">principal comprador </w:t>
      </w:r>
      <w:r>
        <w:rPr>
          <w:sz w:val="24"/>
          <w:szCs w:val="24"/>
        </w:rPr>
        <w:t>mundial</w:t>
      </w:r>
      <w:r w:rsidRPr="00EC10EF">
        <w:rPr>
          <w:sz w:val="24"/>
          <w:szCs w:val="24"/>
        </w:rPr>
        <w:t xml:space="preserve">, </w:t>
      </w:r>
      <w:r w:rsidR="003A7CBE">
        <w:rPr>
          <w:sz w:val="24"/>
          <w:szCs w:val="24"/>
        </w:rPr>
        <w:t>consumindo</w:t>
      </w:r>
      <w:r w:rsidRPr="00EC10EF">
        <w:rPr>
          <w:sz w:val="24"/>
          <w:szCs w:val="24"/>
        </w:rPr>
        <w:t xml:space="preserve"> 67,3% do total exportado, em 2018. </w:t>
      </w:r>
      <w:r>
        <w:rPr>
          <w:sz w:val="24"/>
          <w:szCs w:val="24"/>
        </w:rPr>
        <w:t>No caso de carnes, os p</w:t>
      </w:r>
      <w:r w:rsidRPr="00EC10EF">
        <w:rPr>
          <w:sz w:val="24"/>
          <w:szCs w:val="24"/>
        </w:rPr>
        <w:t xml:space="preserve">rincipais compradores se alteraram de 2000 para 2018, sendo que no último ano, dois países asiáticos lideraram como maiores </w:t>
      </w:r>
      <w:r>
        <w:rPr>
          <w:sz w:val="24"/>
          <w:szCs w:val="24"/>
        </w:rPr>
        <w:t>importadores</w:t>
      </w:r>
      <w:r w:rsidRPr="00EC10EF">
        <w:rPr>
          <w:sz w:val="24"/>
          <w:szCs w:val="24"/>
        </w:rPr>
        <w:t>: China (17,6%) e Hong Kong (15,8%).</w:t>
      </w:r>
      <w:r>
        <w:rPr>
          <w:sz w:val="24"/>
          <w:szCs w:val="24"/>
        </w:rPr>
        <w:t xml:space="preserve"> No que se refere aos p</w:t>
      </w:r>
      <w:r w:rsidRPr="00EC10EF">
        <w:rPr>
          <w:sz w:val="24"/>
          <w:szCs w:val="24"/>
        </w:rPr>
        <w:t xml:space="preserve">rodutos </w:t>
      </w:r>
      <w:r>
        <w:rPr>
          <w:sz w:val="24"/>
          <w:szCs w:val="24"/>
        </w:rPr>
        <w:t>f</w:t>
      </w:r>
      <w:r w:rsidRPr="00EC10EF">
        <w:rPr>
          <w:sz w:val="24"/>
          <w:szCs w:val="24"/>
        </w:rPr>
        <w:t>lorestais</w:t>
      </w:r>
      <w:r w:rsidR="00184DCE">
        <w:rPr>
          <w:sz w:val="24"/>
          <w:szCs w:val="24"/>
        </w:rPr>
        <w:t xml:space="preserve">, </w:t>
      </w:r>
      <w:r w:rsidRPr="00EC10EF">
        <w:rPr>
          <w:sz w:val="24"/>
          <w:szCs w:val="24"/>
        </w:rPr>
        <w:t xml:space="preserve">China, EUA e Itália são os principais importadores brasileiros e </w:t>
      </w:r>
      <w:r w:rsidR="003A7CBE">
        <w:rPr>
          <w:sz w:val="24"/>
          <w:szCs w:val="24"/>
        </w:rPr>
        <w:t>consumiram</w:t>
      </w:r>
      <w:r w:rsidRPr="00EC10EF">
        <w:rPr>
          <w:sz w:val="24"/>
          <w:szCs w:val="24"/>
        </w:rPr>
        <w:t>, em 2018, 51,</w:t>
      </w:r>
      <w:r w:rsidR="00184DCE">
        <w:rPr>
          <w:sz w:val="24"/>
          <w:szCs w:val="24"/>
        </w:rPr>
        <w:t>7</w:t>
      </w:r>
      <w:r w:rsidRPr="00EC10EF">
        <w:rPr>
          <w:sz w:val="24"/>
          <w:szCs w:val="24"/>
        </w:rPr>
        <w:t xml:space="preserve">% do que </w:t>
      </w:r>
      <w:r w:rsidR="003A7CBE">
        <w:rPr>
          <w:sz w:val="24"/>
          <w:szCs w:val="24"/>
        </w:rPr>
        <w:t>foi</w:t>
      </w:r>
      <w:r w:rsidRPr="00EC10EF">
        <w:rPr>
          <w:sz w:val="24"/>
          <w:szCs w:val="24"/>
        </w:rPr>
        <w:t xml:space="preserve"> vendido de produtos florestais pelo Brasil ao exterior.</w:t>
      </w:r>
      <w:r w:rsidR="00184DCE">
        <w:rPr>
          <w:sz w:val="24"/>
          <w:szCs w:val="24"/>
        </w:rPr>
        <w:t xml:space="preserve"> Por fim, no que se refere ao c</w:t>
      </w:r>
      <w:r w:rsidRPr="00EC10EF">
        <w:rPr>
          <w:sz w:val="24"/>
          <w:szCs w:val="24"/>
        </w:rPr>
        <w:t xml:space="preserve">omplexo </w:t>
      </w:r>
      <w:r w:rsidR="00184DCE">
        <w:rPr>
          <w:sz w:val="24"/>
          <w:szCs w:val="24"/>
        </w:rPr>
        <w:t>s</w:t>
      </w:r>
      <w:r w:rsidRPr="00EC10EF">
        <w:rPr>
          <w:sz w:val="24"/>
          <w:szCs w:val="24"/>
        </w:rPr>
        <w:t>ucroalcooleiro</w:t>
      </w:r>
      <w:r w:rsidR="00184DCE">
        <w:rPr>
          <w:sz w:val="24"/>
          <w:szCs w:val="24"/>
        </w:rPr>
        <w:t>, os p</w:t>
      </w:r>
      <w:r w:rsidRPr="00EC10EF">
        <w:rPr>
          <w:sz w:val="24"/>
          <w:szCs w:val="24"/>
        </w:rPr>
        <w:t>rincipais compradores dos produtos brasileiros</w:t>
      </w:r>
      <w:r w:rsidR="00184DCE">
        <w:rPr>
          <w:sz w:val="24"/>
          <w:szCs w:val="24"/>
        </w:rPr>
        <w:t xml:space="preserve"> foram</w:t>
      </w:r>
      <w:r w:rsidRPr="00EC10EF">
        <w:rPr>
          <w:sz w:val="24"/>
          <w:szCs w:val="24"/>
        </w:rPr>
        <w:t xml:space="preserve"> EUA, Argélia e Índia, que representaram 25,78% do total comercializado com o mundo, em 2018.</w:t>
      </w:r>
      <w:r w:rsidR="0054708D">
        <w:rPr>
          <w:sz w:val="24"/>
          <w:szCs w:val="24"/>
        </w:rPr>
        <w:t xml:space="preserve"> Além disso, observou-se que há expectativa de crescimento da produção e da exportação dos principais produtos que integram os setores analisados neste estudo.</w:t>
      </w:r>
    </w:p>
    <w:p w14:paraId="56773CFF" w14:textId="60028B2F" w:rsidR="00EC10EF" w:rsidRPr="00EC10EF" w:rsidRDefault="003A7CBE" w:rsidP="00184DCE">
      <w:pPr>
        <w:pStyle w:val="lisbonparagraph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Por fim, observou-se o e</w:t>
      </w:r>
      <w:r w:rsidR="00EC10EF" w:rsidRPr="00EC10EF">
        <w:rPr>
          <w:sz w:val="24"/>
          <w:szCs w:val="24"/>
        </w:rPr>
        <w:t xml:space="preserve">levado aumento no grau de concentração das exportações para a China nos principais setores estudados, confirmando a forte influência que o mercado chinês exerce no mercado do agronegócio brasileiro. </w:t>
      </w:r>
      <w:r>
        <w:rPr>
          <w:sz w:val="24"/>
          <w:szCs w:val="24"/>
        </w:rPr>
        <w:t>Assim, a</w:t>
      </w:r>
      <w:proofErr w:type="spellStart"/>
      <w:r w:rsidR="00184DCE" w:rsidRPr="00184DCE">
        <w:rPr>
          <w:sz w:val="24"/>
          <w:szCs w:val="24"/>
          <w:lang w:val="pt-BR"/>
        </w:rPr>
        <w:t>nalisar</w:t>
      </w:r>
      <w:proofErr w:type="spellEnd"/>
      <w:r w:rsidR="00184DCE" w:rsidRPr="00184DCE">
        <w:rPr>
          <w:sz w:val="24"/>
          <w:szCs w:val="24"/>
          <w:lang w:val="pt-BR"/>
        </w:rPr>
        <w:t xml:space="preserve"> o</w:t>
      </w:r>
      <w:r w:rsidR="0054708D">
        <w:rPr>
          <w:sz w:val="24"/>
          <w:szCs w:val="24"/>
          <w:lang w:val="pt-BR"/>
        </w:rPr>
        <w:t>s</w:t>
      </w:r>
      <w:r w:rsidR="00184DCE" w:rsidRPr="00184DCE">
        <w:rPr>
          <w:sz w:val="24"/>
          <w:szCs w:val="24"/>
          <w:lang w:val="pt-BR"/>
        </w:rPr>
        <w:t xml:space="preserve"> impacto</w:t>
      </w:r>
      <w:r w:rsidR="0054708D">
        <w:rPr>
          <w:sz w:val="24"/>
          <w:szCs w:val="24"/>
          <w:lang w:val="pt-BR"/>
        </w:rPr>
        <w:t>s</w:t>
      </w:r>
      <w:r w:rsidR="00184DCE" w:rsidRPr="00184DCE">
        <w:rPr>
          <w:sz w:val="24"/>
          <w:szCs w:val="24"/>
          <w:lang w:val="pt-BR"/>
        </w:rPr>
        <w:t xml:space="preserve"> da guerra comercial entre EUA e China</w:t>
      </w:r>
      <w:r w:rsidR="0054708D">
        <w:rPr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</w:t>
      </w:r>
      <w:r w:rsidR="0054708D">
        <w:rPr>
          <w:sz w:val="24"/>
          <w:szCs w:val="24"/>
          <w:lang w:val="pt-BR"/>
        </w:rPr>
        <w:t xml:space="preserve">do </w:t>
      </w:r>
      <w:r>
        <w:rPr>
          <w:sz w:val="24"/>
          <w:szCs w:val="24"/>
          <w:lang w:val="pt-BR"/>
        </w:rPr>
        <w:t xml:space="preserve">BREXIT </w:t>
      </w:r>
      <w:r w:rsidR="0054708D">
        <w:rPr>
          <w:sz w:val="24"/>
          <w:szCs w:val="24"/>
          <w:lang w:val="pt-BR"/>
        </w:rPr>
        <w:t xml:space="preserve">e do Acordo MERCOSUL-UE </w:t>
      </w:r>
      <w:r w:rsidR="00184DCE" w:rsidRPr="00184DCE">
        <w:rPr>
          <w:sz w:val="24"/>
          <w:szCs w:val="24"/>
          <w:lang w:val="pt-BR"/>
        </w:rPr>
        <w:t>sobre o agronegócio brasileiro</w:t>
      </w:r>
      <w:r>
        <w:rPr>
          <w:sz w:val="24"/>
          <w:szCs w:val="24"/>
          <w:lang w:val="pt-BR"/>
        </w:rPr>
        <w:t xml:space="preserve"> são objetivos importantes para a continuidade deste estudo.</w:t>
      </w:r>
    </w:p>
    <w:p w14:paraId="39D6E254" w14:textId="3E88AC1C" w:rsidR="00EC10EF" w:rsidRDefault="00EC10EF" w:rsidP="00A62506">
      <w:pPr>
        <w:pStyle w:val="lisbonparagraph"/>
        <w:spacing w:after="0" w:line="360" w:lineRule="auto"/>
        <w:rPr>
          <w:sz w:val="24"/>
          <w:szCs w:val="24"/>
        </w:rPr>
      </w:pPr>
    </w:p>
    <w:p w14:paraId="1C3F7CB3" w14:textId="77777777" w:rsidR="00184DCE" w:rsidRPr="00EC10EF" w:rsidRDefault="00184DCE" w:rsidP="00A62506">
      <w:pPr>
        <w:pStyle w:val="lisbonparagraph"/>
        <w:spacing w:after="0" w:line="360" w:lineRule="auto"/>
        <w:rPr>
          <w:sz w:val="24"/>
          <w:szCs w:val="24"/>
        </w:rPr>
      </w:pPr>
    </w:p>
    <w:p w14:paraId="6922776C" w14:textId="6DEC619C" w:rsidR="009E030A" w:rsidRPr="00EC10EF" w:rsidRDefault="003A7CBE" w:rsidP="00A62506">
      <w:pPr>
        <w:pStyle w:val="lisbonsubchater1"/>
        <w:spacing w:before="0" w:after="0" w:line="360" w:lineRule="auto"/>
        <w:jc w:val="both"/>
        <w:rPr>
          <w:rFonts w:ascii="Times New Roman" w:hAnsi="Times New Roman" w:cs="Times New Roman"/>
          <w:color w:val="auto"/>
          <w:lang w:val="pt-BR"/>
        </w:rPr>
      </w:pPr>
      <w:r w:rsidRPr="00EC10EF">
        <w:rPr>
          <w:rFonts w:ascii="Times New Roman" w:hAnsi="Times New Roman" w:cs="Times New Roman"/>
          <w:color w:val="auto"/>
          <w:lang w:val="pt-BR"/>
        </w:rPr>
        <w:t>REFERÊNCIAS</w:t>
      </w:r>
    </w:p>
    <w:p w14:paraId="5F0BA9B7" w14:textId="76853AA9" w:rsidR="00B82361" w:rsidRPr="008A623F" w:rsidRDefault="00B82361" w:rsidP="00A62506">
      <w:pPr>
        <w:pStyle w:val="Authornames"/>
        <w:spacing w:before="0" w:after="0" w:line="360" w:lineRule="auto"/>
        <w:rPr>
          <w:rFonts w:ascii="Times New Roman" w:hAnsi="Times New Roman"/>
          <w:b w:val="0"/>
          <w:bCs/>
          <w:sz w:val="24"/>
          <w:lang w:val="pt-BR"/>
        </w:rPr>
      </w:pPr>
    </w:p>
    <w:p w14:paraId="183ABADC" w14:textId="77777777" w:rsidR="00E85800" w:rsidRPr="00E85800" w:rsidRDefault="00E85800" w:rsidP="004E368E">
      <w:pPr>
        <w:spacing w:line="360" w:lineRule="auto"/>
        <w:jc w:val="both"/>
        <w:textAlignment w:val="baseline"/>
      </w:pPr>
      <w:r w:rsidRPr="00E85800">
        <w:t xml:space="preserve">AL-ALAM, E. L.;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AZEVEDO, A</w:t>
      </w:r>
      <w:r w:rsidRPr="00E85800">
        <w:t xml:space="preserve">. Os efeitos da liberalização comercial na pobreza das nações: uma análise por meio da renda real e do bem-estar. </w:t>
      </w:r>
      <w:r w:rsidRPr="00E85800">
        <w:rPr>
          <w:b/>
        </w:rPr>
        <w:t>ECONÔMICA (NITERÓI)</w:t>
      </w:r>
      <w:r w:rsidRPr="00E85800">
        <w:t xml:space="preserve">, </w:t>
      </w:r>
      <w:r w:rsidRPr="00E85800">
        <w:rPr>
          <w:shd w:val="clear" w:color="auto" w:fill="FFFFFF"/>
        </w:rPr>
        <w:t>v. 19, p. 1-40, 2017</w:t>
      </w:r>
      <w:r w:rsidRPr="00E85800">
        <w:t>.</w:t>
      </w:r>
    </w:p>
    <w:p w14:paraId="201F4724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AL-ALAM, E. L.;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AZEVEDO, A</w:t>
      </w:r>
      <w:r w:rsidRPr="00E85800">
        <w:t xml:space="preserve">. Os efeitos da liberalização comercial na pobreza das nações: uma análise por meio da renda real e do bem-estar. In: XX Encontro de Economia da Região Sul - </w:t>
      </w:r>
      <w:proofErr w:type="spellStart"/>
      <w:r w:rsidRPr="00E85800">
        <w:t>AnpecSul</w:t>
      </w:r>
      <w:proofErr w:type="spellEnd"/>
      <w:r w:rsidRPr="00E85800">
        <w:t xml:space="preserve">, 2017, Porto Alegre (RS). </w:t>
      </w:r>
      <w:r w:rsidRPr="00E85800">
        <w:rPr>
          <w:b/>
        </w:rPr>
        <w:t xml:space="preserve">Anais do XX Encontro de Economia da Região Sul - </w:t>
      </w:r>
      <w:proofErr w:type="spellStart"/>
      <w:r w:rsidRPr="00E85800">
        <w:rPr>
          <w:b/>
        </w:rPr>
        <w:t>AnpecSul</w:t>
      </w:r>
      <w:proofErr w:type="spellEnd"/>
      <w:r w:rsidRPr="00E85800">
        <w:t>. Niterói (RJ): ANPEC, 2017.</w:t>
      </w:r>
    </w:p>
    <w:p w14:paraId="6AF8F2E9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lastRenderedPageBreak/>
        <w:t xml:space="preserve">ANHOLETO, C. D.; </w:t>
      </w:r>
      <w:r w:rsidRPr="00E85800">
        <w:rPr>
          <w:bCs/>
          <w:bdr w:val="none" w:sz="0" w:space="0" w:color="auto" w:frame="1"/>
        </w:rPr>
        <w:t>MASSUQUETTI, A</w:t>
      </w:r>
      <w:r w:rsidRPr="00E85800">
        <w:t xml:space="preserve">. A soja brasileira e gaúcha no período 1994-2010: uma análise da produção, exportação, renda e emprego. </w:t>
      </w:r>
      <w:r w:rsidRPr="00E85800">
        <w:rPr>
          <w:b/>
        </w:rPr>
        <w:t>Economia e Desenvolvimento (Recife)</w:t>
      </w:r>
      <w:r w:rsidRPr="00E85800">
        <w:t>, v. 13, p. 379-404, 2014.</w:t>
      </w:r>
    </w:p>
    <w:p w14:paraId="6B8BD5BE" w14:textId="77777777" w:rsidR="00E85800" w:rsidRPr="00F52556" w:rsidRDefault="00E85800" w:rsidP="00E85800">
      <w:pPr>
        <w:spacing w:line="360" w:lineRule="auto"/>
        <w:jc w:val="both"/>
        <w:textAlignment w:val="baseline"/>
      </w:pPr>
      <w:r w:rsidRPr="00F52556">
        <w:t>BARBOSA, M. N.;</w:t>
      </w:r>
      <w:r w:rsidRPr="00E85800">
        <w:t xml:space="preserve"> </w:t>
      </w:r>
      <w:r w:rsidRPr="00F52556">
        <w:rPr>
          <w:bdr w:val="none" w:sz="0" w:space="0" w:color="auto" w:frame="1"/>
        </w:rPr>
        <w:t>AZEVEDO,</w:t>
      </w:r>
      <w:r w:rsidRPr="00E85800">
        <w:rPr>
          <w:bdr w:val="none" w:sz="0" w:space="0" w:color="auto" w:frame="1"/>
        </w:rPr>
        <w:t xml:space="preserve"> </w:t>
      </w:r>
      <w:r w:rsidRPr="00F52556">
        <w:rPr>
          <w:bdr w:val="none" w:sz="0" w:space="0" w:color="auto" w:frame="1"/>
        </w:rPr>
        <w:t>A.</w:t>
      </w:r>
      <w:r w:rsidRPr="00F52556">
        <w:t>;</w:t>
      </w:r>
      <w:r w:rsidRPr="00E85800">
        <w:t xml:space="preserve"> </w:t>
      </w:r>
      <w:r w:rsidRPr="00F52556">
        <w:rPr>
          <w:bdr w:val="none" w:sz="0" w:space="0" w:color="auto" w:frame="1"/>
        </w:rPr>
        <w:t>MASSUQUETTI, A</w:t>
      </w:r>
      <w:r w:rsidRPr="00F52556">
        <w:t xml:space="preserve">. Análise dos impactos econômicos nas principais </w:t>
      </w:r>
      <w:r w:rsidRPr="00F52556">
        <w:rPr>
          <w:i/>
          <w:iCs/>
        </w:rPr>
        <w:t>commodities</w:t>
      </w:r>
      <w:r w:rsidRPr="00F52556">
        <w:t xml:space="preserve"> do comércio internacional brasileiro derivados dos aprimoramentos da logística portuária nacional. </w:t>
      </w:r>
      <w:r w:rsidRPr="00F52556">
        <w:rPr>
          <w:lang w:val="en-US"/>
        </w:rPr>
        <w:t xml:space="preserve">In: 26th APDR Congress, 2019, Aveiro (Portugal). </w:t>
      </w:r>
      <w:r w:rsidRPr="00F52556">
        <w:rPr>
          <w:b/>
          <w:bCs/>
          <w:lang w:val="en-US"/>
        </w:rPr>
        <w:t>Proceedings 26th APDR Congress</w:t>
      </w:r>
      <w:r w:rsidRPr="00F52556">
        <w:rPr>
          <w:lang w:val="en-US"/>
        </w:rPr>
        <w:t xml:space="preserve">. </w:t>
      </w:r>
      <w:r w:rsidRPr="00F52556">
        <w:t>Angra do Heroísmo (Portugal): APDR, 2019.</w:t>
      </w:r>
    </w:p>
    <w:p w14:paraId="6E93D906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BERTUSSI, L. A. S.; </w:t>
      </w:r>
      <w:r w:rsidRPr="00E85800">
        <w:rPr>
          <w:bCs/>
          <w:bdr w:val="none" w:sz="0" w:space="0" w:color="auto" w:frame="1"/>
        </w:rPr>
        <w:t>AZEVEDO, A.</w:t>
      </w:r>
      <w:r w:rsidRPr="00E85800">
        <w:t xml:space="preserve">; </w:t>
      </w:r>
      <w:r w:rsidRPr="00E85800">
        <w:rPr>
          <w:bdr w:val="none" w:sz="0" w:space="0" w:color="auto" w:frame="1"/>
        </w:rPr>
        <w:t>MASSUQUETTI, A</w:t>
      </w:r>
      <w:r w:rsidRPr="00E85800">
        <w:t xml:space="preserve">. O farelo e o óleo de soja: uma avaliação dos efeitos de acordos de comércio entre Brasil e China e Brasil e União Europeia. In: Anais do XXI Encontro de Economia da Região Sul - </w:t>
      </w:r>
      <w:proofErr w:type="spellStart"/>
      <w:r w:rsidRPr="00E85800">
        <w:t>AnpecSul</w:t>
      </w:r>
      <w:proofErr w:type="spellEnd"/>
      <w:r w:rsidRPr="00E85800">
        <w:t xml:space="preserve">, 2018, Curitiba (PR). </w:t>
      </w:r>
      <w:r w:rsidRPr="00E85800">
        <w:rPr>
          <w:b/>
        </w:rPr>
        <w:t xml:space="preserve">Anais do XXI Encontro de Economia da Região Sul - </w:t>
      </w:r>
      <w:proofErr w:type="spellStart"/>
      <w:r w:rsidRPr="00E85800">
        <w:rPr>
          <w:b/>
        </w:rPr>
        <w:t>AnpecSul</w:t>
      </w:r>
      <w:proofErr w:type="spellEnd"/>
      <w:r w:rsidRPr="00E85800">
        <w:t>. Niterói (RJ): ANPEC, 2018.</w:t>
      </w:r>
    </w:p>
    <w:p w14:paraId="38F9B6E3" w14:textId="77777777" w:rsidR="00E85800" w:rsidRPr="00E85800" w:rsidRDefault="00E85800" w:rsidP="004E368E">
      <w:pPr>
        <w:pStyle w:val="Authoraddress"/>
        <w:spacing w:line="360" w:lineRule="auto"/>
        <w:rPr>
          <w:rFonts w:ascii="Times New Roman" w:hAnsi="Times New Roman"/>
          <w:sz w:val="24"/>
          <w:lang w:val="pt-BR"/>
        </w:rPr>
      </w:pPr>
      <w:r w:rsidRPr="00E85800">
        <w:rPr>
          <w:rFonts w:ascii="Times New Roman" w:hAnsi="Times New Roman"/>
          <w:sz w:val="24"/>
          <w:lang w:val="pt-BR"/>
        </w:rPr>
        <w:t xml:space="preserve">BRASIL. MINISTÉRIO DA AGRICULTURA, PECUÁRIA E ABASTECIMENTO. MAPA. 2019a. </w:t>
      </w:r>
      <w:proofErr w:type="spellStart"/>
      <w:r w:rsidRPr="00E85800">
        <w:rPr>
          <w:rFonts w:ascii="Times New Roman" w:hAnsi="Times New Roman"/>
          <w:b/>
          <w:bCs w:val="0"/>
          <w:sz w:val="24"/>
          <w:lang w:val="pt-BR"/>
        </w:rPr>
        <w:t>AgroStat</w:t>
      </w:r>
      <w:proofErr w:type="spellEnd"/>
      <w:r w:rsidRPr="00E85800">
        <w:rPr>
          <w:rFonts w:ascii="Times New Roman" w:hAnsi="Times New Roman"/>
          <w:sz w:val="24"/>
          <w:lang w:val="pt-BR"/>
        </w:rPr>
        <w:t xml:space="preserve"> – Estatísticas de Comércio Exterior do Agronegócio Brasileiro. Disponível em:  &lt;http://indicadores.agricultura.gov.br/</w:t>
      </w:r>
      <w:proofErr w:type="spellStart"/>
      <w:r w:rsidRPr="00E85800">
        <w:rPr>
          <w:rFonts w:ascii="Times New Roman" w:hAnsi="Times New Roman"/>
          <w:sz w:val="24"/>
          <w:lang w:val="pt-BR"/>
        </w:rPr>
        <w:t>agrostat</w:t>
      </w:r>
      <w:proofErr w:type="spellEnd"/>
      <w:r w:rsidRPr="00E85800">
        <w:rPr>
          <w:rFonts w:ascii="Times New Roman" w:hAnsi="Times New Roman"/>
          <w:sz w:val="24"/>
          <w:lang w:val="pt-BR"/>
        </w:rPr>
        <w:t>/index.htm&gt;. Acesso em: 19 abr. 2019.</w:t>
      </w:r>
    </w:p>
    <w:p w14:paraId="5EE9F81B" w14:textId="77777777" w:rsidR="00E85800" w:rsidRPr="00E85800" w:rsidRDefault="00E85800" w:rsidP="004E368E">
      <w:pPr>
        <w:pStyle w:val="Authoraddress"/>
        <w:spacing w:line="360" w:lineRule="auto"/>
        <w:rPr>
          <w:rFonts w:ascii="Times New Roman" w:hAnsi="Times New Roman"/>
          <w:sz w:val="24"/>
          <w:lang w:val="pt-BR"/>
        </w:rPr>
      </w:pPr>
      <w:r w:rsidRPr="00E85800">
        <w:rPr>
          <w:rFonts w:ascii="Times New Roman" w:hAnsi="Times New Roman"/>
          <w:sz w:val="24"/>
          <w:lang w:val="pt-BR"/>
        </w:rPr>
        <w:t xml:space="preserve">BRASIL. MINISTÉRIO DA AGRICULTURA, PECUÁRIA E ABASTECIMENTO. MAPA. </w:t>
      </w:r>
      <w:r w:rsidRPr="00E85800">
        <w:rPr>
          <w:rFonts w:ascii="Times New Roman" w:hAnsi="Times New Roman"/>
          <w:b/>
          <w:bCs w:val="0"/>
          <w:sz w:val="24"/>
          <w:lang w:val="pt-BR"/>
        </w:rPr>
        <w:t>Projeções do Agronegócio Brasileiro 2018/2019-2028/2029</w:t>
      </w:r>
      <w:r w:rsidRPr="00E85800">
        <w:rPr>
          <w:rFonts w:ascii="Times New Roman" w:hAnsi="Times New Roman"/>
          <w:sz w:val="24"/>
          <w:lang w:val="pt-BR"/>
        </w:rPr>
        <w:t>. 2019b. Disponível em:  &lt;http://www.agricultura.gov.br/assuntos/politica-agricola/todas-publicacoes-de-politica-agricola/projecoes-do-agronegocio/projecoes-do-agronegocio-2018-2019-2028-2029/view&gt;. Acesso em: 10 ago. 2019.</w:t>
      </w:r>
    </w:p>
    <w:p w14:paraId="50E01540" w14:textId="77777777" w:rsidR="00E85800" w:rsidRPr="00F52556" w:rsidRDefault="00E85800" w:rsidP="00E85800">
      <w:pPr>
        <w:spacing w:line="360" w:lineRule="auto"/>
        <w:jc w:val="both"/>
        <w:textAlignment w:val="baseline"/>
      </w:pPr>
      <w:r w:rsidRPr="00F52556">
        <w:t>BRINKER, I.;</w:t>
      </w:r>
      <w:r w:rsidRPr="00E85800">
        <w:t xml:space="preserve"> </w:t>
      </w:r>
      <w:r w:rsidRPr="00F52556">
        <w:rPr>
          <w:bdr w:val="none" w:sz="0" w:space="0" w:color="auto" w:frame="1"/>
        </w:rPr>
        <w:t>ALVES, T. W.</w:t>
      </w:r>
      <w:r w:rsidRPr="00F52556">
        <w:t>;</w:t>
      </w:r>
      <w:r w:rsidRPr="00E85800">
        <w:t xml:space="preserve"> </w:t>
      </w:r>
      <w:r w:rsidRPr="00F52556">
        <w:rPr>
          <w:bdr w:val="none" w:sz="0" w:space="0" w:color="auto" w:frame="1"/>
        </w:rPr>
        <w:t>MASSUQUETTI, A</w:t>
      </w:r>
      <w:r w:rsidRPr="00F52556">
        <w:t xml:space="preserve">. O crédito na agricultura brasileira: um estudo do PRONAF e do PRONAMP no período 2013-2018. In: 57º Congresso da Sociedade Brasileira de Economia, Administração e Sociologia Rural, 2019, Ilhéus (BA). </w:t>
      </w:r>
      <w:r w:rsidRPr="00F52556">
        <w:rPr>
          <w:b/>
          <w:bCs/>
        </w:rPr>
        <w:t>Anais do 57º Congresso da Sociedade Brasileira de Economia, Administração e Sociologia Rural</w:t>
      </w:r>
      <w:r w:rsidRPr="00F52556">
        <w:t>. Piracicaba (SP): SOBER, 2019.</w:t>
      </w:r>
    </w:p>
    <w:p w14:paraId="3F9C123D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BRUNO, F. M. R.; </w:t>
      </w:r>
      <w:r w:rsidRPr="00E85800">
        <w:rPr>
          <w:bdr w:val="none" w:sz="0" w:space="0" w:color="auto" w:frame="1"/>
        </w:rPr>
        <w:t>AZEVEDO, A. F. Z. DE</w:t>
      </w:r>
      <w:r w:rsidRPr="00E85800">
        <w:t xml:space="preserve">; </w:t>
      </w:r>
      <w:r w:rsidRPr="00E85800">
        <w:rPr>
          <w:bCs/>
          <w:bdr w:val="none" w:sz="0" w:space="0" w:color="auto" w:frame="1"/>
        </w:rPr>
        <w:t>MASSUQUETTI, A</w:t>
      </w:r>
      <w:r w:rsidRPr="00E85800">
        <w:t xml:space="preserve">. Os contenciosos comerciais e os principais casos de retaliação do Brasil à prática de subsídios agrícolas na Organização Mundial de Comércio. </w:t>
      </w:r>
      <w:r w:rsidRPr="00E85800">
        <w:rPr>
          <w:b/>
        </w:rPr>
        <w:t>Ciência Rural (UFSM. Impresso)</w:t>
      </w:r>
      <w:r w:rsidRPr="00E85800">
        <w:t>, v. 44, p. 188-195, 2014.</w:t>
      </w:r>
    </w:p>
    <w:p w14:paraId="61748DC4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BUCHMANN, J. L.;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 O setor de produtos florestais nas exportações do agronegócio brasileiro. In: XII SOBER NORDESTE, 2017, Itabaiana (SE). </w:t>
      </w:r>
      <w:r w:rsidRPr="00E85800">
        <w:rPr>
          <w:b/>
        </w:rPr>
        <w:t>Anais do XII SOBER NORDESTE</w:t>
      </w:r>
      <w:r w:rsidRPr="00E85800">
        <w:t>. PIRACICABA (SP): SOBER, 2017.</w:t>
      </w:r>
    </w:p>
    <w:p w14:paraId="4F6F8FB7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BUCHMANN, J. L.; </w:t>
      </w:r>
      <w:r w:rsidRPr="00E85800">
        <w:rPr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Cs/>
          <w:bdr w:val="none" w:sz="0" w:space="0" w:color="auto" w:frame="1"/>
        </w:rPr>
        <w:t>AZEVEDO, A</w:t>
      </w:r>
      <w:r w:rsidRPr="00E85800">
        <w:t xml:space="preserve">. Impactos de uma integração comercial do Brasil com a China, os EUA e a UE Sobre produtos do agronegócio brasileiro: Uma simulação a partir do modelo de equilíbrio geral. In: Anais do XXI Encontro de Economia </w:t>
      </w:r>
      <w:r w:rsidRPr="00E85800">
        <w:lastRenderedPageBreak/>
        <w:t xml:space="preserve">da Região Sul - </w:t>
      </w:r>
      <w:proofErr w:type="spellStart"/>
      <w:r w:rsidRPr="00E85800">
        <w:t>AnpecSul</w:t>
      </w:r>
      <w:proofErr w:type="spellEnd"/>
      <w:r w:rsidRPr="00E85800">
        <w:t xml:space="preserve">, 2018, Curitiba (PR). </w:t>
      </w:r>
      <w:r w:rsidRPr="00E85800">
        <w:rPr>
          <w:b/>
        </w:rPr>
        <w:t xml:space="preserve">Anais do XXI Encontro de Economia da Região Sul - </w:t>
      </w:r>
      <w:proofErr w:type="spellStart"/>
      <w:r w:rsidRPr="00E85800">
        <w:rPr>
          <w:b/>
        </w:rPr>
        <w:t>AnpecSul</w:t>
      </w:r>
      <w:proofErr w:type="spellEnd"/>
      <w:r w:rsidRPr="00E85800">
        <w:t>. Niterói (RJ): ANPEC, 2018.</w:t>
      </w:r>
    </w:p>
    <w:p w14:paraId="05E92E75" w14:textId="77777777" w:rsidR="00E85800" w:rsidRPr="00E75E7A" w:rsidRDefault="00E85800" w:rsidP="008A623F">
      <w:pPr>
        <w:spacing w:line="360" w:lineRule="auto"/>
        <w:jc w:val="both"/>
        <w:textAlignment w:val="baseline"/>
        <w:rPr>
          <w:lang w:val="en-US"/>
        </w:rPr>
      </w:pPr>
      <w:r w:rsidRPr="00E85800">
        <w:t xml:space="preserve">CARDOSO, K. F.; MARASCHIN, R. V.;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CRUZ JUNIOR, L. V. R. O perfil das exportações do Brasil para a Argentina, por intensidade tecnológica, no período 2000-2016, e a inserção brasileira nas cadeias globais de valor. In: XV Encontro Nacional da Associação Brasileira de Estudos Regionais e Urbanos / I </w:t>
      </w:r>
      <w:proofErr w:type="spellStart"/>
      <w:r w:rsidRPr="00E85800">
        <w:t>Latin</w:t>
      </w:r>
      <w:proofErr w:type="spellEnd"/>
      <w:r w:rsidRPr="00E85800">
        <w:t xml:space="preserve"> American </w:t>
      </w:r>
      <w:proofErr w:type="spellStart"/>
      <w:r w:rsidRPr="00E85800">
        <w:t>and</w:t>
      </w:r>
      <w:proofErr w:type="spellEnd"/>
      <w:r w:rsidRPr="00E85800">
        <w:t xml:space="preserve"> </w:t>
      </w:r>
      <w:proofErr w:type="spellStart"/>
      <w:r w:rsidRPr="00E85800">
        <w:t>Caribbean</w:t>
      </w:r>
      <w:proofErr w:type="spellEnd"/>
      <w:r w:rsidRPr="00E85800">
        <w:t xml:space="preserve"> Regional Science </w:t>
      </w:r>
      <w:proofErr w:type="spellStart"/>
      <w:r w:rsidRPr="00E85800">
        <w:t>Association</w:t>
      </w:r>
      <w:proofErr w:type="spellEnd"/>
      <w:r w:rsidRPr="00E85800">
        <w:t xml:space="preserve">, 2017, São Paulo (SP). </w:t>
      </w:r>
      <w:r w:rsidRPr="00E85800">
        <w:rPr>
          <w:b/>
        </w:rPr>
        <w:t xml:space="preserve">Anais do XV Encontro Nacional da Associação Brasileira de Estudos Regionais e Urbanos / I </w:t>
      </w:r>
      <w:proofErr w:type="spellStart"/>
      <w:r w:rsidRPr="00E85800">
        <w:rPr>
          <w:b/>
        </w:rPr>
        <w:t>Latin</w:t>
      </w:r>
      <w:proofErr w:type="spellEnd"/>
      <w:r w:rsidRPr="00E85800">
        <w:rPr>
          <w:b/>
        </w:rPr>
        <w:t xml:space="preserve"> American </w:t>
      </w:r>
      <w:proofErr w:type="spellStart"/>
      <w:r w:rsidRPr="00E85800">
        <w:rPr>
          <w:b/>
        </w:rPr>
        <w:t>and</w:t>
      </w:r>
      <w:proofErr w:type="spellEnd"/>
      <w:r w:rsidRPr="00E85800">
        <w:rPr>
          <w:b/>
        </w:rPr>
        <w:t xml:space="preserve"> </w:t>
      </w:r>
      <w:proofErr w:type="spellStart"/>
      <w:r w:rsidRPr="00E85800">
        <w:rPr>
          <w:b/>
        </w:rPr>
        <w:t>Caribbean</w:t>
      </w:r>
      <w:proofErr w:type="spellEnd"/>
      <w:r w:rsidRPr="00E85800">
        <w:rPr>
          <w:b/>
        </w:rPr>
        <w:t xml:space="preserve"> Regional Science </w:t>
      </w:r>
      <w:proofErr w:type="spellStart"/>
      <w:r w:rsidRPr="00E85800">
        <w:rPr>
          <w:b/>
        </w:rPr>
        <w:t>Association</w:t>
      </w:r>
      <w:proofErr w:type="spellEnd"/>
      <w:r w:rsidRPr="00E85800">
        <w:t xml:space="preserve">. </w:t>
      </w:r>
      <w:r w:rsidRPr="00E75E7A">
        <w:rPr>
          <w:lang w:val="en-US"/>
        </w:rPr>
        <w:t>Curitiba (PR): ABER, 2017.</w:t>
      </w:r>
    </w:p>
    <w:p w14:paraId="5DA80336" w14:textId="77777777" w:rsidR="00E85800" w:rsidRPr="00E75E7A" w:rsidRDefault="00E85800" w:rsidP="00E85800">
      <w:pPr>
        <w:spacing w:line="360" w:lineRule="auto"/>
        <w:jc w:val="both"/>
        <w:rPr>
          <w:shd w:val="clear" w:color="auto" w:fill="FFFFFF"/>
          <w:lang w:val="en-US"/>
        </w:rPr>
      </w:pPr>
      <w:r w:rsidRPr="00E85800">
        <w:rPr>
          <w:shd w:val="clear" w:color="auto" w:fill="FFFFFF"/>
          <w:lang w:val="en-US"/>
        </w:rPr>
        <w:t xml:space="preserve">CARVALHO, M. F. P.; </w:t>
      </w:r>
      <w:r w:rsidRPr="00E85800">
        <w:rPr>
          <w:bdr w:val="none" w:sz="0" w:space="0" w:color="auto" w:frame="1"/>
          <w:shd w:val="clear" w:color="auto" w:fill="FFFFFF"/>
          <w:lang w:val="en-US"/>
        </w:rPr>
        <w:t>AZEVEDO, A.</w:t>
      </w:r>
      <w:r w:rsidRPr="00E85800">
        <w:rPr>
          <w:shd w:val="clear" w:color="auto" w:fill="FFFFFF"/>
          <w:lang w:val="en-US"/>
        </w:rPr>
        <w:t xml:space="preserve">; </w:t>
      </w:r>
      <w:r w:rsidRPr="00E85800">
        <w:rPr>
          <w:bdr w:val="none" w:sz="0" w:space="0" w:color="auto" w:frame="1"/>
          <w:shd w:val="clear" w:color="auto" w:fill="FFFFFF"/>
          <w:lang w:val="en-US"/>
        </w:rPr>
        <w:t>MASSUQUETTI, A</w:t>
      </w:r>
      <w:r w:rsidRPr="00E85800">
        <w:rPr>
          <w:shd w:val="clear" w:color="auto" w:fill="FFFFFF"/>
          <w:lang w:val="en-US"/>
        </w:rPr>
        <w:t xml:space="preserve">. Emerging Countries and the Effects of the Trade War between US and China. </w:t>
      </w:r>
      <w:r w:rsidRPr="00E75E7A">
        <w:rPr>
          <w:b/>
          <w:bCs/>
          <w:shd w:val="clear" w:color="auto" w:fill="FFFFFF"/>
          <w:lang w:val="en-US"/>
        </w:rPr>
        <w:t>Economies</w:t>
      </w:r>
      <w:r w:rsidRPr="00E75E7A">
        <w:rPr>
          <w:shd w:val="clear" w:color="auto" w:fill="FFFFFF"/>
          <w:lang w:val="en-US"/>
        </w:rPr>
        <w:t>, v. 7, p. 45, 2019.</w:t>
      </w:r>
    </w:p>
    <w:p w14:paraId="11901E1D" w14:textId="77777777" w:rsidR="00E85800" w:rsidRPr="00F52556" w:rsidRDefault="00E85800" w:rsidP="00E85800">
      <w:pPr>
        <w:spacing w:line="360" w:lineRule="auto"/>
        <w:jc w:val="both"/>
        <w:textAlignment w:val="baseline"/>
      </w:pPr>
      <w:r w:rsidRPr="00F52556">
        <w:rPr>
          <w:lang w:val="en-US"/>
        </w:rPr>
        <w:t>CARVALHO, M. F. P.;</w:t>
      </w:r>
      <w:r w:rsidRPr="00E85800">
        <w:rPr>
          <w:lang w:val="en-US"/>
        </w:rPr>
        <w:t xml:space="preserve"> </w:t>
      </w:r>
      <w:r w:rsidRPr="00F52556">
        <w:rPr>
          <w:bdr w:val="none" w:sz="0" w:space="0" w:color="auto" w:frame="1"/>
          <w:lang w:val="en-US"/>
        </w:rPr>
        <w:t>AZEVEDO, A.</w:t>
      </w:r>
      <w:r w:rsidRPr="00F52556">
        <w:rPr>
          <w:lang w:val="en-US"/>
        </w:rPr>
        <w:t>;</w:t>
      </w:r>
      <w:r w:rsidRPr="00E85800">
        <w:rPr>
          <w:lang w:val="en-US"/>
        </w:rPr>
        <w:t xml:space="preserve"> </w:t>
      </w:r>
      <w:r w:rsidRPr="00F52556">
        <w:rPr>
          <w:bdr w:val="none" w:sz="0" w:space="0" w:color="auto" w:frame="1"/>
          <w:lang w:val="en-US"/>
        </w:rPr>
        <w:t>MASSUQUETTI, A</w:t>
      </w:r>
      <w:r w:rsidRPr="00F52556">
        <w:rPr>
          <w:lang w:val="en-US"/>
        </w:rPr>
        <w:t xml:space="preserve">. Emerging countries and the effects of the trade war between US and China. In: 26th APDR Congress, 2019, Aveiro (Portugal). </w:t>
      </w:r>
      <w:r w:rsidRPr="00F52556">
        <w:rPr>
          <w:b/>
          <w:bCs/>
          <w:lang w:val="en-US"/>
        </w:rPr>
        <w:t>Proceedings 26th APDR Congress</w:t>
      </w:r>
      <w:r w:rsidRPr="00F52556">
        <w:rPr>
          <w:lang w:val="en-US"/>
        </w:rPr>
        <w:t xml:space="preserve">. </w:t>
      </w:r>
      <w:r w:rsidRPr="00F52556">
        <w:t>Angra do Heroísmo (Portugal): APDR, 2019.</w:t>
      </w:r>
    </w:p>
    <w:p w14:paraId="60DFFCCD" w14:textId="77777777" w:rsidR="00E85800" w:rsidRPr="00F52556" w:rsidRDefault="00E85800" w:rsidP="00E85800">
      <w:pPr>
        <w:spacing w:line="360" w:lineRule="auto"/>
        <w:jc w:val="both"/>
        <w:textAlignment w:val="baseline"/>
      </w:pPr>
      <w:r w:rsidRPr="00F52556">
        <w:t>CARVALHO, M. F. P.;</w:t>
      </w:r>
      <w:r w:rsidRPr="00E85800">
        <w:t xml:space="preserve"> </w:t>
      </w:r>
      <w:r w:rsidRPr="00F52556">
        <w:rPr>
          <w:bdr w:val="none" w:sz="0" w:space="0" w:color="auto" w:frame="1"/>
        </w:rPr>
        <w:t>AZEVEDO, A.</w:t>
      </w:r>
      <w:r w:rsidRPr="00F52556">
        <w:t>;</w:t>
      </w:r>
      <w:r w:rsidRPr="00E85800">
        <w:t xml:space="preserve"> </w:t>
      </w:r>
      <w:r w:rsidRPr="00F52556">
        <w:rPr>
          <w:bdr w:val="none" w:sz="0" w:space="0" w:color="auto" w:frame="1"/>
        </w:rPr>
        <w:t>MASSUQUETTI, A</w:t>
      </w:r>
      <w:r w:rsidRPr="00F52556">
        <w:t>. O Brasil no contexto da guerra comercial entre EUA e China. In: XXII Encontro de Economia da Região Sul (</w:t>
      </w:r>
      <w:proofErr w:type="spellStart"/>
      <w:r w:rsidRPr="00F52556">
        <w:t>AnpecSul</w:t>
      </w:r>
      <w:proofErr w:type="spellEnd"/>
      <w:r w:rsidRPr="00F52556">
        <w:t xml:space="preserve">), 2019. </w:t>
      </w:r>
      <w:r w:rsidRPr="00F52556">
        <w:rPr>
          <w:b/>
          <w:bCs/>
        </w:rPr>
        <w:t>Anais do XXII Encontro de Economia da Região Sul (</w:t>
      </w:r>
      <w:proofErr w:type="spellStart"/>
      <w:r w:rsidRPr="00F52556">
        <w:rPr>
          <w:b/>
          <w:bCs/>
        </w:rPr>
        <w:t>AnpecSul</w:t>
      </w:r>
      <w:proofErr w:type="spellEnd"/>
      <w:r w:rsidRPr="00F52556">
        <w:rPr>
          <w:b/>
          <w:bCs/>
        </w:rPr>
        <w:t>)</w:t>
      </w:r>
      <w:r w:rsidRPr="00F52556">
        <w:t>, 2019.</w:t>
      </w:r>
    </w:p>
    <w:p w14:paraId="0BF21C24" w14:textId="77777777" w:rsidR="00E85800" w:rsidRPr="00F52556" w:rsidRDefault="00E85800" w:rsidP="00E85800">
      <w:pPr>
        <w:spacing w:line="360" w:lineRule="auto"/>
        <w:jc w:val="both"/>
        <w:textAlignment w:val="baseline"/>
      </w:pPr>
      <w:r w:rsidRPr="00F52556">
        <w:t>CARVALHO, M. F. P.;</w:t>
      </w:r>
      <w:r w:rsidRPr="00E85800">
        <w:t xml:space="preserve"> </w:t>
      </w:r>
      <w:r w:rsidRPr="00F52556">
        <w:rPr>
          <w:bdr w:val="none" w:sz="0" w:space="0" w:color="auto" w:frame="1"/>
        </w:rPr>
        <w:t>AZEVEDO, A.</w:t>
      </w:r>
      <w:r w:rsidRPr="00F52556">
        <w:t>;</w:t>
      </w:r>
      <w:r w:rsidRPr="00E85800">
        <w:t xml:space="preserve"> </w:t>
      </w:r>
      <w:r w:rsidRPr="00F52556">
        <w:rPr>
          <w:bdr w:val="none" w:sz="0" w:space="0" w:color="auto" w:frame="1"/>
        </w:rPr>
        <w:t>MASSUQUETTI, A.</w:t>
      </w:r>
      <w:r w:rsidRPr="00F52556">
        <w:t xml:space="preserve"> O complexo de soja brasileiro no contexto da guerra comercial entre EUA e China. In: 57º Congresso da Sociedade Brasileira de Economia, Administração e Sociologia Rural, 2019, Ilhéus (BA). </w:t>
      </w:r>
      <w:r w:rsidRPr="00F52556">
        <w:rPr>
          <w:b/>
          <w:bCs/>
        </w:rPr>
        <w:t>Anais do 57º Congresso da Sociedade Brasileira de Economia, Administração e Sociologia Rural</w:t>
      </w:r>
      <w:r w:rsidRPr="00F52556">
        <w:t>. Piracicaba (SP): SOBER, 2019.</w:t>
      </w:r>
    </w:p>
    <w:p w14:paraId="622E587C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CECHIN, A.; </w:t>
      </w:r>
      <w:r w:rsidRPr="00E85800">
        <w:rPr>
          <w:bdr w:val="none" w:sz="0" w:space="0" w:color="auto" w:frame="1"/>
        </w:rPr>
        <w:t>AZEVEDO, A.</w:t>
      </w:r>
      <w:r w:rsidRPr="00E85800">
        <w:t xml:space="preserve">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 Os efeitos da integração regional brasileira com importantes parceiros comerciais sob a ótica do modelo de equilíbrio geral computável. In: XV Encontro Nacional da Associação Brasileira de Estudos Regionais e Urbanos / I </w:t>
      </w:r>
      <w:proofErr w:type="spellStart"/>
      <w:r w:rsidRPr="00E85800">
        <w:t>Latin</w:t>
      </w:r>
      <w:proofErr w:type="spellEnd"/>
      <w:r w:rsidRPr="00E85800">
        <w:t xml:space="preserve"> American </w:t>
      </w:r>
      <w:proofErr w:type="spellStart"/>
      <w:r w:rsidRPr="00E85800">
        <w:t>and</w:t>
      </w:r>
      <w:proofErr w:type="spellEnd"/>
      <w:r w:rsidRPr="00E85800">
        <w:t xml:space="preserve"> </w:t>
      </w:r>
      <w:proofErr w:type="spellStart"/>
      <w:r w:rsidRPr="00E85800">
        <w:t>Caribbean</w:t>
      </w:r>
      <w:proofErr w:type="spellEnd"/>
      <w:r w:rsidRPr="00E85800">
        <w:t xml:space="preserve"> Regional Science </w:t>
      </w:r>
      <w:proofErr w:type="spellStart"/>
      <w:r w:rsidRPr="00E85800">
        <w:t>Association</w:t>
      </w:r>
      <w:proofErr w:type="spellEnd"/>
      <w:r w:rsidRPr="00E85800">
        <w:t xml:space="preserve">, 2017, São Paulo (SP). </w:t>
      </w:r>
      <w:r w:rsidRPr="00E85800">
        <w:rPr>
          <w:b/>
        </w:rPr>
        <w:t xml:space="preserve">Anais do XV Encontro Nacional da Associação Brasileira de Estudos Regionais e Urbanos / I </w:t>
      </w:r>
      <w:proofErr w:type="spellStart"/>
      <w:r w:rsidRPr="00E85800">
        <w:rPr>
          <w:b/>
        </w:rPr>
        <w:t>Latin</w:t>
      </w:r>
      <w:proofErr w:type="spellEnd"/>
      <w:r w:rsidRPr="00E85800">
        <w:rPr>
          <w:b/>
        </w:rPr>
        <w:t xml:space="preserve"> American </w:t>
      </w:r>
      <w:proofErr w:type="spellStart"/>
      <w:r w:rsidRPr="00E85800">
        <w:rPr>
          <w:b/>
        </w:rPr>
        <w:t>and</w:t>
      </w:r>
      <w:proofErr w:type="spellEnd"/>
      <w:r w:rsidRPr="00E85800">
        <w:rPr>
          <w:b/>
        </w:rPr>
        <w:t xml:space="preserve"> </w:t>
      </w:r>
      <w:proofErr w:type="spellStart"/>
      <w:r w:rsidRPr="00E85800">
        <w:rPr>
          <w:b/>
        </w:rPr>
        <w:t>Caribbean</w:t>
      </w:r>
      <w:proofErr w:type="spellEnd"/>
      <w:r w:rsidRPr="00E85800">
        <w:rPr>
          <w:b/>
        </w:rPr>
        <w:t xml:space="preserve"> Regional Science </w:t>
      </w:r>
      <w:proofErr w:type="spellStart"/>
      <w:r w:rsidRPr="00E85800">
        <w:rPr>
          <w:b/>
        </w:rPr>
        <w:t>Association</w:t>
      </w:r>
      <w:proofErr w:type="spellEnd"/>
      <w:r w:rsidRPr="00E85800">
        <w:t>. Curitiba (PR): ABER, 2017.</w:t>
      </w:r>
    </w:p>
    <w:p w14:paraId="27056ADC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CRUZ JUNIOR, L. V. R.;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AZEVEDO, A.</w:t>
      </w:r>
      <w:r w:rsidRPr="00E85800">
        <w:t xml:space="preserve"> Infraestrutura na América Latina: os efeitos sobre o comércio </w:t>
      </w:r>
      <w:proofErr w:type="spellStart"/>
      <w:r w:rsidRPr="00E85800">
        <w:t>intraregional</w:t>
      </w:r>
      <w:proofErr w:type="spellEnd"/>
      <w:r w:rsidRPr="00E85800">
        <w:t xml:space="preserve"> a partir do modelo gravitacional. In: XX Encontro de Economia da Região Sul - </w:t>
      </w:r>
      <w:proofErr w:type="spellStart"/>
      <w:r w:rsidRPr="00E85800">
        <w:t>AnpecSul</w:t>
      </w:r>
      <w:proofErr w:type="spellEnd"/>
      <w:r w:rsidRPr="00E85800">
        <w:t xml:space="preserve">, 2017, Porto Alegre (RS). </w:t>
      </w:r>
      <w:r w:rsidRPr="00E85800">
        <w:rPr>
          <w:b/>
        </w:rPr>
        <w:t xml:space="preserve">Anais do XX Encontro de Economia da Região Sul - </w:t>
      </w:r>
      <w:proofErr w:type="spellStart"/>
      <w:r w:rsidRPr="00E85800">
        <w:rPr>
          <w:b/>
        </w:rPr>
        <w:t>AnpecSul</w:t>
      </w:r>
      <w:proofErr w:type="spellEnd"/>
      <w:r w:rsidRPr="00E85800">
        <w:t>. Niterói (RJ): ANPEC, 2017.</w:t>
      </w:r>
    </w:p>
    <w:p w14:paraId="15E13D49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CRUZ JUNIOR, L. V. R.;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AZEVEDO, A</w:t>
      </w:r>
      <w:r w:rsidRPr="00E85800">
        <w:t xml:space="preserve">. Infraestrutura na América Latina: os efeitos sobre o comércio </w:t>
      </w:r>
      <w:proofErr w:type="spellStart"/>
      <w:r w:rsidRPr="00E85800">
        <w:t>intraregional</w:t>
      </w:r>
      <w:proofErr w:type="spellEnd"/>
      <w:r w:rsidRPr="00E85800">
        <w:t xml:space="preserve"> a partir do modelo gravitacional. In: 45° </w:t>
      </w:r>
      <w:r w:rsidRPr="00E85800">
        <w:lastRenderedPageBreak/>
        <w:t xml:space="preserve">ENCONTRO NACIONAL DE ECONOMIA, 2017, Natal (RN). </w:t>
      </w:r>
      <w:r w:rsidRPr="00E85800">
        <w:rPr>
          <w:b/>
        </w:rPr>
        <w:t>Anais do 45° ENCONTRO NACIONAL DE ECONOMIA</w:t>
      </w:r>
      <w:r w:rsidRPr="00E85800">
        <w:t>. Niterói (RJ): ANPEC, 2017.</w:t>
      </w:r>
    </w:p>
    <w:p w14:paraId="7CF8D84E" w14:textId="77777777" w:rsidR="00E85800" w:rsidRPr="00E85800" w:rsidRDefault="00E85800" w:rsidP="008A623F">
      <w:pPr>
        <w:spacing w:line="360" w:lineRule="auto"/>
        <w:jc w:val="both"/>
        <w:textAlignment w:val="baseline"/>
        <w:rPr>
          <w:lang w:val="en-US"/>
        </w:rPr>
      </w:pPr>
      <w:r w:rsidRPr="00E85800">
        <w:t xml:space="preserve">CRUZ JUNIOR, L. V. R.;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AZEVEDO, A.</w:t>
      </w:r>
      <w:r w:rsidRPr="00E85800">
        <w:t xml:space="preserve">; REIS, M. Infraestrutura e comércio internacional: uma abordagem a partir do modelo gravitacional para os países da América Latina. In: 45° ENCONTRO NACIONAL DE ECONOMIA, 2017, Natal (RN). </w:t>
      </w:r>
      <w:r w:rsidRPr="00E85800">
        <w:rPr>
          <w:b/>
        </w:rPr>
        <w:t>Anais do 45° ENCONTRO NACIONAL DE ECONOMIA</w:t>
      </w:r>
      <w:r w:rsidRPr="00E85800">
        <w:t xml:space="preserve">. </w:t>
      </w:r>
      <w:proofErr w:type="spellStart"/>
      <w:r w:rsidRPr="00E85800">
        <w:rPr>
          <w:lang w:val="en-US"/>
        </w:rPr>
        <w:t>Niterói</w:t>
      </w:r>
      <w:proofErr w:type="spellEnd"/>
      <w:r w:rsidRPr="00E85800">
        <w:rPr>
          <w:lang w:val="en-US"/>
        </w:rPr>
        <w:t xml:space="preserve"> (RJ): ANPEC, 2017.</w:t>
      </w:r>
    </w:p>
    <w:p w14:paraId="718F30C7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lang w:val="en-US"/>
        </w:rPr>
        <w:t xml:space="preserve">CRUZ JUNIOR, L. V. R.; </w:t>
      </w:r>
      <w:r w:rsidRPr="00E85800">
        <w:rPr>
          <w:bdr w:val="none" w:sz="0" w:space="0" w:color="auto" w:frame="1"/>
          <w:lang w:val="en-US"/>
        </w:rPr>
        <w:t>MASSUQUETTI, A.</w:t>
      </w:r>
      <w:r w:rsidRPr="00E85800">
        <w:rPr>
          <w:lang w:val="en-US"/>
        </w:rPr>
        <w:t xml:space="preserve">; </w:t>
      </w:r>
      <w:r w:rsidRPr="00E85800">
        <w:rPr>
          <w:bCs/>
          <w:bdr w:val="none" w:sz="0" w:space="0" w:color="auto" w:frame="1"/>
          <w:lang w:val="en-US"/>
        </w:rPr>
        <w:t>AZEVEDO, A.</w:t>
      </w:r>
      <w:r w:rsidRPr="00E85800">
        <w:rPr>
          <w:lang w:val="en-US"/>
        </w:rPr>
        <w:t xml:space="preserve">; </w:t>
      </w:r>
      <w:r w:rsidRPr="00E85800">
        <w:rPr>
          <w:bdr w:val="none" w:sz="0" w:space="0" w:color="auto" w:frame="1"/>
          <w:lang w:val="en-US"/>
        </w:rPr>
        <w:t>REIS, M.</w:t>
      </w:r>
      <w:r w:rsidRPr="00E85800">
        <w:rPr>
          <w:lang w:val="en-US"/>
        </w:rPr>
        <w:t xml:space="preserve"> The effects of infrastructure on Latin American trade on short and long run. </w:t>
      </w:r>
      <w:r w:rsidRPr="00E85800">
        <w:t xml:space="preserve">In: Anais do XXI Encontro de Economia da Região Sul - </w:t>
      </w:r>
      <w:proofErr w:type="spellStart"/>
      <w:r w:rsidRPr="00E85800">
        <w:t>AnpecSul</w:t>
      </w:r>
      <w:proofErr w:type="spellEnd"/>
      <w:r w:rsidRPr="00E85800">
        <w:t xml:space="preserve">, 2018, Curitiba (PR). </w:t>
      </w:r>
      <w:r w:rsidRPr="00E85800">
        <w:rPr>
          <w:b/>
        </w:rPr>
        <w:t xml:space="preserve">Anais do XXI Encontro de Economia da Região Sul - </w:t>
      </w:r>
      <w:proofErr w:type="spellStart"/>
      <w:r w:rsidRPr="00E85800">
        <w:rPr>
          <w:b/>
        </w:rPr>
        <w:t>AnpecSul</w:t>
      </w:r>
      <w:proofErr w:type="spellEnd"/>
      <w:r w:rsidRPr="00E85800">
        <w:t>. Niterói (RJ): ANPEC, 2018.</w:t>
      </w:r>
    </w:p>
    <w:p w14:paraId="1D4F39A8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DILLY, R. F.;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FREITAS, G. S.</w:t>
      </w:r>
      <w:r w:rsidRPr="00E85800">
        <w:t xml:space="preserve">; FERNANDES, J. J. A competitividade das exportações brasileiras no mercado mundial de milho (2000/2014). In: XI SOBER Nordeste, 2016, Mossoró (RN). </w:t>
      </w:r>
      <w:r w:rsidRPr="00E85800">
        <w:rPr>
          <w:b/>
        </w:rPr>
        <w:t>Anais do XI SOBER Nordeste</w:t>
      </w:r>
      <w:r w:rsidRPr="00E85800">
        <w:t>. Piracicaba (SP): SOBER, 2016.</w:t>
      </w:r>
    </w:p>
    <w:p w14:paraId="0363A326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DILLY, R. F.;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FREITAS, G. S.</w:t>
      </w:r>
      <w:r w:rsidRPr="00E85800">
        <w:t xml:space="preserve">; FERNANDES, J. J. Exportações mundiais de milho: um estudo da competitividade e do grau de concentração do Brasil e dos Estados Unidos da América (EUA) no período 2000/2014. </w:t>
      </w:r>
      <w:r w:rsidRPr="00E85800">
        <w:rPr>
          <w:b/>
        </w:rPr>
        <w:t>Revista Brasileira de Estudos Regionais e Urbanos</w:t>
      </w:r>
      <w:r w:rsidRPr="00E85800">
        <w:t>, v. 11, p. 1-19, 2017.</w:t>
      </w:r>
    </w:p>
    <w:p w14:paraId="2076965D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dr w:val="none" w:sz="0" w:space="0" w:color="auto" w:frame="1"/>
        </w:rPr>
        <w:t>FREITAS, G. S.</w:t>
      </w:r>
      <w:r w:rsidRPr="00E85800">
        <w:t>; </w:t>
      </w:r>
      <w:r w:rsidRPr="00E85800">
        <w:rPr>
          <w:bCs/>
          <w:bdr w:val="none" w:sz="0" w:space="0" w:color="auto" w:frame="1"/>
        </w:rPr>
        <w:t>MASSUQUETTI, A</w:t>
      </w:r>
      <w:r w:rsidRPr="00E85800">
        <w:t xml:space="preserve">. As exportações do complexo soja do Brasil, da Argentina e dos Estados Unidos da América: um estudo da competitividade e do grau de concentração no período 1995/2010. In: 52 Congresso da Sociedade Brasileira de Economia, Administração e Sociologia Rural, 2014, Goiânia (GO). </w:t>
      </w:r>
      <w:r w:rsidRPr="00E85800">
        <w:rPr>
          <w:b/>
        </w:rPr>
        <w:t>Anais do 52 Congresso da Sociedade Brasileira de Economia, Administração e Sociologia Rural</w:t>
      </w:r>
      <w:r w:rsidRPr="00E85800">
        <w:t>. Piracicaba (SP): SOBER, 2014.</w:t>
      </w:r>
    </w:p>
    <w:p w14:paraId="0073320D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GREGORI, C. D.;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MARASCHIN, R. V. As relações comerciais Sul-Sul: um estudo do comércio de produtos primários entre Brasil e Ásia. In: 55° Congresso da Sociedade Brasileira de Economia, Administração e Sociologia Rural, 2017, Santa Maria (RS). </w:t>
      </w:r>
      <w:r w:rsidRPr="00E85800">
        <w:rPr>
          <w:b/>
        </w:rPr>
        <w:t>Anais do 55° Congresso da Sociedade Brasileira de Economia, Administração e Sociologia Rural</w:t>
      </w:r>
      <w:r w:rsidRPr="00E85800">
        <w:t>. Piracicaba (SP): SOBER, 2017.</w:t>
      </w:r>
    </w:p>
    <w:p w14:paraId="5E53BC0B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GREGORI, C. D.;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MARASCHIN, R. V. O Brasil no comércio Sul-Sul. In: VIII Seminário Internacional de Desenvolvimento Regional, 2017, Santa Cruz do Sul (RS). </w:t>
      </w:r>
      <w:r w:rsidRPr="00E85800">
        <w:rPr>
          <w:b/>
        </w:rPr>
        <w:t>Anais do VIII Seminário Internacional de Desenvolvimento Regional</w:t>
      </w:r>
      <w:r w:rsidRPr="00E85800">
        <w:t>. Santa Cruz do Sul (RS): UNISC, 2017.</w:t>
      </w:r>
    </w:p>
    <w:p w14:paraId="4D61C8FD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GREGORI, C. D.;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MARASCHIN, R. V. Perspectivas de desenvolvimento para o Brasil no comércio Sul-Sul. In: Anais do XX Encontro de Economia </w:t>
      </w:r>
      <w:r w:rsidRPr="00E85800">
        <w:lastRenderedPageBreak/>
        <w:t xml:space="preserve">da Região Sul - </w:t>
      </w:r>
      <w:proofErr w:type="spellStart"/>
      <w:r w:rsidRPr="00E85800">
        <w:t>AnpecSul</w:t>
      </w:r>
      <w:proofErr w:type="spellEnd"/>
      <w:r w:rsidRPr="00E85800">
        <w:t xml:space="preserve">, 2017, Porto Alegre (RS). </w:t>
      </w:r>
      <w:r w:rsidRPr="00E85800">
        <w:rPr>
          <w:b/>
        </w:rPr>
        <w:t xml:space="preserve">Anais do XX Encontro de Economia da Região Sul - </w:t>
      </w:r>
      <w:proofErr w:type="spellStart"/>
      <w:r w:rsidRPr="00E85800">
        <w:rPr>
          <w:b/>
        </w:rPr>
        <w:t>AnpecSul</w:t>
      </w:r>
      <w:proofErr w:type="spellEnd"/>
      <w:r w:rsidRPr="00E85800">
        <w:t>. Niterói (RJ): ANPEC, 2017.</w:t>
      </w:r>
    </w:p>
    <w:p w14:paraId="3B6872CB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GREGORI, C. D.;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MARASCHIN, R. V.; BRUM, A. L. As relações comerciais entre o Brasil e a América do Sul, a África e o Sul da Ásia por grau de intensidade tecnológica de 2000 a 2015. In: Argemiro Luís Brum (org.). (Org.). </w:t>
      </w:r>
      <w:r w:rsidRPr="00E85800">
        <w:rPr>
          <w:b/>
        </w:rPr>
        <w:t>Economia, Mercados e Logística do Brasil</w:t>
      </w:r>
      <w:r w:rsidRPr="00E85800">
        <w:t xml:space="preserve">: 2000 a 2016. 1ed.Santa Cruz do Sul (RS): </w:t>
      </w:r>
      <w:proofErr w:type="spellStart"/>
      <w:r w:rsidRPr="00E85800">
        <w:t>Essere</w:t>
      </w:r>
      <w:proofErr w:type="spellEnd"/>
      <w:r w:rsidRPr="00E85800">
        <w:t xml:space="preserve"> </w:t>
      </w:r>
      <w:proofErr w:type="spellStart"/>
      <w:proofErr w:type="gramStart"/>
      <w:r w:rsidRPr="00E85800">
        <w:t>nel</w:t>
      </w:r>
      <w:proofErr w:type="spellEnd"/>
      <w:r w:rsidRPr="00E85800">
        <w:t xml:space="preserve"> Mondo</w:t>
      </w:r>
      <w:proofErr w:type="gramEnd"/>
      <w:r w:rsidRPr="00E85800">
        <w:t>, 2017, v. 1, p. 10-32.</w:t>
      </w:r>
    </w:p>
    <w:p w14:paraId="3108AA44" w14:textId="77777777" w:rsidR="00E85800" w:rsidRPr="00F52556" w:rsidRDefault="00E85800" w:rsidP="00E85800">
      <w:pPr>
        <w:spacing w:line="360" w:lineRule="auto"/>
        <w:jc w:val="both"/>
        <w:textAlignment w:val="baseline"/>
      </w:pPr>
      <w:r w:rsidRPr="00F52556">
        <w:t>LUMERTZ, C. B.;</w:t>
      </w:r>
      <w:r w:rsidRPr="00E85800">
        <w:t xml:space="preserve"> </w:t>
      </w:r>
      <w:r w:rsidRPr="00F52556">
        <w:rPr>
          <w:bdr w:val="none" w:sz="0" w:space="0" w:color="auto" w:frame="1"/>
        </w:rPr>
        <w:t>MASSUQUETTI, A.</w:t>
      </w:r>
      <w:r w:rsidRPr="00F52556">
        <w:t xml:space="preserve"> O cultivo de arroz no município de Eldorado do Sul (Rio Grande do Sul): uma análise do financiamento. In: 57º Congresso da Sociedade Brasileira de Economia, Administração e Sociologia Rural, 2019, Ilhéus (BA). </w:t>
      </w:r>
      <w:r w:rsidRPr="00F52556">
        <w:rPr>
          <w:b/>
          <w:bCs/>
        </w:rPr>
        <w:t>Anais do 57º Congresso da Sociedade Brasileira de Economia, Administração e Sociologia Rural</w:t>
      </w:r>
      <w:r w:rsidRPr="00F52556">
        <w:t>. Piracicaba (SP): SOBER, 2019.</w:t>
      </w:r>
    </w:p>
    <w:p w14:paraId="3478C859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MARASCHIN, R. V.; </w:t>
      </w:r>
      <w:r w:rsidRPr="00E85800">
        <w:rPr>
          <w:bCs/>
          <w:bdr w:val="none" w:sz="0" w:space="0" w:color="auto" w:frame="1"/>
        </w:rPr>
        <w:t>MASSUQUETTI, A</w:t>
      </w:r>
      <w:r w:rsidRPr="00E85800">
        <w:t xml:space="preserve">. Brasil-Mercosul: o perfil de comércio nos anos 2000. In: XXI Encontro Nacional de Economia Política, 2016, São Bernardo do Campo (SP). </w:t>
      </w:r>
      <w:r w:rsidRPr="00E85800">
        <w:rPr>
          <w:b/>
        </w:rPr>
        <w:t>Anais do XXI Encontro Nacional de Economia Política</w:t>
      </w:r>
      <w:r w:rsidRPr="00E85800">
        <w:t>. Uberlândia (MG): SEP, 2016.</w:t>
      </w:r>
    </w:p>
    <w:p w14:paraId="18AAC96A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MARASCHIN, R. V.; </w:t>
      </w:r>
      <w:r w:rsidRPr="00E85800">
        <w:rPr>
          <w:bCs/>
          <w:bdr w:val="none" w:sz="0" w:space="0" w:color="auto" w:frame="1"/>
        </w:rPr>
        <w:t>MASSUQUETTI, A</w:t>
      </w:r>
      <w:r w:rsidRPr="00E85800">
        <w:t xml:space="preserve">. O comércio Brasil-Mercosul, por intensidade tecnológica, no período 2000 a 2014. In: Encontro Nacional da Associação Brasileira de Estudos Regionais e Urbanos - XIII ENABER, 2015, Curitiba (PR). </w:t>
      </w:r>
      <w:r w:rsidRPr="00E85800">
        <w:rPr>
          <w:b/>
        </w:rPr>
        <w:t>Anais do Encontro Nacional da Associação Brasileira de Estudos Regionais e Urbanos - XIII ENABER</w:t>
      </w:r>
      <w:r w:rsidRPr="00E85800">
        <w:t>. Curitiba (PR): ABER, 2015.</w:t>
      </w:r>
    </w:p>
    <w:p w14:paraId="6AFD9B22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MARASCHIN, R. V.;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 O perfil da pauta exportadora do Brasil para o Mercosul, por intensidade tecnológica (2000-2014). </w:t>
      </w:r>
      <w:r w:rsidRPr="00E85800">
        <w:rPr>
          <w:b/>
        </w:rPr>
        <w:t>Revista Brasileira de Estudos Regionais e Urbanos</w:t>
      </w:r>
      <w:r w:rsidRPr="00E85800">
        <w:t>, v. 9, p. 129-149, 2015.</w:t>
      </w:r>
    </w:p>
    <w:p w14:paraId="1E3546F6" w14:textId="77777777" w:rsidR="00E85800" w:rsidRPr="00E85800" w:rsidRDefault="00E85800" w:rsidP="008A623F">
      <w:pPr>
        <w:spacing w:line="360" w:lineRule="auto"/>
        <w:jc w:val="both"/>
        <w:textAlignment w:val="baseline"/>
        <w:rPr>
          <w:lang w:val="en-US"/>
        </w:rPr>
      </w:pPr>
      <w:r w:rsidRPr="00E85800">
        <w:t xml:space="preserve">MARASCHIN, R. V.;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 Os principais produtos exportados pelo Brasil para destinos selecionados, no período de 2000-2014. In: Judite </w:t>
      </w:r>
      <w:proofErr w:type="spellStart"/>
      <w:r w:rsidRPr="00E85800">
        <w:t>Sanson</w:t>
      </w:r>
      <w:proofErr w:type="spellEnd"/>
      <w:r w:rsidRPr="00E85800">
        <w:t xml:space="preserve"> de Bem; Silvio Luiz Gonçalves Vianna. (Org.). </w:t>
      </w:r>
      <w:r w:rsidRPr="00E85800">
        <w:rPr>
          <w:b/>
        </w:rPr>
        <w:t>O Turismo como Estratégia do Desenvolvimento</w:t>
      </w:r>
      <w:r w:rsidRPr="00E85800">
        <w:t xml:space="preserve">. </w:t>
      </w:r>
      <w:r w:rsidRPr="00E85800">
        <w:rPr>
          <w:lang w:val="en-US"/>
        </w:rPr>
        <w:t>1ed.Caxias do Sul (RS): EDUCS, 2016, v. 1, p. 167-180.</w:t>
      </w:r>
    </w:p>
    <w:p w14:paraId="7CF01C83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Cs/>
          <w:bdr w:val="none" w:sz="0" w:space="0" w:color="auto" w:frame="1"/>
          <w:lang w:val="en-US"/>
        </w:rPr>
        <w:t>MASSUQUETTI, A</w:t>
      </w:r>
      <w:r w:rsidRPr="00E85800">
        <w:rPr>
          <w:lang w:val="en-US"/>
        </w:rPr>
        <w:t xml:space="preserve">. The academic approach about the rural Brazil. </w:t>
      </w:r>
      <w:r w:rsidRPr="00E85800">
        <w:rPr>
          <w:b/>
        </w:rPr>
        <w:t>História Econômica &amp; História de Empresas</w:t>
      </w:r>
      <w:r w:rsidRPr="00E85800">
        <w:t>, v. 17, p. 29-44, 2014.</w:t>
      </w:r>
    </w:p>
    <w:p w14:paraId="2282C2EE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BUCHMANN, J. L.; </w:t>
      </w:r>
      <w:r w:rsidRPr="00E85800">
        <w:rPr>
          <w:bdr w:val="none" w:sz="0" w:space="0" w:color="auto" w:frame="1"/>
        </w:rPr>
        <w:t>TAMIOSSO, R. L. O.</w:t>
      </w:r>
      <w:r w:rsidRPr="00E85800">
        <w:t xml:space="preserve">; CARDOSO, K. F.; ROCHA, P. F.; PLAIN, R. M.; </w:t>
      </w:r>
      <w:r w:rsidRPr="00E85800">
        <w:rPr>
          <w:bdr w:val="none" w:sz="0" w:space="0" w:color="auto" w:frame="1"/>
        </w:rPr>
        <w:t>NIENOW, M</w:t>
      </w:r>
      <w:r w:rsidRPr="00E85800">
        <w:t xml:space="preserve">. O agronegócio brasileiro no comércio internacional (2000-2016). In: 24th APDR </w:t>
      </w:r>
      <w:proofErr w:type="spellStart"/>
      <w:r w:rsidRPr="00E85800">
        <w:t>Congress</w:t>
      </w:r>
      <w:proofErr w:type="spellEnd"/>
      <w:r w:rsidRPr="00E85800">
        <w:t xml:space="preserve">, 2017, </w:t>
      </w:r>
      <w:proofErr w:type="spellStart"/>
      <w:r w:rsidRPr="00E85800">
        <w:t>Covilhã</w:t>
      </w:r>
      <w:proofErr w:type="spellEnd"/>
      <w:r w:rsidRPr="00E85800">
        <w:t xml:space="preserve"> (Portugal). </w:t>
      </w:r>
      <w:r w:rsidRPr="00E85800">
        <w:rPr>
          <w:b/>
        </w:rPr>
        <w:t xml:space="preserve">Anais do 24th APDR </w:t>
      </w:r>
      <w:proofErr w:type="spellStart"/>
      <w:r w:rsidRPr="00E85800">
        <w:rPr>
          <w:b/>
        </w:rPr>
        <w:t>Congress</w:t>
      </w:r>
      <w:proofErr w:type="spellEnd"/>
      <w:r w:rsidRPr="00E85800">
        <w:t>. Angra do Heroísmo (Portugal): APDR, 2017.</w:t>
      </w:r>
    </w:p>
    <w:p w14:paraId="0D7CE953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Cs/>
          <w:bdr w:val="none" w:sz="0" w:space="0" w:color="auto" w:frame="1"/>
        </w:rPr>
        <w:lastRenderedPageBreak/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GRAF, C. O.</w:t>
      </w:r>
      <w:r w:rsidRPr="00E85800">
        <w:t xml:space="preserve">; </w:t>
      </w:r>
      <w:r w:rsidRPr="00E85800">
        <w:rPr>
          <w:bdr w:val="none" w:sz="0" w:space="0" w:color="auto" w:frame="1"/>
        </w:rPr>
        <w:t>SANTAROSSA, E. T.</w:t>
      </w:r>
      <w:r w:rsidRPr="00E85800">
        <w:t xml:space="preserve">; KRUTZMANN, V. As oportunidades comerciais do agronegócio da região sul do Brasil. </w:t>
      </w:r>
      <w:r w:rsidRPr="00E85800">
        <w:rPr>
          <w:b/>
        </w:rPr>
        <w:t>Revista de Economia e Agronegócio</w:t>
      </w:r>
      <w:r w:rsidRPr="00E85800">
        <w:t>, v. 12, p. 91-114, 2014.</w:t>
      </w:r>
    </w:p>
    <w:p w14:paraId="0C0FC5DC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GRAF, C. O.</w:t>
      </w:r>
      <w:r w:rsidRPr="00E85800">
        <w:t xml:space="preserve">; </w:t>
      </w:r>
      <w:r w:rsidRPr="00E85800">
        <w:rPr>
          <w:bdr w:val="none" w:sz="0" w:space="0" w:color="auto" w:frame="1"/>
        </w:rPr>
        <w:t>SANTAROSSA, E. T.</w:t>
      </w:r>
      <w:r w:rsidRPr="00E85800">
        <w:t xml:space="preserve">; KRUTZMANN, V. As oportunidades comerciais do agronegócio da região sul do Brasil. In: XVII Encontro Regional de Economia - ANPECSUL, 2014, Maringá (PR). </w:t>
      </w:r>
      <w:r w:rsidRPr="00E85800">
        <w:rPr>
          <w:b/>
        </w:rPr>
        <w:t>Anais do XVII Encontro Regional de Economia - ANPECSUL</w:t>
      </w:r>
      <w:r w:rsidRPr="00E85800">
        <w:t>. Niterói (RJ): ANPEC, 2014.</w:t>
      </w:r>
    </w:p>
    <w:p w14:paraId="54263EF2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MARASCHIN, R. V.; CRUZ JUNIOR, L. V. R.; </w:t>
      </w:r>
      <w:r w:rsidRPr="00E85800">
        <w:rPr>
          <w:bdr w:val="none" w:sz="0" w:space="0" w:color="auto" w:frame="1"/>
        </w:rPr>
        <w:t>TAMIOSSO, R. L. O.</w:t>
      </w:r>
      <w:r w:rsidRPr="00E85800">
        <w:t xml:space="preserve">; CARDOSO, K. F.; </w:t>
      </w:r>
      <w:r w:rsidRPr="00E85800">
        <w:rPr>
          <w:bdr w:val="none" w:sz="0" w:space="0" w:color="auto" w:frame="1"/>
        </w:rPr>
        <w:t>NIENOW, M.</w:t>
      </w:r>
      <w:r w:rsidRPr="00E85800">
        <w:t xml:space="preserve"> O perfil das exportações do Brasil para a União Europeia, por intensidade tecnológica: oportunidades para a inserção brasileira nas cadeias globais de valor. In: 24th</w:t>
      </w:r>
      <w:r w:rsidRPr="00E85800">
        <w:rPr>
          <w:b/>
        </w:rPr>
        <w:t xml:space="preserve"> </w:t>
      </w:r>
      <w:r w:rsidRPr="00E85800">
        <w:t xml:space="preserve">APDR </w:t>
      </w:r>
      <w:proofErr w:type="spellStart"/>
      <w:r w:rsidRPr="00E85800">
        <w:t>Congress</w:t>
      </w:r>
      <w:proofErr w:type="spellEnd"/>
      <w:r w:rsidRPr="00E85800">
        <w:t xml:space="preserve">, 2017, </w:t>
      </w:r>
      <w:proofErr w:type="spellStart"/>
      <w:r w:rsidRPr="00E85800">
        <w:t>Covilhã</w:t>
      </w:r>
      <w:proofErr w:type="spellEnd"/>
      <w:r w:rsidRPr="00E85800">
        <w:t xml:space="preserve"> (Portugal). </w:t>
      </w:r>
      <w:r w:rsidRPr="00E85800">
        <w:rPr>
          <w:b/>
        </w:rPr>
        <w:t xml:space="preserve">Anais do 24th APDR </w:t>
      </w:r>
      <w:proofErr w:type="spellStart"/>
      <w:r w:rsidRPr="00E85800">
        <w:rPr>
          <w:b/>
        </w:rPr>
        <w:t>Congress</w:t>
      </w:r>
      <w:proofErr w:type="spellEnd"/>
      <w:r w:rsidRPr="00E85800">
        <w:t>. Angra do Heroísmo (Portugal): APDR, 2017.</w:t>
      </w:r>
    </w:p>
    <w:p w14:paraId="5A49A254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TAMIOSSO, R. L. O.</w:t>
      </w:r>
      <w:r w:rsidRPr="00E85800">
        <w:t xml:space="preserve">; SANTOS, C. S.; ROCHA, P. F.; MORETTO, L. G. O agronegócio brasileiro: uma análise do complexo soja e das perspectivas comerciais com a China. In: </w:t>
      </w:r>
      <w:proofErr w:type="spellStart"/>
      <w:r w:rsidRPr="00E85800">
        <w:t>Lodonha</w:t>
      </w:r>
      <w:proofErr w:type="spellEnd"/>
      <w:r w:rsidRPr="00E85800">
        <w:t xml:space="preserve"> Maria Portela Coimbra Soares; Maria Carolina da Rosa </w:t>
      </w:r>
      <w:proofErr w:type="spellStart"/>
      <w:r w:rsidRPr="00E85800">
        <w:t>Gullo</w:t>
      </w:r>
      <w:proofErr w:type="spellEnd"/>
      <w:r w:rsidRPr="00E85800">
        <w:t xml:space="preserve">; Silvio Luiz Gonçalves Vianna. (Org.). </w:t>
      </w:r>
      <w:r w:rsidRPr="00E85800">
        <w:rPr>
          <w:b/>
        </w:rPr>
        <w:t>A Economia e o Turismo Compartilhando Soluções</w:t>
      </w:r>
      <w:r w:rsidRPr="00E85800">
        <w:t xml:space="preserve">. 1ed.Caxias do Sul (RS): </w:t>
      </w:r>
      <w:proofErr w:type="spellStart"/>
      <w:r w:rsidRPr="00E85800">
        <w:t>Educs</w:t>
      </w:r>
      <w:proofErr w:type="spellEnd"/>
      <w:r w:rsidRPr="00E85800">
        <w:t>, 2017, v. 1, p. 421-440.</w:t>
      </w:r>
    </w:p>
    <w:p w14:paraId="55E5573E" w14:textId="77777777" w:rsidR="00E85800" w:rsidRPr="00E75E7A" w:rsidRDefault="00E85800" w:rsidP="00E85800">
      <w:pPr>
        <w:spacing w:line="360" w:lineRule="auto"/>
        <w:jc w:val="both"/>
        <w:textAlignment w:val="baseline"/>
        <w:rPr>
          <w:lang w:val="en-US"/>
        </w:rPr>
      </w:pPr>
      <w:r w:rsidRPr="00F52556">
        <w:t>MEGIATO, E. I.;</w:t>
      </w:r>
      <w:r w:rsidRPr="00E85800">
        <w:t xml:space="preserve"> </w:t>
      </w:r>
      <w:r w:rsidRPr="00F52556">
        <w:rPr>
          <w:bdr w:val="none" w:sz="0" w:space="0" w:color="auto" w:frame="1"/>
        </w:rPr>
        <w:t>MASSUQUETTI, A.</w:t>
      </w:r>
      <w:r w:rsidRPr="00F52556">
        <w:t>;</w:t>
      </w:r>
      <w:r w:rsidRPr="00E85800">
        <w:t xml:space="preserve"> </w:t>
      </w:r>
      <w:r w:rsidRPr="00F52556">
        <w:rPr>
          <w:bdr w:val="none" w:sz="0" w:space="0" w:color="auto" w:frame="1"/>
        </w:rPr>
        <w:t>AZEVEDO, A.</w:t>
      </w:r>
      <w:r w:rsidRPr="00F52556">
        <w:t xml:space="preserve"> (Des)integração comercial: impactos do </w:t>
      </w:r>
      <w:proofErr w:type="spellStart"/>
      <w:r w:rsidRPr="00F52556">
        <w:t>Brexit</w:t>
      </w:r>
      <w:proofErr w:type="spellEnd"/>
      <w:r w:rsidRPr="00F52556">
        <w:t xml:space="preserve">. </w:t>
      </w:r>
      <w:r w:rsidRPr="00F52556">
        <w:rPr>
          <w:lang w:val="en-US"/>
        </w:rPr>
        <w:t xml:space="preserve">In: 26th APDR Congress, 2019, Aveiro (Portugal). </w:t>
      </w:r>
      <w:r w:rsidRPr="00F52556">
        <w:rPr>
          <w:b/>
          <w:bCs/>
          <w:lang w:val="en-US"/>
        </w:rPr>
        <w:t>Proceedings 26th APDR Congress</w:t>
      </w:r>
      <w:r w:rsidRPr="00F52556">
        <w:rPr>
          <w:lang w:val="en-US"/>
        </w:rPr>
        <w:t xml:space="preserve">. </w:t>
      </w:r>
      <w:proofErr w:type="spellStart"/>
      <w:r w:rsidRPr="00E75E7A">
        <w:rPr>
          <w:lang w:val="en-US"/>
        </w:rPr>
        <w:t>Angra</w:t>
      </w:r>
      <w:proofErr w:type="spellEnd"/>
      <w:r w:rsidRPr="00E75E7A">
        <w:rPr>
          <w:lang w:val="en-US"/>
        </w:rPr>
        <w:t xml:space="preserve"> do </w:t>
      </w:r>
      <w:proofErr w:type="spellStart"/>
      <w:r w:rsidRPr="00E75E7A">
        <w:rPr>
          <w:lang w:val="en-US"/>
        </w:rPr>
        <w:t>Heroísmo</w:t>
      </w:r>
      <w:proofErr w:type="spellEnd"/>
      <w:r w:rsidRPr="00E75E7A">
        <w:rPr>
          <w:lang w:val="en-US"/>
        </w:rPr>
        <w:t xml:space="preserve"> (Portugal): APDR, 2019.</w:t>
      </w:r>
    </w:p>
    <w:p w14:paraId="5A50C07C" w14:textId="77777777" w:rsidR="00E85800" w:rsidRPr="00E85800" w:rsidRDefault="00E85800" w:rsidP="008A623F">
      <w:pPr>
        <w:spacing w:line="360" w:lineRule="auto"/>
        <w:textAlignment w:val="baseline"/>
      </w:pPr>
      <w:r w:rsidRPr="00E85800">
        <w:rPr>
          <w:bdr w:val="none" w:sz="0" w:space="0" w:color="auto" w:frame="1"/>
          <w:lang w:val="en-US"/>
        </w:rPr>
        <w:t>MEGIATO, E.;</w:t>
      </w:r>
      <w:r w:rsidRPr="00E85800">
        <w:rPr>
          <w:lang w:val="en-US"/>
        </w:rPr>
        <w:t xml:space="preserve"> </w:t>
      </w:r>
      <w:r w:rsidRPr="00E85800">
        <w:rPr>
          <w:bCs/>
          <w:bdr w:val="none" w:sz="0" w:space="0" w:color="auto" w:frame="1"/>
          <w:lang w:val="en-US"/>
        </w:rPr>
        <w:t>MASSUQUETTI, A.</w:t>
      </w:r>
      <w:r w:rsidRPr="00E85800">
        <w:rPr>
          <w:lang w:val="en-US"/>
        </w:rPr>
        <w:t xml:space="preserve">; </w:t>
      </w:r>
      <w:r w:rsidRPr="00E85800">
        <w:rPr>
          <w:bdr w:val="none" w:sz="0" w:space="0" w:color="auto" w:frame="1"/>
          <w:lang w:val="en-US"/>
        </w:rPr>
        <w:t>AZEVEDO, A</w:t>
      </w:r>
      <w:r w:rsidRPr="00E85800">
        <w:rPr>
          <w:lang w:val="en-US"/>
        </w:rPr>
        <w:t xml:space="preserve">. Impacts of integration of Brazil with the European Union through a general equilibrium model. </w:t>
      </w:r>
      <w:r w:rsidRPr="00E85800">
        <w:rPr>
          <w:b/>
        </w:rPr>
        <w:t>Economia (Brasília)</w:t>
      </w:r>
      <w:r w:rsidRPr="00E85800">
        <w:t>, p. 126-140, 2016.</w:t>
      </w:r>
    </w:p>
    <w:p w14:paraId="66F54284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dr w:val="none" w:sz="0" w:space="0" w:color="auto" w:frame="1"/>
        </w:rPr>
        <w:t>MEGIATO, E.</w:t>
      </w:r>
      <w:r w:rsidRPr="00E85800">
        <w:t>; </w:t>
      </w:r>
      <w:r w:rsidRPr="00E85800">
        <w:rPr>
          <w:bCs/>
          <w:bdr w:val="none" w:sz="0" w:space="0" w:color="auto" w:frame="1"/>
        </w:rPr>
        <w:t>MASSUQUETTI, A.</w:t>
      </w:r>
      <w:r w:rsidRPr="00E85800">
        <w:t>; </w:t>
      </w:r>
      <w:r w:rsidRPr="00E85800">
        <w:rPr>
          <w:bdr w:val="none" w:sz="0" w:space="0" w:color="auto" w:frame="1"/>
        </w:rPr>
        <w:t>AZEVEDO, A</w:t>
      </w:r>
      <w:r w:rsidRPr="00E85800">
        <w:t xml:space="preserve">. Impactos da integração do Brasil com a União Europeia através de um modelo de equilíbrio geral. In: 42 Encontro Nacional de Economia, 2014, Natal (RN). </w:t>
      </w:r>
      <w:r w:rsidRPr="00E85800">
        <w:rPr>
          <w:b/>
        </w:rPr>
        <w:t>Anais do 42 Encontro Nacional de Economia</w:t>
      </w:r>
      <w:r w:rsidRPr="00E85800">
        <w:t>. Niterói (RJ): ANPEC, 2014.</w:t>
      </w:r>
    </w:p>
    <w:p w14:paraId="6A05AA40" w14:textId="77777777" w:rsidR="00E85800" w:rsidRPr="00F52556" w:rsidRDefault="00E85800" w:rsidP="00E85800">
      <w:pPr>
        <w:spacing w:line="360" w:lineRule="auto"/>
        <w:jc w:val="both"/>
        <w:textAlignment w:val="baseline"/>
      </w:pPr>
      <w:r w:rsidRPr="00F52556">
        <w:t>MICHELS, K. F. C.;</w:t>
      </w:r>
      <w:r w:rsidRPr="00E85800">
        <w:t xml:space="preserve"> </w:t>
      </w:r>
      <w:r w:rsidRPr="00F52556">
        <w:rPr>
          <w:bdr w:val="none" w:sz="0" w:space="0" w:color="auto" w:frame="1"/>
        </w:rPr>
        <w:t>MASSUQUETTI, A.</w:t>
      </w:r>
      <w:r w:rsidRPr="00F52556">
        <w:t>;</w:t>
      </w:r>
      <w:r w:rsidRPr="00E85800">
        <w:t xml:space="preserve"> </w:t>
      </w:r>
      <w:r w:rsidRPr="00F52556">
        <w:rPr>
          <w:bdr w:val="none" w:sz="0" w:space="0" w:color="auto" w:frame="1"/>
        </w:rPr>
        <w:t>AZEVEDO, A</w:t>
      </w:r>
      <w:r w:rsidRPr="00F52556">
        <w:t xml:space="preserve">. Da Alemanha aos países do leste europeu: a similaridade do perfil de exportação do Brasil para a União Europeia. </w:t>
      </w:r>
      <w:r w:rsidRPr="00F52556">
        <w:rPr>
          <w:lang w:val="en-US"/>
        </w:rPr>
        <w:t xml:space="preserve">In: 26th APDR Congress, 2019, Aveiro (Portugal). </w:t>
      </w:r>
      <w:r w:rsidRPr="00F52556">
        <w:rPr>
          <w:b/>
          <w:bCs/>
          <w:lang w:val="en-US"/>
        </w:rPr>
        <w:t>Proceedings 26th APDR Congress</w:t>
      </w:r>
      <w:r w:rsidRPr="00F52556">
        <w:rPr>
          <w:lang w:val="en-US"/>
        </w:rPr>
        <w:t xml:space="preserve">. </w:t>
      </w:r>
      <w:r w:rsidRPr="00F52556">
        <w:t>Angra do Heroísmo (Portugal): APDR, 2019.</w:t>
      </w:r>
    </w:p>
    <w:p w14:paraId="76615374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MORAIS, M. D.;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> </w:t>
      </w:r>
      <w:r w:rsidRPr="00E85800">
        <w:rPr>
          <w:bdr w:val="none" w:sz="0" w:space="0" w:color="auto" w:frame="1"/>
        </w:rPr>
        <w:t>AZEVEDO, A</w:t>
      </w:r>
      <w:r w:rsidRPr="00E85800">
        <w:t xml:space="preserve">. A integração comercial do Brasil com as Américas. In: XIV Encontro Nacional da Associação Brasileira de Estudos Regionais e </w:t>
      </w:r>
      <w:r w:rsidRPr="00E85800">
        <w:lastRenderedPageBreak/>
        <w:t xml:space="preserve">Urbanos, 2016, Aracaju (SE). </w:t>
      </w:r>
      <w:r w:rsidRPr="00E85800">
        <w:rPr>
          <w:b/>
        </w:rPr>
        <w:t>Anais do XIV Encontro Nacional da Associação Brasileira de Estudos Regionais e Urbanos</w:t>
      </w:r>
      <w:r w:rsidRPr="00E85800">
        <w:t>. Curitiba (PR): ABER, 2016.</w:t>
      </w:r>
    </w:p>
    <w:p w14:paraId="0ECB9329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MORAIS, M. D.;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AZEVEDO, A.</w:t>
      </w:r>
      <w:r w:rsidRPr="00E85800">
        <w:t xml:space="preserve"> O Brasil e a integração com as Américas: comercio Sul-Sul e Sul-Norte. </w:t>
      </w:r>
      <w:r w:rsidRPr="00E85800">
        <w:rPr>
          <w:b/>
        </w:rPr>
        <w:t>ESTUDIOS ECONÓMICOS</w:t>
      </w:r>
      <w:r w:rsidRPr="00E85800">
        <w:t xml:space="preserve">, </w:t>
      </w:r>
      <w:r w:rsidRPr="00E85800">
        <w:rPr>
          <w:shd w:val="clear" w:color="auto" w:fill="FFFFFF"/>
        </w:rPr>
        <w:t>v. 35, p. 27-56, 2018</w:t>
      </w:r>
      <w:r w:rsidRPr="00E85800">
        <w:t>.</w:t>
      </w:r>
    </w:p>
    <w:p w14:paraId="32D955DA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MORETTO, L. G. ; </w:t>
      </w:r>
      <w:hyperlink r:id="rId9" w:tgtFrame="_blank" w:tooltip="Clique para visualizar o currículo" w:history="1">
        <w:r w:rsidRPr="00E85800">
          <w:rPr>
            <w:bdr w:val="none" w:sz="0" w:space="0" w:color="auto" w:frame="1"/>
          </w:rPr>
          <w:t>AZEVEDO, A.</w:t>
        </w:r>
      </w:hyperlink>
      <w:r w:rsidRPr="00E85800">
        <w:t xml:space="preserve">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TAMIOSSO, R. L. O.</w:t>
      </w:r>
      <w:r w:rsidRPr="00E85800">
        <w:t xml:space="preserve"> Integração comercial entre Brasil e China: será o fim das exportações brasileiras de produtos primários para o mercado chinês? In: XX Encontro de Economia da Região Sul - </w:t>
      </w:r>
      <w:proofErr w:type="spellStart"/>
      <w:r w:rsidRPr="00E85800">
        <w:t>AnpecSul</w:t>
      </w:r>
      <w:proofErr w:type="spellEnd"/>
      <w:r w:rsidRPr="00E85800">
        <w:t xml:space="preserve">, 2017, Porto Alegre (RS). </w:t>
      </w:r>
      <w:r w:rsidRPr="00E85800">
        <w:rPr>
          <w:b/>
        </w:rPr>
        <w:t xml:space="preserve">Anais do XX Encontro de Economia da Região Sul - </w:t>
      </w:r>
      <w:proofErr w:type="spellStart"/>
      <w:r w:rsidRPr="00E85800">
        <w:rPr>
          <w:b/>
        </w:rPr>
        <w:t>AnpecSul</w:t>
      </w:r>
      <w:proofErr w:type="spellEnd"/>
      <w:r w:rsidRPr="00E85800">
        <w:t>. Niterói (RJ): ANPEC, 2017.</w:t>
      </w:r>
    </w:p>
    <w:p w14:paraId="56BF4A62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t xml:space="preserve">MORETTO, L. G.; </w:t>
      </w:r>
      <w:r w:rsidRPr="00E85800">
        <w:rPr>
          <w:bdr w:val="none" w:sz="0" w:space="0" w:color="auto" w:frame="1"/>
        </w:rPr>
        <w:t>AZEVEDO, A.</w:t>
      </w:r>
      <w:r w:rsidRPr="00E85800">
        <w:t xml:space="preserve">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TAMIOSSO, R. L. O</w:t>
      </w:r>
      <w:r w:rsidRPr="00E85800">
        <w:t xml:space="preserve">. Integração comercial entre Brasil e China. </w:t>
      </w:r>
      <w:r w:rsidRPr="00E85800">
        <w:rPr>
          <w:b/>
        </w:rPr>
        <w:t>Revista de Política Agrícola</w:t>
      </w:r>
      <w:r w:rsidRPr="00E85800">
        <w:t>, v. XXVI, p. 7-21, 2017.</w:t>
      </w:r>
    </w:p>
    <w:p w14:paraId="039588AB" w14:textId="77777777" w:rsidR="00E85800" w:rsidRPr="00E75E7A" w:rsidRDefault="00E85800" w:rsidP="008A623F">
      <w:pPr>
        <w:spacing w:line="360" w:lineRule="auto"/>
        <w:jc w:val="both"/>
        <w:textAlignment w:val="baseline"/>
      </w:pPr>
      <w:r w:rsidRPr="00E85800">
        <w:t xml:space="preserve">PAULA, C. V.; </w:t>
      </w:r>
      <w:r w:rsidRPr="00E85800">
        <w:rPr>
          <w:bCs/>
          <w:bdr w:val="none" w:sz="0" w:space="0" w:color="auto" w:frame="1"/>
        </w:rPr>
        <w:t>MASSUQUETTI, A</w:t>
      </w:r>
      <w:r w:rsidRPr="00E85800">
        <w:t xml:space="preserve">. As exportações brasileiras de milho no período 2000-2015: desempenho e perspectivas. In: XII SOBER NORDESTE, 2017, Itabaiana (SE). </w:t>
      </w:r>
      <w:r w:rsidRPr="00E85800">
        <w:rPr>
          <w:b/>
        </w:rPr>
        <w:t>Anais do XII SOBER NORDESTE</w:t>
      </w:r>
      <w:r w:rsidRPr="00E85800">
        <w:t xml:space="preserve">. </w:t>
      </w:r>
      <w:r w:rsidRPr="00E75E7A">
        <w:t>Piracicaba (SP): SOBER, 2017.</w:t>
      </w:r>
    </w:p>
    <w:p w14:paraId="1AA8AD4A" w14:textId="77777777" w:rsidR="00E85800" w:rsidRPr="00C95F6A" w:rsidRDefault="00E85800" w:rsidP="00E85800">
      <w:pPr>
        <w:spacing w:line="360" w:lineRule="auto"/>
        <w:jc w:val="both"/>
        <w:rPr>
          <w:lang w:val="en-US"/>
        </w:rPr>
      </w:pPr>
      <w:r w:rsidRPr="00F52556">
        <w:t>PINTO, G. O.; GAVRONSKI, I.;</w:t>
      </w:r>
      <w:r w:rsidRPr="00E85800">
        <w:t xml:space="preserve"> </w:t>
      </w:r>
      <w:r w:rsidRPr="00F52556">
        <w:rPr>
          <w:bdr w:val="none" w:sz="0" w:space="0" w:color="auto" w:frame="1"/>
        </w:rPr>
        <w:t>MASSUQUETTI, A.</w:t>
      </w:r>
      <w:r w:rsidRPr="00F52556">
        <w:t xml:space="preserve"> Tensões intertemporais amenizadas por meio de práticas conservacionistas: um estudo aplicado na produção da soja. In: 57º Congresso da Sociedade Brasileira de Economia, Administração e Sociologia Rural, 2019, Ilhéus (BA). </w:t>
      </w:r>
      <w:r w:rsidRPr="00F52556">
        <w:rPr>
          <w:b/>
          <w:bCs/>
        </w:rPr>
        <w:t>Anais do 57º Congresso da Sociedade Brasileira de Economia, Administração e Sociologia Rural</w:t>
      </w:r>
      <w:r w:rsidRPr="00F52556">
        <w:t xml:space="preserve">. </w:t>
      </w:r>
      <w:r w:rsidRPr="00C95F6A">
        <w:rPr>
          <w:lang w:val="en-US"/>
        </w:rPr>
        <w:t>Piracicaba (SP): SOBER, 2019.</w:t>
      </w:r>
    </w:p>
    <w:p w14:paraId="540CA6F4" w14:textId="77777777" w:rsidR="00E85800" w:rsidRPr="00E85800" w:rsidRDefault="00E85800" w:rsidP="008A623F">
      <w:pPr>
        <w:spacing w:line="360" w:lineRule="auto"/>
        <w:jc w:val="both"/>
        <w:textAlignment w:val="baseline"/>
        <w:rPr>
          <w:lang w:val="en-US"/>
        </w:rPr>
      </w:pPr>
      <w:r w:rsidRPr="00E85800">
        <w:rPr>
          <w:lang w:val="en-US"/>
        </w:rPr>
        <w:t xml:space="preserve">POSSER, D. R.; </w:t>
      </w:r>
      <w:r w:rsidRPr="00E85800">
        <w:rPr>
          <w:bCs/>
          <w:bdr w:val="none" w:sz="0" w:space="0" w:color="auto" w:frame="1"/>
          <w:lang w:val="en-US"/>
        </w:rPr>
        <w:t>MASSUQUETTI, A</w:t>
      </w:r>
      <w:r w:rsidRPr="00E85800">
        <w:rPr>
          <w:lang w:val="en-US"/>
        </w:rPr>
        <w:t xml:space="preserve">. The </w:t>
      </w:r>
      <w:proofErr w:type="spellStart"/>
      <w:r w:rsidRPr="00E85800">
        <w:rPr>
          <w:lang w:val="en-US"/>
        </w:rPr>
        <w:t>brazilian</w:t>
      </w:r>
      <w:proofErr w:type="spellEnd"/>
      <w:r w:rsidRPr="00E85800">
        <w:rPr>
          <w:lang w:val="en-US"/>
        </w:rPr>
        <w:t xml:space="preserve"> export profile by technological intensity. </w:t>
      </w:r>
      <w:r w:rsidRPr="00E85800">
        <w:rPr>
          <w:b/>
          <w:lang w:val="en-US"/>
        </w:rPr>
        <w:t>RBEE</w:t>
      </w:r>
      <w:r w:rsidRPr="00E85800">
        <w:rPr>
          <w:lang w:val="en-US"/>
        </w:rPr>
        <w:t xml:space="preserve">. </w:t>
      </w:r>
      <w:proofErr w:type="spellStart"/>
      <w:r w:rsidRPr="00E85800">
        <w:rPr>
          <w:b/>
          <w:lang w:val="en-US"/>
        </w:rPr>
        <w:t>Revista</w:t>
      </w:r>
      <w:proofErr w:type="spellEnd"/>
      <w:r w:rsidRPr="00E85800">
        <w:rPr>
          <w:b/>
          <w:lang w:val="en-US"/>
        </w:rPr>
        <w:t xml:space="preserve"> </w:t>
      </w:r>
      <w:proofErr w:type="spellStart"/>
      <w:r w:rsidRPr="00E85800">
        <w:rPr>
          <w:b/>
          <w:lang w:val="en-US"/>
        </w:rPr>
        <w:t>Brasileira</w:t>
      </w:r>
      <w:proofErr w:type="spellEnd"/>
      <w:r w:rsidRPr="00E85800">
        <w:rPr>
          <w:b/>
          <w:lang w:val="en-US"/>
        </w:rPr>
        <w:t xml:space="preserve"> de Economia de </w:t>
      </w:r>
      <w:proofErr w:type="spellStart"/>
      <w:r w:rsidRPr="00E85800">
        <w:rPr>
          <w:b/>
          <w:lang w:val="en-US"/>
        </w:rPr>
        <w:t>Empresas</w:t>
      </w:r>
      <w:proofErr w:type="spellEnd"/>
      <w:r w:rsidRPr="00E85800">
        <w:rPr>
          <w:lang w:val="en-US"/>
        </w:rPr>
        <w:t>, v. 2, p. 94-108, 2014.</w:t>
      </w:r>
    </w:p>
    <w:p w14:paraId="046DCBE4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lang w:val="en-US"/>
        </w:rPr>
        <w:t>POSSER, D. R.; </w:t>
      </w:r>
      <w:r w:rsidRPr="00E85800">
        <w:rPr>
          <w:bCs/>
          <w:bdr w:val="none" w:sz="0" w:space="0" w:color="auto" w:frame="1"/>
          <w:lang w:val="en-US"/>
        </w:rPr>
        <w:t>MASSUQUETTI, A</w:t>
      </w:r>
      <w:r w:rsidRPr="00E85800">
        <w:rPr>
          <w:lang w:val="en-US"/>
        </w:rPr>
        <w:t xml:space="preserve">. Brazilian and Rio Grande do Sul exports between 2000 and 2012: an analysis of the </w:t>
      </w:r>
      <w:proofErr w:type="spellStart"/>
      <w:r w:rsidRPr="00E85800">
        <w:rPr>
          <w:lang w:val="en-US"/>
        </w:rPr>
        <w:t>reprimarization</w:t>
      </w:r>
      <w:proofErr w:type="spellEnd"/>
      <w:r w:rsidRPr="00E85800">
        <w:rPr>
          <w:lang w:val="en-US"/>
        </w:rPr>
        <w:t xml:space="preserve"> process. </w:t>
      </w:r>
      <w:r w:rsidRPr="00E85800">
        <w:t xml:space="preserve">In: XVII Encontro Regional de Economia - ANPECSUL, 2014, Maringá (PR). </w:t>
      </w:r>
      <w:r w:rsidRPr="00E85800">
        <w:rPr>
          <w:b/>
        </w:rPr>
        <w:t>Anais do XVII Encontro Regional de Economia - ANPECSUL</w:t>
      </w:r>
      <w:r w:rsidRPr="00E85800">
        <w:t>. Niterói (RJ): ANPEC, 2014.</w:t>
      </w:r>
    </w:p>
    <w:p w14:paraId="033396DD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dr w:val="none" w:sz="0" w:space="0" w:color="auto" w:frame="1"/>
        </w:rPr>
        <w:t>TAMIOSSO, R. L. O.</w:t>
      </w:r>
      <w:r w:rsidRPr="00E85800">
        <w:t xml:space="preserve">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</w:t>
      </w:r>
      <w:r w:rsidRPr="00E85800">
        <w:rPr>
          <w:bdr w:val="none" w:sz="0" w:space="0" w:color="auto" w:frame="1"/>
        </w:rPr>
        <w:t>AZEVEDO, A.</w:t>
      </w:r>
      <w:r w:rsidRPr="00E85800">
        <w:t xml:space="preserve"> Possibilidades de comércio para o Brasil a partir da integração com os países do BRICS por meio de um modelo de equilíbrio geral. In: 55° Congresso da Sociedade Brasileira de Economia, Administração e Sociologia Rural, 2017, Santa Maria (RS). </w:t>
      </w:r>
      <w:r w:rsidRPr="00E85800">
        <w:rPr>
          <w:b/>
        </w:rPr>
        <w:t>Anais do 55° Congresso da Sociedade Brasileira de Economia, Administração e Sociologia Rural</w:t>
      </w:r>
      <w:r w:rsidRPr="00E85800">
        <w:t>. Piracicaba (SP): SOBER, 2017.</w:t>
      </w:r>
    </w:p>
    <w:p w14:paraId="6D2F5621" w14:textId="77777777" w:rsidR="00E85800" w:rsidRPr="00E85800" w:rsidRDefault="00E85800" w:rsidP="008A623F">
      <w:pPr>
        <w:shd w:val="clear" w:color="auto" w:fill="FFFFFF"/>
        <w:spacing w:line="360" w:lineRule="auto"/>
        <w:jc w:val="both"/>
        <w:textAlignment w:val="baseline"/>
      </w:pPr>
      <w:r w:rsidRPr="00E85800">
        <w:rPr>
          <w:bdr w:val="none" w:sz="0" w:space="0" w:color="auto" w:frame="1"/>
        </w:rPr>
        <w:t>TAMIOSSO, R. L. O.</w:t>
      </w:r>
      <w:r w:rsidRPr="00E85800">
        <w:t xml:space="preserve">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FERNANDES, J. J. Relações comerciais entre os países do BRICS por grau de intensidade tecnológica (2000-2014). </w:t>
      </w:r>
      <w:r w:rsidRPr="00E85800">
        <w:rPr>
          <w:b/>
        </w:rPr>
        <w:t>REVISTA DE ECONOMIA E AGRONEGÓCIO</w:t>
      </w:r>
      <w:r w:rsidRPr="00E85800">
        <w:t>, v. 15, p. 50-78, 2017.</w:t>
      </w:r>
    </w:p>
    <w:p w14:paraId="4C081285" w14:textId="77777777" w:rsidR="00E85800" w:rsidRPr="00E85800" w:rsidRDefault="00E85800" w:rsidP="008A623F">
      <w:pPr>
        <w:spacing w:line="360" w:lineRule="auto"/>
        <w:jc w:val="both"/>
        <w:textAlignment w:val="baseline"/>
      </w:pPr>
      <w:r w:rsidRPr="00E85800">
        <w:rPr>
          <w:bdr w:val="none" w:sz="0" w:space="0" w:color="auto" w:frame="1"/>
        </w:rPr>
        <w:lastRenderedPageBreak/>
        <w:t>TAMIOSSO, R. L. O.</w:t>
      </w:r>
      <w:r w:rsidRPr="00E85800">
        <w:t xml:space="preserve">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FERNANDES, J. J.; LUTZ, L. O comércio Rio Grande do Sul-China por intensidade tecnológica (2000-2013). In: Judite </w:t>
      </w:r>
      <w:proofErr w:type="spellStart"/>
      <w:r w:rsidRPr="00E85800">
        <w:t>Sanson</w:t>
      </w:r>
      <w:proofErr w:type="spellEnd"/>
      <w:r w:rsidRPr="00E85800">
        <w:t xml:space="preserve"> de Bem. (Org.). </w:t>
      </w:r>
      <w:r w:rsidRPr="00E85800">
        <w:rPr>
          <w:b/>
        </w:rPr>
        <w:t>As Aglomerações Industriais do Rio Grande do Sul</w:t>
      </w:r>
      <w:r w:rsidRPr="00E85800">
        <w:t>: Aspectos Sociais e Econômicos do Desenvolvimento. 1ed.Caxias do Sul (RS): EDUCS, 2015, v. 1, p. 130-142.</w:t>
      </w:r>
    </w:p>
    <w:p w14:paraId="6CBB63B0" w14:textId="77777777" w:rsidR="00E85800" w:rsidRPr="00E85800" w:rsidRDefault="00E85800" w:rsidP="00E85800">
      <w:pPr>
        <w:spacing w:line="360" w:lineRule="auto"/>
        <w:jc w:val="both"/>
        <w:textAlignment w:val="baseline"/>
      </w:pPr>
      <w:r w:rsidRPr="00E85800">
        <w:rPr>
          <w:bdr w:val="none" w:sz="0" w:space="0" w:color="auto" w:frame="1"/>
        </w:rPr>
        <w:t>TAMIOSSO, R. L. O.</w:t>
      </w:r>
      <w:r w:rsidRPr="00E85800">
        <w:t xml:space="preserve">; </w:t>
      </w:r>
      <w:r w:rsidRPr="00E85800">
        <w:rPr>
          <w:bCs/>
          <w:bdr w:val="none" w:sz="0" w:space="0" w:color="auto" w:frame="1"/>
        </w:rPr>
        <w:t>MASSUQUETTI, A.</w:t>
      </w:r>
      <w:r w:rsidRPr="00E85800">
        <w:t xml:space="preserve">; FERNANDES, J. J.; MARASCHIN, R. V. As relações comerciais entre Brasil e China, por intensidade tecnológica (2000-2015): um estudo dos produtos primários. In: XI SOBER Nordeste, 2016, Mossoró (RN). </w:t>
      </w:r>
      <w:r w:rsidRPr="00E85800">
        <w:rPr>
          <w:b/>
        </w:rPr>
        <w:t>Anais do XI SOBER Nordeste</w:t>
      </w:r>
      <w:r w:rsidRPr="00E85800">
        <w:t>. Piracicaba (SP): SOBER, 2016.</w:t>
      </w:r>
    </w:p>
    <w:p w14:paraId="047B098B" w14:textId="77777777" w:rsidR="00E85800" w:rsidRPr="003A7CBE" w:rsidRDefault="00E85800" w:rsidP="00E85800">
      <w:pPr>
        <w:spacing w:line="360" w:lineRule="auto"/>
        <w:jc w:val="both"/>
        <w:textAlignment w:val="baseline"/>
      </w:pPr>
    </w:p>
    <w:p w14:paraId="585C2B4C" w14:textId="62F5EB82" w:rsidR="008A623F" w:rsidRPr="003A7CBE" w:rsidRDefault="008A623F" w:rsidP="008A623F">
      <w:pPr>
        <w:pStyle w:val="Keyword"/>
        <w:rPr>
          <w:rFonts w:ascii="Times New Roman" w:hAnsi="Times New Roman"/>
          <w:bCs/>
          <w:sz w:val="24"/>
          <w:lang w:val="pt-BR"/>
        </w:rPr>
      </w:pPr>
    </w:p>
    <w:sectPr w:rsidR="008A623F" w:rsidRPr="003A7CBE" w:rsidSect="003A7CBE">
      <w:headerReference w:type="default" r:id="rId10"/>
      <w:headerReference w:type="first" r:id="rId11"/>
      <w:pgSz w:w="11906" w:h="16838" w:code="9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3BDF3" w14:textId="77777777" w:rsidR="006E30FE" w:rsidRDefault="006E30FE">
      <w:r>
        <w:separator/>
      </w:r>
    </w:p>
  </w:endnote>
  <w:endnote w:type="continuationSeparator" w:id="0">
    <w:p w14:paraId="20B5F470" w14:textId="77777777" w:rsidR="006E30FE" w:rsidRDefault="006E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AB2C4" w14:textId="77777777" w:rsidR="006E30FE" w:rsidRDefault="006E30FE">
      <w:r>
        <w:separator/>
      </w:r>
    </w:p>
  </w:footnote>
  <w:footnote w:type="continuationSeparator" w:id="0">
    <w:p w14:paraId="1935F1C6" w14:textId="77777777" w:rsidR="006E30FE" w:rsidRDefault="006E30FE">
      <w:r>
        <w:continuationSeparator/>
      </w:r>
    </w:p>
  </w:footnote>
  <w:footnote w:id="1">
    <w:p w14:paraId="27123F23" w14:textId="60D58A02" w:rsidR="00AF0FED" w:rsidRPr="003A7CBE" w:rsidRDefault="00AF0FED" w:rsidP="003A7CBE">
      <w:pPr>
        <w:pStyle w:val="Textodenotaderodap"/>
        <w:jc w:val="both"/>
      </w:pPr>
      <w:r w:rsidRPr="003A7CBE">
        <w:rPr>
          <w:rStyle w:val="Refdenotaderodap"/>
        </w:rPr>
        <w:sym w:font="Symbol" w:char="F02A"/>
      </w:r>
      <w:r w:rsidRPr="003A7CBE">
        <w:t xml:space="preserve"> Este artigo e todos os pesquisadores envolvidos integram o </w:t>
      </w:r>
      <w:r w:rsidRPr="003A7CBE">
        <w:rPr>
          <w:bCs/>
        </w:rPr>
        <w:t>Projeto</w:t>
      </w:r>
      <w:r w:rsidRPr="003A7CBE">
        <w:t xml:space="preserve"> </w:t>
      </w:r>
      <w:r w:rsidRPr="003A7CBE">
        <w:rPr>
          <w:i/>
          <w:iCs/>
        </w:rPr>
        <w:t>Relações Comerciais Agrícolas Internacionais</w:t>
      </w:r>
      <w:r w:rsidRPr="003A7CBE">
        <w:t xml:space="preserve">, coordenado pela Profa. Dra. Angélica </w:t>
      </w:r>
      <w:proofErr w:type="spellStart"/>
      <w:r w:rsidRPr="003A7CBE">
        <w:t>Massuquetti</w:t>
      </w:r>
      <w:proofErr w:type="spellEnd"/>
      <w:r>
        <w:t xml:space="preserve"> e realizado no âmbito do Programa de Pós-Graduação em Economia (PPGE) da Universidade do Vale do Rio dos Sinos (</w:t>
      </w:r>
      <w:r w:rsidRPr="003A7CBE">
        <w:t>UNISINOS).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7433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827AF9D" w14:textId="14A70B9B" w:rsidR="00AF0FED" w:rsidRPr="003A7CBE" w:rsidRDefault="00AF0FED">
        <w:pPr>
          <w:pStyle w:val="Cabealho"/>
          <w:jc w:val="right"/>
          <w:rPr>
            <w:sz w:val="20"/>
            <w:szCs w:val="20"/>
          </w:rPr>
        </w:pPr>
        <w:r w:rsidRPr="003A7CBE">
          <w:rPr>
            <w:sz w:val="20"/>
            <w:szCs w:val="20"/>
          </w:rPr>
          <w:fldChar w:fldCharType="begin"/>
        </w:r>
        <w:r w:rsidRPr="003A7CBE">
          <w:rPr>
            <w:sz w:val="20"/>
            <w:szCs w:val="20"/>
          </w:rPr>
          <w:instrText>PAGE   \* MERGEFORMAT</w:instrText>
        </w:r>
        <w:r w:rsidRPr="003A7CBE">
          <w:rPr>
            <w:sz w:val="20"/>
            <w:szCs w:val="20"/>
          </w:rPr>
          <w:fldChar w:fldCharType="separate"/>
        </w:r>
        <w:r w:rsidRPr="003A7CBE">
          <w:rPr>
            <w:sz w:val="20"/>
            <w:szCs w:val="20"/>
            <w:lang w:val="pt-BR"/>
          </w:rPr>
          <w:t>2</w:t>
        </w:r>
        <w:r w:rsidRPr="003A7CBE">
          <w:rPr>
            <w:sz w:val="20"/>
            <w:szCs w:val="20"/>
          </w:rPr>
          <w:fldChar w:fldCharType="end"/>
        </w:r>
      </w:p>
    </w:sdtContent>
  </w:sdt>
  <w:p w14:paraId="40F8DDCB" w14:textId="77777777" w:rsidR="00AF0FED" w:rsidRDefault="00AF0F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FC79" w14:textId="77777777" w:rsidR="00AF0FED" w:rsidRPr="008C2976" w:rsidRDefault="00AF0FED" w:rsidP="008C2976">
    <w:pPr>
      <w:pStyle w:val="Cabealho"/>
      <w:rPr>
        <w:b/>
        <w:bCs/>
      </w:rPr>
    </w:pPr>
  </w:p>
  <w:p w14:paraId="6E1498E1" w14:textId="7DAE07F6" w:rsidR="00AF0FED" w:rsidRPr="008C2976" w:rsidRDefault="00AF0FED" w:rsidP="000023E0">
    <w:pPr>
      <w:pStyle w:val="Cabealho"/>
      <w:jc w:val="center"/>
      <w:rPr>
        <w:b/>
        <w:bCs/>
      </w:rPr>
    </w:pPr>
    <w:r w:rsidRPr="000023E0">
      <w:rPr>
        <w:b/>
        <w:bCs/>
        <w:noProof/>
        <w:lang w:val="pt-BR" w:eastAsia="pt-BR"/>
      </w:rPr>
      <w:drawing>
        <wp:inline distT="0" distB="0" distL="0" distR="0" wp14:anchorId="620FFA93" wp14:editId="36A1F12C">
          <wp:extent cx="5257800" cy="857250"/>
          <wp:effectExtent l="0" t="0" r="0" b="0"/>
          <wp:docPr id="2" name="Imagem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1FC7"/>
    <w:multiLevelType w:val="hybridMultilevel"/>
    <w:tmpl w:val="90C68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466D"/>
    <w:multiLevelType w:val="hybridMultilevel"/>
    <w:tmpl w:val="37DA2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2C04"/>
    <w:multiLevelType w:val="multilevel"/>
    <w:tmpl w:val="BC76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E0444"/>
    <w:multiLevelType w:val="hybridMultilevel"/>
    <w:tmpl w:val="C92423C8"/>
    <w:lvl w:ilvl="0" w:tplc="175C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2C3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09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81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08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C8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C0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A5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1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270262"/>
    <w:multiLevelType w:val="multilevel"/>
    <w:tmpl w:val="5D866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160967"/>
    <w:multiLevelType w:val="hybridMultilevel"/>
    <w:tmpl w:val="ADECB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C0936"/>
    <w:multiLevelType w:val="hybridMultilevel"/>
    <w:tmpl w:val="819E218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7956"/>
    <w:multiLevelType w:val="hybridMultilevel"/>
    <w:tmpl w:val="F33035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2252"/>
    <w:multiLevelType w:val="hybridMultilevel"/>
    <w:tmpl w:val="C130DEAC"/>
    <w:lvl w:ilvl="0" w:tplc="0CD0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F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AE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CC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6A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85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83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EB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08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A163A6"/>
    <w:multiLevelType w:val="hybridMultilevel"/>
    <w:tmpl w:val="269CB32E"/>
    <w:lvl w:ilvl="0" w:tplc="6AF6D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6C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4B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2F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88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3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4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E0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C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2D04FD"/>
    <w:multiLevelType w:val="hybridMultilevel"/>
    <w:tmpl w:val="30D002A2"/>
    <w:lvl w:ilvl="0" w:tplc="79FE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A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47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C3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A1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01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AF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0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8B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D0154"/>
    <w:multiLevelType w:val="hybridMultilevel"/>
    <w:tmpl w:val="6928B67A"/>
    <w:lvl w:ilvl="0" w:tplc="F1DC4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60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B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CE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09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60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CA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A0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E0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BE2895"/>
    <w:multiLevelType w:val="hybridMultilevel"/>
    <w:tmpl w:val="1C94D5A2"/>
    <w:lvl w:ilvl="0" w:tplc="2EE67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61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E0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20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6C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E3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65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A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27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982FDF"/>
    <w:multiLevelType w:val="hybridMultilevel"/>
    <w:tmpl w:val="917A6F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BD"/>
    <w:rsid w:val="000002B1"/>
    <w:rsid w:val="000020BC"/>
    <w:rsid w:val="000023E0"/>
    <w:rsid w:val="00002474"/>
    <w:rsid w:val="0000536E"/>
    <w:rsid w:val="0000560C"/>
    <w:rsid w:val="0001194D"/>
    <w:rsid w:val="000144A6"/>
    <w:rsid w:val="000158AA"/>
    <w:rsid w:val="00024B74"/>
    <w:rsid w:val="000276C8"/>
    <w:rsid w:val="00036A0E"/>
    <w:rsid w:val="00037571"/>
    <w:rsid w:val="00041DB7"/>
    <w:rsid w:val="00046330"/>
    <w:rsid w:val="000636A3"/>
    <w:rsid w:val="00065F5A"/>
    <w:rsid w:val="00067516"/>
    <w:rsid w:val="00072CA2"/>
    <w:rsid w:val="000762E3"/>
    <w:rsid w:val="000826E4"/>
    <w:rsid w:val="00090E7D"/>
    <w:rsid w:val="00092FA7"/>
    <w:rsid w:val="00097659"/>
    <w:rsid w:val="000A1DA3"/>
    <w:rsid w:val="000A4D96"/>
    <w:rsid w:val="000B1065"/>
    <w:rsid w:val="000B6088"/>
    <w:rsid w:val="000E7222"/>
    <w:rsid w:val="000F13ED"/>
    <w:rsid w:val="000F63B7"/>
    <w:rsid w:val="000F6B4D"/>
    <w:rsid w:val="000F732C"/>
    <w:rsid w:val="00110678"/>
    <w:rsid w:val="00113445"/>
    <w:rsid w:val="0012396F"/>
    <w:rsid w:val="00134AF6"/>
    <w:rsid w:val="00136783"/>
    <w:rsid w:val="00136893"/>
    <w:rsid w:val="00140DF1"/>
    <w:rsid w:val="0014493D"/>
    <w:rsid w:val="001454E6"/>
    <w:rsid w:val="0014651F"/>
    <w:rsid w:val="00146D83"/>
    <w:rsid w:val="0015354B"/>
    <w:rsid w:val="00155C23"/>
    <w:rsid w:val="00155DBA"/>
    <w:rsid w:val="00163100"/>
    <w:rsid w:val="00170844"/>
    <w:rsid w:val="00173AF9"/>
    <w:rsid w:val="00181E30"/>
    <w:rsid w:val="00184275"/>
    <w:rsid w:val="00184DCE"/>
    <w:rsid w:val="001863D3"/>
    <w:rsid w:val="00186C06"/>
    <w:rsid w:val="0019094C"/>
    <w:rsid w:val="001A6A34"/>
    <w:rsid w:val="001B7A81"/>
    <w:rsid w:val="001D1E88"/>
    <w:rsid w:val="001D2D58"/>
    <w:rsid w:val="001D7148"/>
    <w:rsid w:val="001E2BEB"/>
    <w:rsid w:val="001E6FD5"/>
    <w:rsid w:val="001F18E8"/>
    <w:rsid w:val="001F2217"/>
    <w:rsid w:val="001F3863"/>
    <w:rsid w:val="002004A8"/>
    <w:rsid w:val="00207F52"/>
    <w:rsid w:val="00210D96"/>
    <w:rsid w:val="00215F22"/>
    <w:rsid w:val="00221CA4"/>
    <w:rsid w:val="002250FF"/>
    <w:rsid w:val="00226848"/>
    <w:rsid w:val="00254D4D"/>
    <w:rsid w:val="00260667"/>
    <w:rsid w:val="00260E41"/>
    <w:rsid w:val="00266F53"/>
    <w:rsid w:val="00267537"/>
    <w:rsid w:val="00267DAB"/>
    <w:rsid w:val="002709BC"/>
    <w:rsid w:val="0027129E"/>
    <w:rsid w:val="00291BCA"/>
    <w:rsid w:val="00295BD3"/>
    <w:rsid w:val="0029740E"/>
    <w:rsid w:val="002A13CC"/>
    <w:rsid w:val="002A1571"/>
    <w:rsid w:val="002B024F"/>
    <w:rsid w:val="002B19D2"/>
    <w:rsid w:val="002B26E4"/>
    <w:rsid w:val="002C1012"/>
    <w:rsid w:val="002D037B"/>
    <w:rsid w:val="002D2982"/>
    <w:rsid w:val="002D5345"/>
    <w:rsid w:val="002E57A6"/>
    <w:rsid w:val="002E74DB"/>
    <w:rsid w:val="002F098B"/>
    <w:rsid w:val="002F0ABB"/>
    <w:rsid w:val="002F4388"/>
    <w:rsid w:val="003049FF"/>
    <w:rsid w:val="00316993"/>
    <w:rsid w:val="003202C0"/>
    <w:rsid w:val="00322CE1"/>
    <w:rsid w:val="00324386"/>
    <w:rsid w:val="00326722"/>
    <w:rsid w:val="00337126"/>
    <w:rsid w:val="0034516E"/>
    <w:rsid w:val="00354D43"/>
    <w:rsid w:val="00360DA8"/>
    <w:rsid w:val="00365A2D"/>
    <w:rsid w:val="003666AA"/>
    <w:rsid w:val="003703F6"/>
    <w:rsid w:val="00372704"/>
    <w:rsid w:val="00376C80"/>
    <w:rsid w:val="0038422A"/>
    <w:rsid w:val="003875D9"/>
    <w:rsid w:val="003956DE"/>
    <w:rsid w:val="0039746B"/>
    <w:rsid w:val="003A2ECD"/>
    <w:rsid w:val="003A4766"/>
    <w:rsid w:val="003A78C7"/>
    <w:rsid w:val="003A7CBE"/>
    <w:rsid w:val="003B0921"/>
    <w:rsid w:val="003B0AC7"/>
    <w:rsid w:val="003B772E"/>
    <w:rsid w:val="003C0BA7"/>
    <w:rsid w:val="003C1480"/>
    <w:rsid w:val="003C1533"/>
    <w:rsid w:val="003C6396"/>
    <w:rsid w:val="003C64C2"/>
    <w:rsid w:val="003C7DCB"/>
    <w:rsid w:val="003D3D3A"/>
    <w:rsid w:val="003D3F8D"/>
    <w:rsid w:val="003D4832"/>
    <w:rsid w:val="003D582B"/>
    <w:rsid w:val="003E7D6C"/>
    <w:rsid w:val="003E7EBF"/>
    <w:rsid w:val="003F1B71"/>
    <w:rsid w:val="003F1E01"/>
    <w:rsid w:val="00400291"/>
    <w:rsid w:val="00401062"/>
    <w:rsid w:val="0040284F"/>
    <w:rsid w:val="00406458"/>
    <w:rsid w:val="0041734D"/>
    <w:rsid w:val="00424B10"/>
    <w:rsid w:val="004255B9"/>
    <w:rsid w:val="004257C1"/>
    <w:rsid w:val="0042669F"/>
    <w:rsid w:val="00444B40"/>
    <w:rsid w:val="004454DF"/>
    <w:rsid w:val="00451FDC"/>
    <w:rsid w:val="00454E15"/>
    <w:rsid w:val="00460F0A"/>
    <w:rsid w:val="0046276D"/>
    <w:rsid w:val="0046407B"/>
    <w:rsid w:val="004673C2"/>
    <w:rsid w:val="00467DA5"/>
    <w:rsid w:val="004852C3"/>
    <w:rsid w:val="00490D53"/>
    <w:rsid w:val="004A1F42"/>
    <w:rsid w:val="004B12DA"/>
    <w:rsid w:val="004B1A60"/>
    <w:rsid w:val="004B2BA8"/>
    <w:rsid w:val="004B33DC"/>
    <w:rsid w:val="004B38E6"/>
    <w:rsid w:val="004B5998"/>
    <w:rsid w:val="004C0970"/>
    <w:rsid w:val="004C5CAA"/>
    <w:rsid w:val="004D6F16"/>
    <w:rsid w:val="004E368E"/>
    <w:rsid w:val="004E7C4E"/>
    <w:rsid w:val="004F5D1F"/>
    <w:rsid w:val="00500DC3"/>
    <w:rsid w:val="0050295F"/>
    <w:rsid w:val="00502A4C"/>
    <w:rsid w:val="005042A1"/>
    <w:rsid w:val="00504EDE"/>
    <w:rsid w:val="0050760C"/>
    <w:rsid w:val="00510617"/>
    <w:rsid w:val="00512940"/>
    <w:rsid w:val="00512CC8"/>
    <w:rsid w:val="00522D35"/>
    <w:rsid w:val="00525380"/>
    <w:rsid w:val="00525AF2"/>
    <w:rsid w:val="00530456"/>
    <w:rsid w:val="00532CCB"/>
    <w:rsid w:val="0053595E"/>
    <w:rsid w:val="0054089E"/>
    <w:rsid w:val="0054450D"/>
    <w:rsid w:val="00544A1E"/>
    <w:rsid w:val="005455BB"/>
    <w:rsid w:val="0054708D"/>
    <w:rsid w:val="005638F8"/>
    <w:rsid w:val="00570209"/>
    <w:rsid w:val="0057083C"/>
    <w:rsid w:val="00571AD1"/>
    <w:rsid w:val="0058000B"/>
    <w:rsid w:val="005819E2"/>
    <w:rsid w:val="0058309A"/>
    <w:rsid w:val="00590092"/>
    <w:rsid w:val="00590B0B"/>
    <w:rsid w:val="005964EA"/>
    <w:rsid w:val="005A38EC"/>
    <w:rsid w:val="005A62EC"/>
    <w:rsid w:val="005C142F"/>
    <w:rsid w:val="005C215C"/>
    <w:rsid w:val="005C2AAA"/>
    <w:rsid w:val="005D194B"/>
    <w:rsid w:val="005E2B9C"/>
    <w:rsid w:val="005E4AEC"/>
    <w:rsid w:val="005E7DE4"/>
    <w:rsid w:val="005F270B"/>
    <w:rsid w:val="005F2795"/>
    <w:rsid w:val="006075B7"/>
    <w:rsid w:val="00610A93"/>
    <w:rsid w:val="006113E4"/>
    <w:rsid w:val="00611658"/>
    <w:rsid w:val="00612E6E"/>
    <w:rsid w:val="006144FD"/>
    <w:rsid w:val="00620CEC"/>
    <w:rsid w:val="00631B0C"/>
    <w:rsid w:val="00633953"/>
    <w:rsid w:val="00634FE3"/>
    <w:rsid w:val="0063566C"/>
    <w:rsid w:val="00645A33"/>
    <w:rsid w:val="00656AAD"/>
    <w:rsid w:val="00656E31"/>
    <w:rsid w:val="00663692"/>
    <w:rsid w:val="00675653"/>
    <w:rsid w:val="006818E5"/>
    <w:rsid w:val="00686F42"/>
    <w:rsid w:val="00692672"/>
    <w:rsid w:val="00696377"/>
    <w:rsid w:val="006A1895"/>
    <w:rsid w:val="006C0913"/>
    <w:rsid w:val="006C2637"/>
    <w:rsid w:val="006C3AF9"/>
    <w:rsid w:val="006C5322"/>
    <w:rsid w:val="006E30FE"/>
    <w:rsid w:val="006E690B"/>
    <w:rsid w:val="006F0BDA"/>
    <w:rsid w:val="0070031C"/>
    <w:rsid w:val="00705B59"/>
    <w:rsid w:val="00706CDC"/>
    <w:rsid w:val="0071374B"/>
    <w:rsid w:val="00720C6E"/>
    <w:rsid w:val="0072148D"/>
    <w:rsid w:val="0072208B"/>
    <w:rsid w:val="007231C7"/>
    <w:rsid w:val="007232FA"/>
    <w:rsid w:val="00724B4F"/>
    <w:rsid w:val="007322D3"/>
    <w:rsid w:val="00734761"/>
    <w:rsid w:val="00737489"/>
    <w:rsid w:val="00760EDD"/>
    <w:rsid w:val="00765E0F"/>
    <w:rsid w:val="00772057"/>
    <w:rsid w:val="00772AC5"/>
    <w:rsid w:val="00772FB7"/>
    <w:rsid w:val="00774C63"/>
    <w:rsid w:val="00777732"/>
    <w:rsid w:val="0078377B"/>
    <w:rsid w:val="00783AED"/>
    <w:rsid w:val="00784C97"/>
    <w:rsid w:val="00784F5F"/>
    <w:rsid w:val="00786424"/>
    <w:rsid w:val="00786716"/>
    <w:rsid w:val="007909EE"/>
    <w:rsid w:val="007913FB"/>
    <w:rsid w:val="00795FFF"/>
    <w:rsid w:val="007A1282"/>
    <w:rsid w:val="007A2D01"/>
    <w:rsid w:val="007A5EBF"/>
    <w:rsid w:val="007A5F6C"/>
    <w:rsid w:val="007A7C66"/>
    <w:rsid w:val="007C1180"/>
    <w:rsid w:val="007C2CCA"/>
    <w:rsid w:val="007C4047"/>
    <w:rsid w:val="007D2658"/>
    <w:rsid w:val="007D3493"/>
    <w:rsid w:val="007F2054"/>
    <w:rsid w:val="007F738B"/>
    <w:rsid w:val="0080180B"/>
    <w:rsid w:val="00804765"/>
    <w:rsid w:val="00806E2B"/>
    <w:rsid w:val="0081134B"/>
    <w:rsid w:val="008168D4"/>
    <w:rsid w:val="0081756C"/>
    <w:rsid w:val="008179C8"/>
    <w:rsid w:val="00832C6E"/>
    <w:rsid w:val="00833359"/>
    <w:rsid w:val="008348ED"/>
    <w:rsid w:val="008368DB"/>
    <w:rsid w:val="00837696"/>
    <w:rsid w:val="00853D14"/>
    <w:rsid w:val="00856042"/>
    <w:rsid w:val="0086321B"/>
    <w:rsid w:val="00863388"/>
    <w:rsid w:val="008648BB"/>
    <w:rsid w:val="008650A5"/>
    <w:rsid w:val="0087362E"/>
    <w:rsid w:val="00882CAA"/>
    <w:rsid w:val="00890592"/>
    <w:rsid w:val="0089289E"/>
    <w:rsid w:val="008957DE"/>
    <w:rsid w:val="00896687"/>
    <w:rsid w:val="008A36D6"/>
    <w:rsid w:val="008A5484"/>
    <w:rsid w:val="008A623F"/>
    <w:rsid w:val="008B0BCD"/>
    <w:rsid w:val="008B580C"/>
    <w:rsid w:val="008B5DBB"/>
    <w:rsid w:val="008B6730"/>
    <w:rsid w:val="008B6D14"/>
    <w:rsid w:val="008B7603"/>
    <w:rsid w:val="008B7BD3"/>
    <w:rsid w:val="008C2976"/>
    <w:rsid w:val="008C3E24"/>
    <w:rsid w:val="008D1AEC"/>
    <w:rsid w:val="008F0840"/>
    <w:rsid w:val="0090078C"/>
    <w:rsid w:val="00904B79"/>
    <w:rsid w:val="0091300A"/>
    <w:rsid w:val="0092258C"/>
    <w:rsid w:val="00926702"/>
    <w:rsid w:val="009313BA"/>
    <w:rsid w:val="00942228"/>
    <w:rsid w:val="00944B8E"/>
    <w:rsid w:val="00946372"/>
    <w:rsid w:val="00951BC5"/>
    <w:rsid w:val="00954D5A"/>
    <w:rsid w:val="00954F14"/>
    <w:rsid w:val="00960F13"/>
    <w:rsid w:val="00963511"/>
    <w:rsid w:val="0096367B"/>
    <w:rsid w:val="00964BE0"/>
    <w:rsid w:val="0096617F"/>
    <w:rsid w:val="00970023"/>
    <w:rsid w:val="009716A2"/>
    <w:rsid w:val="00976BBB"/>
    <w:rsid w:val="0098083C"/>
    <w:rsid w:val="00993465"/>
    <w:rsid w:val="009948F4"/>
    <w:rsid w:val="009A1C86"/>
    <w:rsid w:val="009A23EC"/>
    <w:rsid w:val="009A3F5C"/>
    <w:rsid w:val="009A5491"/>
    <w:rsid w:val="009B6CDB"/>
    <w:rsid w:val="009B7EB7"/>
    <w:rsid w:val="009C11E9"/>
    <w:rsid w:val="009C2914"/>
    <w:rsid w:val="009C62E2"/>
    <w:rsid w:val="009D365A"/>
    <w:rsid w:val="009E030A"/>
    <w:rsid w:val="009E5E03"/>
    <w:rsid w:val="009F14D6"/>
    <w:rsid w:val="009F254F"/>
    <w:rsid w:val="009F6425"/>
    <w:rsid w:val="00A00A72"/>
    <w:rsid w:val="00A014B5"/>
    <w:rsid w:val="00A040AF"/>
    <w:rsid w:val="00A12E0F"/>
    <w:rsid w:val="00A159E5"/>
    <w:rsid w:val="00A30293"/>
    <w:rsid w:val="00A3098E"/>
    <w:rsid w:val="00A30F76"/>
    <w:rsid w:val="00A3303B"/>
    <w:rsid w:val="00A350BE"/>
    <w:rsid w:val="00A40A1E"/>
    <w:rsid w:val="00A412E1"/>
    <w:rsid w:val="00A41FF9"/>
    <w:rsid w:val="00A47AF7"/>
    <w:rsid w:val="00A51E8A"/>
    <w:rsid w:val="00A551AE"/>
    <w:rsid w:val="00A62506"/>
    <w:rsid w:val="00A660D8"/>
    <w:rsid w:val="00A714E9"/>
    <w:rsid w:val="00A71E95"/>
    <w:rsid w:val="00A86CFD"/>
    <w:rsid w:val="00A91D6B"/>
    <w:rsid w:val="00AB11C1"/>
    <w:rsid w:val="00AB1305"/>
    <w:rsid w:val="00AB1A46"/>
    <w:rsid w:val="00AB1E46"/>
    <w:rsid w:val="00AB6BD6"/>
    <w:rsid w:val="00AC0846"/>
    <w:rsid w:val="00AC2D15"/>
    <w:rsid w:val="00AC5DCA"/>
    <w:rsid w:val="00AD140C"/>
    <w:rsid w:val="00AD4243"/>
    <w:rsid w:val="00AD5DFA"/>
    <w:rsid w:val="00AF0E6A"/>
    <w:rsid w:val="00AF0FED"/>
    <w:rsid w:val="00AF2C97"/>
    <w:rsid w:val="00AF51A6"/>
    <w:rsid w:val="00AF60EF"/>
    <w:rsid w:val="00B00E0F"/>
    <w:rsid w:val="00B03E88"/>
    <w:rsid w:val="00B060EC"/>
    <w:rsid w:val="00B07A7A"/>
    <w:rsid w:val="00B109CE"/>
    <w:rsid w:val="00B12691"/>
    <w:rsid w:val="00B17609"/>
    <w:rsid w:val="00B20334"/>
    <w:rsid w:val="00B21509"/>
    <w:rsid w:val="00B23BEA"/>
    <w:rsid w:val="00B264C4"/>
    <w:rsid w:val="00B266FA"/>
    <w:rsid w:val="00B27866"/>
    <w:rsid w:val="00B32382"/>
    <w:rsid w:val="00B32CBD"/>
    <w:rsid w:val="00B40A10"/>
    <w:rsid w:val="00B44B11"/>
    <w:rsid w:val="00B4734D"/>
    <w:rsid w:val="00B47BF8"/>
    <w:rsid w:val="00B609C1"/>
    <w:rsid w:val="00B6164A"/>
    <w:rsid w:val="00B6246B"/>
    <w:rsid w:val="00B645CD"/>
    <w:rsid w:val="00B71A9F"/>
    <w:rsid w:val="00B71B9E"/>
    <w:rsid w:val="00B7741E"/>
    <w:rsid w:val="00B80892"/>
    <w:rsid w:val="00B82361"/>
    <w:rsid w:val="00B92E36"/>
    <w:rsid w:val="00B94A55"/>
    <w:rsid w:val="00BA0A05"/>
    <w:rsid w:val="00BA4991"/>
    <w:rsid w:val="00BA514C"/>
    <w:rsid w:val="00BB57DF"/>
    <w:rsid w:val="00BB6BD8"/>
    <w:rsid w:val="00BD51B7"/>
    <w:rsid w:val="00BD6A8C"/>
    <w:rsid w:val="00BE20EF"/>
    <w:rsid w:val="00BE6D8B"/>
    <w:rsid w:val="00BF442F"/>
    <w:rsid w:val="00BF45CE"/>
    <w:rsid w:val="00C06EB2"/>
    <w:rsid w:val="00C11AC2"/>
    <w:rsid w:val="00C230A6"/>
    <w:rsid w:val="00C23884"/>
    <w:rsid w:val="00C24744"/>
    <w:rsid w:val="00C455EC"/>
    <w:rsid w:val="00C53CA4"/>
    <w:rsid w:val="00C55871"/>
    <w:rsid w:val="00C61C47"/>
    <w:rsid w:val="00C64682"/>
    <w:rsid w:val="00C66509"/>
    <w:rsid w:val="00C73506"/>
    <w:rsid w:val="00C73908"/>
    <w:rsid w:val="00C8436A"/>
    <w:rsid w:val="00C84F22"/>
    <w:rsid w:val="00C9368D"/>
    <w:rsid w:val="00C95F6A"/>
    <w:rsid w:val="00CA047F"/>
    <w:rsid w:val="00CB5906"/>
    <w:rsid w:val="00CB7240"/>
    <w:rsid w:val="00CC2F7C"/>
    <w:rsid w:val="00CC7D2C"/>
    <w:rsid w:val="00CD1D60"/>
    <w:rsid w:val="00CE3729"/>
    <w:rsid w:val="00CE3C9D"/>
    <w:rsid w:val="00CE4103"/>
    <w:rsid w:val="00CF7D27"/>
    <w:rsid w:val="00D029D4"/>
    <w:rsid w:val="00D05174"/>
    <w:rsid w:val="00D10392"/>
    <w:rsid w:val="00D15D33"/>
    <w:rsid w:val="00D316FB"/>
    <w:rsid w:val="00D32F92"/>
    <w:rsid w:val="00D359DE"/>
    <w:rsid w:val="00D37171"/>
    <w:rsid w:val="00D374B5"/>
    <w:rsid w:val="00D420F1"/>
    <w:rsid w:val="00D51ACE"/>
    <w:rsid w:val="00D5659E"/>
    <w:rsid w:val="00D62546"/>
    <w:rsid w:val="00D658B8"/>
    <w:rsid w:val="00D77F35"/>
    <w:rsid w:val="00D80AC3"/>
    <w:rsid w:val="00D92825"/>
    <w:rsid w:val="00D9399B"/>
    <w:rsid w:val="00D96872"/>
    <w:rsid w:val="00DA0200"/>
    <w:rsid w:val="00DB6CCE"/>
    <w:rsid w:val="00DC1440"/>
    <w:rsid w:val="00DC23FE"/>
    <w:rsid w:val="00DC5BF6"/>
    <w:rsid w:val="00DC5DF8"/>
    <w:rsid w:val="00DE2CEE"/>
    <w:rsid w:val="00DF2CA9"/>
    <w:rsid w:val="00DF3BE0"/>
    <w:rsid w:val="00E006E4"/>
    <w:rsid w:val="00E035E0"/>
    <w:rsid w:val="00E11279"/>
    <w:rsid w:val="00E1342F"/>
    <w:rsid w:val="00E25148"/>
    <w:rsid w:val="00E32ECD"/>
    <w:rsid w:val="00E33B10"/>
    <w:rsid w:val="00E33B4A"/>
    <w:rsid w:val="00E47D26"/>
    <w:rsid w:val="00E5131A"/>
    <w:rsid w:val="00E61D23"/>
    <w:rsid w:val="00E67F73"/>
    <w:rsid w:val="00E704C5"/>
    <w:rsid w:val="00E72F4B"/>
    <w:rsid w:val="00E732A7"/>
    <w:rsid w:val="00E75E7A"/>
    <w:rsid w:val="00E85800"/>
    <w:rsid w:val="00E87862"/>
    <w:rsid w:val="00E917B5"/>
    <w:rsid w:val="00E9538C"/>
    <w:rsid w:val="00E95F4F"/>
    <w:rsid w:val="00E9724E"/>
    <w:rsid w:val="00E976B4"/>
    <w:rsid w:val="00EA0AFF"/>
    <w:rsid w:val="00EA2E5F"/>
    <w:rsid w:val="00EB4ECA"/>
    <w:rsid w:val="00EB6F58"/>
    <w:rsid w:val="00EC0A69"/>
    <w:rsid w:val="00EC10EF"/>
    <w:rsid w:val="00ED27DA"/>
    <w:rsid w:val="00EE20AC"/>
    <w:rsid w:val="00EE2E03"/>
    <w:rsid w:val="00EE7C73"/>
    <w:rsid w:val="00EE7E56"/>
    <w:rsid w:val="00EF533B"/>
    <w:rsid w:val="00F00CA2"/>
    <w:rsid w:val="00F00E45"/>
    <w:rsid w:val="00F02E95"/>
    <w:rsid w:val="00F11928"/>
    <w:rsid w:val="00F20183"/>
    <w:rsid w:val="00F24135"/>
    <w:rsid w:val="00F32082"/>
    <w:rsid w:val="00F40509"/>
    <w:rsid w:val="00F42A58"/>
    <w:rsid w:val="00F43AF4"/>
    <w:rsid w:val="00F43C8E"/>
    <w:rsid w:val="00F520DE"/>
    <w:rsid w:val="00F60405"/>
    <w:rsid w:val="00F6102F"/>
    <w:rsid w:val="00F63B96"/>
    <w:rsid w:val="00F64EE4"/>
    <w:rsid w:val="00F76ABA"/>
    <w:rsid w:val="00F81F2E"/>
    <w:rsid w:val="00F82E4F"/>
    <w:rsid w:val="00F8769E"/>
    <w:rsid w:val="00F87E12"/>
    <w:rsid w:val="00F909BD"/>
    <w:rsid w:val="00FA1FD9"/>
    <w:rsid w:val="00FA2263"/>
    <w:rsid w:val="00FA5051"/>
    <w:rsid w:val="00FA61CA"/>
    <w:rsid w:val="00FB0924"/>
    <w:rsid w:val="00FB18D7"/>
    <w:rsid w:val="00FB3375"/>
    <w:rsid w:val="00FB65FD"/>
    <w:rsid w:val="00FB70AB"/>
    <w:rsid w:val="00FC2637"/>
    <w:rsid w:val="00FC62B5"/>
    <w:rsid w:val="00FD392D"/>
    <w:rsid w:val="00FD4044"/>
    <w:rsid w:val="00FD48FB"/>
    <w:rsid w:val="00FD6A81"/>
    <w:rsid w:val="00FE0CBC"/>
    <w:rsid w:val="00FE1468"/>
    <w:rsid w:val="00FE385B"/>
    <w:rsid w:val="00FE63B4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ADF57"/>
  <w15:docId w15:val="{4CD0528D-810B-4AA7-8CFE-A676AE1A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62E"/>
    <w:rPr>
      <w:sz w:val="24"/>
      <w:szCs w:val="24"/>
    </w:rPr>
  </w:style>
  <w:style w:type="paragraph" w:styleId="Ttulo1">
    <w:name w:val="heading 1"/>
    <w:aliases w:val="lisbon_title"/>
    <w:basedOn w:val="Normal"/>
    <w:next w:val="Normal"/>
    <w:qFormat/>
    <w:rsid w:val="00B32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 w:eastAsia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4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Keyword">
    <w:name w:val="Keyword"/>
    <w:basedOn w:val="Abstract"/>
    <w:next w:val="Ttulo1"/>
    <w:rsid w:val="00B32CBD"/>
  </w:style>
  <w:style w:type="paragraph" w:customStyle="1" w:styleId="ChapterTitle">
    <w:name w:val="Chapter Title"/>
    <w:basedOn w:val="Abstract"/>
    <w:next w:val="Authornames"/>
    <w:rsid w:val="00B32CBD"/>
    <w:pPr>
      <w:spacing w:after="480" w:line="320" w:lineRule="atLeast"/>
    </w:pPr>
    <w:rPr>
      <w:b/>
      <w:bCs/>
      <w:sz w:val="28"/>
    </w:rPr>
  </w:style>
  <w:style w:type="paragraph" w:customStyle="1" w:styleId="Abstract">
    <w:name w:val="Abstract"/>
    <w:basedOn w:val="Normal"/>
    <w:next w:val="Keyword"/>
    <w:rsid w:val="00B32CBD"/>
    <w:pPr>
      <w:suppressAutoHyphens/>
      <w:spacing w:before="240" w:line="220" w:lineRule="atLeast"/>
      <w:jc w:val="both"/>
    </w:pPr>
    <w:rPr>
      <w:rFonts w:ascii="Arial" w:hAnsi="Arial"/>
      <w:sz w:val="18"/>
      <w:lang w:val="en-GB" w:eastAsia="en-US"/>
    </w:rPr>
  </w:style>
  <w:style w:type="paragraph" w:customStyle="1" w:styleId="Authornames">
    <w:name w:val="Author name(s)"/>
    <w:basedOn w:val="Abstract"/>
    <w:next w:val="Authoraddress"/>
    <w:rsid w:val="00B32CBD"/>
    <w:pPr>
      <w:spacing w:after="120" w:line="240" w:lineRule="atLeast"/>
    </w:pPr>
    <w:rPr>
      <w:b/>
      <w:sz w:val="20"/>
    </w:rPr>
  </w:style>
  <w:style w:type="paragraph" w:customStyle="1" w:styleId="Authoraddress">
    <w:name w:val="Author address"/>
    <w:basedOn w:val="Abstract"/>
    <w:next w:val="Abstract"/>
    <w:rsid w:val="00B32CBD"/>
    <w:pPr>
      <w:spacing w:before="0"/>
    </w:pPr>
    <w:rPr>
      <w:bCs/>
    </w:rPr>
  </w:style>
  <w:style w:type="paragraph" w:styleId="Cabealho">
    <w:name w:val="header"/>
    <w:basedOn w:val="Normal"/>
    <w:link w:val="CabealhoChar"/>
    <w:uiPriority w:val="99"/>
    <w:rsid w:val="00B32CBD"/>
    <w:pPr>
      <w:tabs>
        <w:tab w:val="center" w:pos="4252"/>
        <w:tab w:val="right" w:pos="8504"/>
      </w:tabs>
    </w:pPr>
    <w:rPr>
      <w:lang w:val="pt-PT" w:eastAsia="pt-PT"/>
    </w:rPr>
  </w:style>
  <w:style w:type="paragraph" w:styleId="Rodap">
    <w:name w:val="footer"/>
    <w:basedOn w:val="Normal"/>
    <w:link w:val="RodapChar"/>
    <w:uiPriority w:val="99"/>
    <w:rsid w:val="00B32CBD"/>
    <w:pPr>
      <w:tabs>
        <w:tab w:val="center" w:pos="4252"/>
        <w:tab w:val="right" w:pos="8504"/>
      </w:tabs>
    </w:pPr>
    <w:rPr>
      <w:lang w:val="pt-PT" w:eastAsia="pt-PT"/>
    </w:rPr>
  </w:style>
  <w:style w:type="paragraph" w:customStyle="1" w:styleId="lisbonparagraph">
    <w:name w:val="lisbon_paragraph"/>
    <w:basedOn w:val="Normal"/>
    <w:rsid w:val="009E030A"/>
    <w:pPr>
      <w:spacing w:after="60"/>
      <w:jc w:val="both"/>
    </w:pPr>
    <w:rPr>
      <w:sz w:val="20"/>
      <w:szCs w:val="20"/>
      <w:lang w:val="pt-PT" w:eastAsia="pt-PT"/>
    </w:rPr>
  </w:style>
  <w:style w:type="paragraph" w:customStyle="1" w:styleId="lisbonsubchapter3">
    <w:name w:val="lisbon_subchapter3"/>
    <w:basedOn w:val="lisbonsubchapter2"/>
    <w:next w:val="lisbonparagraph"/>
    <w:rsid w:val="009E030A"/>
    <w:pPr>
      <w:spacing w:before="120"/>
    </w:pPr>
    <w:rPr>
      <w:i/>
      <w:iCs/>
    </w:rPr>
  </w:style>
  <w:style w:type="paragraph" w:customStyle="1" w:styleId="lisbonsubchapter2">
    <w:name w:val="lisbon_subchapter2"/>
    <w:basedOn w:val="lisbonsubchater1"/>
    <w:next w:val="lisbonparagraph"/>
    <w:rsid w:val="009E030A"/>
    <w:pPr>
      <w:spacing w:before="160"/>
    </w:pPr>
    <w:rPr>
      <w:sz w:val="20"/>
      <w:szCs w:val="20"/>
    </w:rPr>
  </w:style>
  <w:style w:type="paragraph" w:customStyle="1" w:styleId="lisbonsubchater1">
    <w:name w:val="lisbon_subchater1"/>
    <w:next w:val="lisbonparagraph"/>
    <w:rsid w:val="009E030A"/>
    <w:pPr>
      <w:keepNext/>
      <w:spacing w:before="240" w:after="60"/>
    </w:pPr>
    <w:rPr>
      <w:rFonts w:ascii="Arial" w:hAnsi="Arial" w:cs="Arial"/>
      <w:b/>
      <w:bCs/>
      <w:color w:val="000000"/>
      <w:kern w:val="32"/>
      <w:sz w:val="24"/>
      <w:szCs w:val="24"/>
      <w:lang w:val="pt-PT" w:eastAsia="pt-PT"/>
    </w:rPr>
  </w:style>
  <w:style w:type="paragraph" w:customStyle="1" w:styleId="lisbonchapter">
    <w:name w:val="lisbon_chapter"/>
    <w:next w:val="lisbonparagraph"/>
    <w:rsid w:val="009E030A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caps/>
      <w:color w:val="000000"/>
      <w:kern w:val="32"/>
      <w:sz w:val="24"/>
      <w:szCs w:val="24"/>
      <w:lang w:val="pt-PT" w:eastAsia="pt-PT"/>
    </w:rPr>
  </w:style>
  <w:style w:type="paragraph" w:customStyle="1" w:styleId="lisbonauthor">
    <w:name w:val="lisbon_author"/>
    <w:basedOn w:val="lisbonparagraph"/>
    <w:next w:val="lisboninfoauthor"/>
    <w:rsid w:val="009E030A"/>
    <w:pPr>
      <w:keepNext/>
      <w:spacing w:after="0"/>
      <w:jc w:val="left"/>
    </w:pPr>
    <w:rPr>
      <w:b/>
      <w:bCs/>
    </w:rPr>
  </w:style>
  <w:style w:type="paragraph" w:customStyle="1" w:styleId="lisboninfoauthor">
    <w:name w:val="lisbon_infoauthor"/>
    <w:basedOn w:val="lisbonparagraph"/>
    <w:next w:val="lisbonparagraph"/>
    <w:rsid w:val="009E030A"/>
    <w:pPr>
      <w:jc w:val="left"/>
    </w:pPr>
    <w:rPr>
      <w:i/>
      <w:iCs/>
    </w:rPr>
  </w:style>
  <w:style w:type="paragraph" w:customStyle="1" w:styleId="lisbonsummary">
    <w:name w:val="lisbon_summary"/>
    <w:basedOn w:val="lisbonparagraph"/>
    <w:next w:val="lisbonparagraph"/>
    <w:rsid w:val="009E030A"/>
    <w:rPr>
      <w:i/>
      <w:iCs/>
    </w:rPr>
  </w:style>
  <w:style w:type="paragraph" w:customStyle="1" w:styleId="lisbon-references">
    <w:name w:val="lisbon-references"/>
    <w:basedOn w:val="lisbonparagraph"/>
    <w:rsid w:val="009E030A"/>
    <w:rPr>
      <w:sz w:val="18"/>
      <w:lang w:val="en-GB"/>
    </w:rPr>
  </w:style>
  <w:style w:type="character" w:styleId="Hyperlink">
    <w:name w:val="Hyperlink"/>
    <w:rsid w:val="00424B10"/>
    <w:rPr>
      <w:color w:val="0000FF"/>
      <w:u w:val="single"/>
    </w:rPr>
  </w:style>
  <w:style w:type="paragraph" w:customStyle="1" w:styleId="Tablecaption">
    <w:name w:val="Table caption"/>
    <w:basedOn w:val="Normal"/>
    <w:next w:val="Tablerule"/>
    <w:rsid w:val="00B07A7A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sz w:val="20"/>
      <w:szCs w:val="20"/>
      <w:lang w:val="en-US" w:eastAsia="en-US"/>
    </w:rPr>
  </w:style>
  <w:style w:type="paragraph" w:customStyle="1" w:styleId="Tablerule">
    <w:name w:val="Table rule"/>
    <w:basedOn w:val="Normal"/>
    <w:next w:val="Tabletext"/>
    <w:rsid w:val="00B07A7A"/>
    <w:pPr>
      <w:overflowPunct w:val="0"/>
      <w:autoSpaceDE w:val="0"/>
      <w:autoSpaceDN w:val="0"/>
      <w:adjustRightInd w:val="0"/>
      <w:spacing w:after="60" w:line="40" w:lineRule="exact"/>
      <w:textAlignment w:val="baseline"/>
    </w:pPr>
    <w:rPr>
      <w:sz w:val="16"/>
      <w:szCs w:val="20"/>
      <w:lang w:val="en-US" w:eastAsia="en-US"/>
    </w:rPr>
  </w:style>
  <w:style w:type="paragraph" w:customStyle="1" w:styleId="Tabletext">
    <w:name w:val="Table text"/>
    <w:basedOn w:val="Normal"/>
    <w:rsid w:val="00B07A7A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sz w:val="20"/>
      <w:szCs w:val="20"/>
      <w:lang w:val="en-US" w:eastAsia="en-US"/>
    </w:rPr>
  </w:style>
  <w:style w:type="table" w:styleId="Tabelacomgrade">
    <w:name w:val="Table Grid"/>
    <w:basedOn w:val="Tabelanormal"/>
    <w:uiPriority w:val="59"/>
    <w:rsid w:val="00D3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FA2263"/>
    <w:rPr>
      <w:b/>
      <w:bCs/>
    </w:rPr>
  </w:style>
  <w:style w:type="paragraph" w:styleId="NormalWeb">
    <w:name w:val="Normal (Web)"/>
    <w:basedOn w:val="Normal"/>
    <w:rsid w:val="00530456"/>
    <w:pPr>
      <w:spacing w:before="100" w:beforeAutospacing="1" w:after="100" w:afterAutospacing="1"/>
    </w:pPr>
    <w:rPr>
      <w:lang w:val="pt-PT" w:eastAsia="pt-PT"/>
    </w:rPr>
  </w:style>
  <w:style w:type="character" w:customStyle="1" w:styleId="RodapChar">
    <w:name w:val="Rodapé Char"/>
    <w:link w:val="Rodap"/>
    <w:uiPriority w:val="99"/>
    <w:rsid w:val="00530456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90092"/>
    <w:rPr>
      <w:sz w:val="24"/>
      <w:szCs w:val="24"/>
    </w:rPr>
  </w:style>
  <w:style w:type="character" w:customStyle="1" w:styleId="style63">
    <w:name w:val="style63"/>
    <w:basedOn w:val="Fontepargpadro"/>
    <w:rsid w:val="003049FF"/>
  </w:style>
  <w:style w:type="paragraph" w:customStyle="1" w:styleId="meta">
    <w:name w:val="meta"/>
    <w:basedOn w:val="Normal"/>
    <w:rsid w:val="003049FF"/>
    <w:pPr>
      <w:spacing w:before="100" w:beforeAutospacing="1" w:after="100" w:afterAutospacing="1"/>
    </w:pPr>
    <w:rPr>
      <w:lang w:val="pt-PT" w:eastAsia="pt-PT"/>
    </w:rPr>
  </w:style>
  <w:style w:type="character" w:customStyle="1" w:styleId="Ttulo10">
    <w:name w:val="Título1"/>
    <w:basedOn w:val="Fontepargpadro"/>
    <w:rsid w:val="003049FF"/>
  </w:style>
  <w:style w:type="paragraph" w:styleId="Textodebalo">
    <w:name w:val="Balloon Text"/>
    <w:basedOn w:val="Normal"/>
    <w:link w:val="TextodebaloChar"/>
    <w:rsid w:val="003D3D3A"/>
    <w:rPr>
      <w:rFonts w:ascii="Tahoma" w:hAnsi="Tahoma" w:cs="Tahoma"/>
      <w:sz w:val="16"/>
      <w:szCs w:val="16"/>
      <w:lang w:val="pt-PT" w:eastAsia="pt-PT"/>
    </w:rPr>
  </w:style>
  <w:style w:type="character" w:customStyle="1" w:styleId="TextodebaloChar">
    <w:name w:val="Texto de balão Char"/>
    <w:link w:val="Textodebalo"/>
    <w:rsid w:val="003D3D3A"/>
    <w:rPr>
      <w:rFonts w:ascii="Tahoma" w:hAnsi="Tahoma" w:cs="Tahoma"/>
      <w:sz w:val="16"/>
      <w:szCs w:val="16"/>
    </w:rPr>
  </w:style>
  <w:style w:type="character" w:styleId="Refdenotaderodap">
    <w:name w:val="footnote reference"/>
    <w:unhideWhenUsed/>
    <w:qFormat/>
    <w:rsid w:val="00F76ABA"/>
    <w:rPr>
      <w:vertAlign w:val="superscript"/>
    </w:rPr>
  </w:style>
  <w:style w:type="paragraph" w:customStyle="1" w:styleId="Unisinos-Ttulo1">
    <w:name w:val="Unisinos - Título 1"/>
    <w:basedOn w:val="Normal"/>
    <w:uiPriority w:val="99"/>
    <w:rsid w:val="00F76ABA"/>
    <w:pPr>
      <w:spacing w:after="480" w:line="360" w:lineRule="auto"/>
    </w:pPr>
    <w:rPr>
      <w:rFonts w:ascii="Arial" w:hAnsi="Arial" w:cs="Arial"/>
      <w:b/>
      <w:bCs/>
      <w:color w:val="000000"/>
    </w:rPr>
  </w:style>
  <w:style w:type="character" w:customStyle="1" w:styleId="apple-converted-space">
    <w:name w:val="apple-converted-space"/>
    <w:rsid w:val="00B266FA"/>
  </w:style>
  <w:style w:type="paragraph" w:customStyle="1" w:styleId="Default">
    <w:name w:val="Default"/>
    <w:rsid w:val="00B266FA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</w:rPr>
  </w:style>
  <w:style w:type="character" w:styleId="Refdecomentrio">
    <w:name w:val="annotation reference"/>
    <w:rsid w:val="00B6164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6164A"/>
    <w:rPr>
      <w:sz w:val="20"/>
      <w:szCs w:val="20"/>
      <w:lang w:val="pt-PT" w:eastAsia="pt-PT"/>
    </w:rPr>
  </w:style>
  <w:style w:type="character" w:customStyle="1" w:styleId="TextodecomentrioChar">
    <w:name w:val="Texto de comentário Char"/>
    <w:link w:val="Textodecomentrio"/>
    <w:rsid w:val="00B6164A"/>
    <w:rPr>
      <w:lang w:val="pt-PT" w:eastAsia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6164A"/>
    <w:rPr>
      <w:b/>
      <w:bCs/>
    </w:rPr>
  </w:style>
  <w:style w:type="character" w:customStyle="1" w:styleId="AssuntodocomentrioChar">
    <w:name w:val="Assunto do comentário Char"/>
    <w:link w:val="Assuntodocomentrio"/>
    <w:rsid w:val="00B6164A"/>
    <w:rPr>
      <w:b/>
      <w:bCs/>
      <w:lang w:val="pt-PT" w:eastAsia="pt-PT"/>
    </w:rPr>
  </w:style>
  <w:style w:type="paragraph" w:styleId="PargrafodaLista">
    <w:name w:val="List Paragraph"/>
    <w:basedOn w:val="Normal"/>
    <w:uiPriority w:val="34"/>
    <w:qFormat/>
    <w:rsid w:val="00C53CA4"/>
    <w:pPr>
      <w:ind w:left="720"/>
      <w:contextualSpacing/>
    </w:pPr>
  </w:style>
  <w:style w:type="character" w:customStyle="1" w:styleId="MenoPendente1">
    <w:name w:val="Menção Pendente1"/>
    <w:basedOn w:val="Fontepargpadro"/>
    <w:rsid w:val="00D77F35"/>
    <w:rPr>
      <w:color w:val="808080"/>
      <w:shd w:val="clear" w:color="auto" w:fill="E6E6E6"/>
    </w:rPr>
  </w:style>
  <w:style w:type="character" w:styleId="nfase">
    <w:name w:val="Emphasis"/>
    <w:basedOn w:val="Fontepargpadro"/>
    <w:uiPriority w:val="20"/>
    <w:qFormat/>
    <w:rsid w:val="002B26E4"/>
    <w:rPr>
      <w:i/>
      <w:iCs/>
    </w:rPr>
  </w:style>
  <w:style w:type="character" w:customStyle="1" w:styleId="Ttulo2Char">
    <w:name w:val="Título 2 Char"/>
    <w:basedOn w:val="Fontepargpadro"/>
    <w:link w:val="Ttulo2"/>
    <w:semiHidden/>
    <w:rsid w:val="00FD4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notaderodap">
    <w:name w:val="footnote text"/>
    <w:aliases w:val="NotaRodape,Texto de rodapé Char"/>
    <w:basedOn w:val="Normal"/>
    <w:link w:val="TextodenotaderodapChar"/>
    <w:uiPriority w:val="99"/>
    <w:unhideWhenUsed/>
    <w:qFormat/>
    <w:rsid w:val="001D1E88"/>
    <w:rPr>
      <w:sz w:val="20"/>
      <w:szCs w:val="20"/>
    </w:rPr>
  </w:style>
  <w:style w:type="character" w:customStyle="1" w:styleId="TextodenotaderodapChar">
    <w:name w:val="Texto de nota de rodapé Char"/>
    <w:aliases w:val="NotaRodape Char,Texto de rodapé Char Char"/>
    <w:basedOn w:val="Fontepargpadro"/>
    <w:link w:val="Textodenotaderodap"/>
    <w:uiPriority w:val="99"/>
    <w:rsid w:val="001D1E88"/>
  </w:style>
  <w:style w:type="character" w:styleId="MenoPendente">
    <w:name w:val="Unresolved Mention"/>
    <w:basedOn w:val="Fontepargpadro"/>
    <w:uiPriority w:val="99"/>
    <w:semiHidden/>
    <w:unhideWhenUsed/>
    <w:rsid w:val="004E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8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7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4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6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81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3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9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6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ttes.cnpq.br/053063658374207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ngelica\Desktop\Agro_2000-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021015414310328E-2"/>
          <c:y val="4.3426340517664003E-2"/>
          <c:w val="0.90477852639554079"/>
          <c:h val="0.67434792502116692"/>
        </c:manualLayout>
      </c:layout>
      <c:barChart>
        <c:barDir val="col"/>
        <c:grouping val="clustered"/>
        <c:varyColors val="0"/>
        <c:ser>
          <c:idx val="0"/>
          <c:order val="0"/>
          <c:tx>
            <c:v>EXP. TOTAL</c:v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numRef>
              <c:f>'ANGELICA - 2019\2 Submetido\Jornadas\[AgroBra_2000-2018.xls]BC-1997-2017'!$A$11:$A$29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'ANGELICA - 2019\2 Submetido\Jornadas\[AgroBra_2000-2018.xls]BC-1997-2017'!$B$11:$B$29</c:f>
              <c:numCache>
                <c:formatCode>General</c:formatCode>
                <c:ptCount val="19"/>
                <c:pt idx="0">
                  <c:v>55.118919865000002</c:v>
                </c:pt>
                <c:pt idx="1">
                  <c:v>58.286593021000002</c:v>
                </c:pt>
                <c:pt idx="2">
                  <c:v>60.438653035000002</c:v>
                </c:pt>
                <c:pt idx="3">
                  <c:v>73.203222074999999</c:v>
                </c:pt>
                <c:pt idx="4">
                  <c:v>96.677498765999999</c:v>
                </c:pt>
                <c:pt idx="5">
                  <c:v>118.529184899</c:v>
                </c:pt>
                <c:pt idx="6">
                  <c:v>137.80746953100001</c:v>
                </c:pt>
                <c:pt idx="7">
                  <c:v>160.64907282999999</c:v>
                </c:pt>
                <c:pt idx="8">
                  <c:v>197.94244290899999</c:v>
                </c:pt>
                <c:pt idx="9">
                  <c:v>152.99474280499999</c:v>
                </c:pt>
                <c:pt idx="10">
                  <c:v>201.91528533499999</c:v>
                </c:pt>
                <c:pt idx="11">
                  <c:v>256.03957476800002</c:v>
                </c:pt>
                <c:pt idx="12">
                  <c:v>242.57801354599999</c:v>
                </c:pt>
                <c:pt idx="13">
                  <c:v>242.03357471999999</c:v>
                </c:pt>
                <c:pt idx="14">
                  <c:v>225.100884831</c:v>
                </c:pt>
                <c:pt idx="15">
                  <c:v>191.13432458400001</c:v>
                </c:pt>
                <c:pt idx="16">
                  <c:v>185.23540080500001</c:v>
                </c:pt>
                <c:pt idx="17">
                  <c:v>217.73917707699999</c:v>
                </c:pt>
                <c:pt idx="18">
                  <c:v>239.88920954100001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C8-4908-BD54-365A6A008F3B}"/>
            </c:ext>
          </c:extLst>
        </c:ser>
        <c:ser>
          <c:idx val="2"/>
          <c:order val="2"/>
          <c:tx>
            <c:v>IMP. TOTAL</c:v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cat>
            <c:numRef>
              <c:f>'ANGELICA - 2019\2 Submetido\Jornadas\[AgroBra_2000-2018.xls]BC-1997-2017'!$A$11:$A$29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'ANGELICA - 2019\2 Submetido\Jornadas\[AgroBra_2000-2018.xls]BC-1997-2017'!$E$11:$E$29</c:f>
              <c:numCache>
                <c:formatCode>General</c:formatCode>
                <c:ptCount val="19"/>
                <c:pt idx="0">
                  <c:v>55.850663138000002</c:v>
                </c:pt>
                <c:pt idx="1">
                  <c:v>55.601758416000003</c:v>
                </c:pt>
                <c:pt idx="2">
                  <c:v>47.242654199</c:v>
                </c:pt>
                <c:pt idx="3">
                  <c:v>48.325566629999997</c:v>
                </c:pt>
                <c:pt idx="4">
                  <c:v>62.835615629000003</c:v>
                </c:pt>
                <c:pt idx="5">
                  <c:v>73.600375671999998</c:v>
                </c:pt>
                <c:pt idx="6">
                  <c:v>91.350840805000004</c:v>
                </c:pt>
                <c:pt idx="7">
                  <c:v>120.61744625</c:v>
                </c:pt>
                <c:pt idx="8">
                  <c:v>172.98476761399999</c:v>
                </c:pt>
                <c:pt idx="9">
                  <c:v>127.72234298799999</c:v>
                </c:pt>
                <c:pt idx="10">
                  <c:v>181.768427438</c:v>
                </c:pt>
                <c:pt idx="11">
                  <c:v>226.24675580100001</c:v>
                </c:pt>
                <c:pt idx="12">
                  <c:v>223.18347664300001</c:v>
                </c:pt>
                <c:pt idx="13">
                  <c:v>239.74751598700001</c:v>
                </c:pt>
                <c:pt idx="14">
                  <c:v>229.154462583</c:v>
                </c:pt>
                <c:pt idx="15">
                  <c:v>171.44905090899999</c:v>
                </c:pt>
                <c:pt idx="16">
                  <c:v>137.552002856</c:v>
                </c:pt>
                <c:pt idx="17">
                  <c:v>150.74945294899999</c:v>
                </c:pt>
                <c:pt idx="18">
                  <c:v>181.23056886200001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C8-4908-BD54-365A6A008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08640"/>
        <c:axId val="192232064"/>
      </c:barChart>
      <c:lineChart>
        <c:grouping val="standard"/>
        <c:varyColors val="0"/>
        <c:ser>
          <c:idx val="1"/>
          <c:order val="1"/>
          <c:tx>
            <c:v>EXP. AGRONEGÓCIO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'ANGELICA - 2019\2 Submetido\Jornadas\[AgroBra_2000-2018.xls]BC-1997-2017'!$A$11:$A$29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'ANGELICA - 2019\2 Submetido\Jornadas\[AgroBra_2000-2018.xls]BC-1997-2017'!$C$11:$C$29</c:f>
              <c:numCache>
                <c:formatCode>General</c:formatCode>
                <c:ptCount val="19"/>
                <c:pt idx="0">
                  <c:v>20.604688421999999</c:v>
                </c:pt>
                <c:pt idx="1">
                  <c:v>23.866392307000002</c:v>
                </c:pt>
                <c:pt idx="2">
                  <c:v>24.845719583000001</c:v>
                </c:pt>
                <c:pt idx="3">
                  <c:v>30.653058677000001</c:v>
                </c:pt>
                <c:pt idx="4">
                  <c:v>39.035311999000001</c:v>
                </c:pt>
                <c:pt idx="5">
                  <c:v>43.623381784999999</c:v>
                </c:pt>
                <c:pt idx="6">
                  <c:v>49.471020801999998</c:v>
                </c:pt>
                <c:pt idx="7">
                  <c:v>58.431402630999997</c:v>
                </c:pt>
                <c:pt idx="8">
                  <c:v>71.837325045</c:v>
                </c:pt>
                <c:pt idx="9">
                  <c:v>64.785618252999996</c:v>
                </c:pt>
                <c:pt idx="10">
                  <c:v>76.441941249999999</c:v>
                </c:pt>
                <c:pt idx="11">
                  <c:v>94.967647423000003</c:v>
                </c:pt>
                <c:pt idx="12">
                  <c:v>95.814178119999994</c:v>
                </c:pt>
                <c:pt idx="13">
                  <c:v>99.967783916000002</c:v>
                </c:pt>
                <c:pt idx="14">
                  <c:v>96.747880752</c:v>
                </c:pt>
                <c:pt idx="15">
                  <c:v>88.224118308000001</c:v>
                </c:pt>
                <c:pt idx="16">
                  <c:v>84.934587248</c:v>
                </c:pt>
                <c:pt idx="17">
                  <c:v>96.014240323999999</c:v>
                </c:pt>
                <c:pt idx="18">
                  <c:v>101.685810977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C8-4908-BD54-365A6A008F3B}"/>
            </c:ext>
          </c:extLst>
        </c:ser>
        <c:ser>
          <c:idx val="3"/>
          <c:order val="3"/>
          <c:tx>
            <c:v>IMP. AGRONEGÓCIO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'ANGELICA - 2019\2 Submetido\Jornadas\[AgroBra_2000-2018.xls]BC-1997-2017'!$A$11:$A$29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'ANGELICA - 2019\2 Submetido\Jornadas\[AgroBra_2000-2018.xls]BC-1997-2017'!$F$11:$F$29</c:f>
              <c:numCache>
                <c:formatCode>General</c:formatCode>
                <c:ptCount val="19"/>
                <c:pt idx="0">
                  <c:v>5.7592832749999996</c:v>
                </c:pt>
                <c:pt idx="1">
                  <c:v>4.8050345700000001</c:v>
                </c:pt>
                <c:pt idx="2">
                  <c:v>4.4519563169999996</c:v>
                </c:pt>
                <c:pt idx="3">
                  <c:v>4.7504008100000004</c:v>
                </c:pt>
                <c:pt idx="4">
                  <c:v>4.8357562070000002</c:v>
                </c:pt>
                <c:pt idx="5">
                  <c:v>5.112050837</c:v>
                </c:pt>
                <c:pt idx="6">
                  <c:v>6.6986411720000003</c:v>
                </c:pt>
                <c:pt idx="7">
                  <c:v>8.7322691480000003</c:v>
                </c:pt>
                <c:pt idx="8">
                  <c:v>11.880651670000001</c:v>
                </c:pt>
                <c:pt idx="9">
                  <c:v>9.9004735999999998</c:v>
                </c:pt>
                <c:pt idx="10">
                  <c:v>13.398887235</c:v>
                </c:pt>
                <c:pt idx="11">
                  <c:v>17.507977716999999</c:v>
                </c:pt>
                <c:pt idx="12">
                  <c:v>16.409096890000001</c:v>
                </c:pt>
                <c:pt idx="13">
                  <c:v>17.060577334000001</c:v>
                </c:pt>
                <c:pt idx="14">
                  <c:v>16.613765682</c:v>
                </c:pt>
                <c:pt idx="15">
                  <c:v>13.073106742</c:v>
                </c:pt>
                <c:pt idx="16">
                  <c:v>13.627522888</c:v>
                </c:pt>
                <c:pt idx="17">
                  <c:v>14.152999527</c:v>
                </c:pt>
                <c:pt idx="18">
                  <c:v>14.037591057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2C8-4908-BD54-365A6A008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08640"/>
        <c:axId val="192232064"/>
      </c:lineChart>
      <c:catAx>
        <c:axId val="1660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333333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pt-BR"/>
          </a:p>
        </c:txPr>
        <c:crossAx val="192232064"/>
        <c:crosses val="autoZero"/>
        <c:auto val="1"/>
        <c:lblAlgn val="ctr"/>
        <c:lblOffset val="100"/>
        <c:noMultiLvlLbl val="0"/>
      </c:catAx>
      <c:valAx>
        <c:axId val="19223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;[Red]\-#,##0\ 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333333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pt-BR"/>
          </a:p>
        </c:txPr>
        <c:crossAx val="166086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6198685470722842E-2"/>
          <c:y val="0.8242775976532345"/>
          <c:w val="0.82520752454689683"/>
          <c:h val="6.6079666512274149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333333"/>
              </a:solidFill>
              <a:latin typeface="Times New Roman" panose="02020603050405020304" pitchFamily="18" charset="0"/>
              <a:ea typeface="Calibri"/>
              <a:cs typeface="Calibri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0.08565</cdr:x>
      <cdr:y>0.06265</cdr:y>
    </cdr:from>
    <cdr:to>
      <cdr:x>0.22095</cdr:x>
      <cdr:y>0.13216</cdr:y>
    </cdr:to>
    <cdr:sp macro="" textlink="">
      <cdr:nvSpPr>
        <cdr:cNvPr id="4" name="CaixaDeTexto 1"/>
        <cdr:cNvSpPr txBox="1"/>
      </cdr:nvSpPr>
      <cdr:spPr>
        <a:xfrm xmlns:a="http://schemas.openxmlformats.org/drawingml/2006/main">
          <a:off x="498475" y="203200"/>
          <a:ext cx="787401" cy="225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t-BR" sz="8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US$</a:t>
          </a:r>
          <a:r>
            <a:rPr lang="pt-BR" sz="8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bilhões</a:t>
          </a:r>
          <a:endParaRPr lang="pt-BR" sz="800">
            <a:solidFill>
              <a:schemeClr val="tx1">
                <a:lumMod val="65000"/>
                <a:lumOff val="3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473C-FE40-4C97-A92A-18A97953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6523</Words>
  <Characters>35227</Characters>
  <Application>Microsoft Office Word</Application>
  <DocSecurity>0</DocSecurity>
  <Lines>293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</vt:lpstr>
    </vt:vector>
  </TitlesOfParts>
  <Company>Universidade dos Açores - CAH</Company>
  <LinksUpToDate>false</LinksUpToDate>
  <CharactersWithSpaces>41667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AFCosta</dc:creator>
  <cp:keywords/>
  <cp:lastModifiedBy>Angelica</cp:lastModifiedBy>
  <cp:revision>40</cp:revision>
  <dcterms:created xsi:type="dcterms:W3CDTF">2019-08-24T21:53:00Z</dcterms:created>
  <dcterms:modified xsi:type="dcterms:W3CDTF">2019-08-25T22:17:00Z</dcterms:modified>
</cp:coreProperties>
</file>