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67D7A" w14:textId="77777777" w:rsidR="00287B92" w:rsidRPr="00477763" w:rsidRDefault="00287B92" w:rsidP="00777CCA">
      <w:pPr>
        <w:jc w:val="center"/>
        <w:rPr>
          <w:b/>
          <w:sz w:val="28"/>
          <w:szCs w:val="28"/>
          <w:lang w:val="es-AR"/>
        </w:rPr>
      </w:pPr>
      <w:r w:rsidRPr="00477763">
        <w:rPr>
          <w:b/>
          <w:sz w:val="28"/>
          <w:szCs w:val="28"/>
          <w:lang w:val="es-AR"/>
        </w:rPr>
        <w:t>NUEVAS PRÁCTICAS DE GOBERNANZA EN EL ÁMBITO DEL AGRONEGOCIO GLOBALIZADO EN EL CERRADO BRASILEÑO</w:t>
      </w:r>
    </w:p>
    <w:p w14:paraId="53E53DB0" w14:textId="77777777" w:rsidR="00595ACB" w:rsidRPr="00477763" w:rsidRDefault="00595ACB" w:rsidP="00777CCA">
      <w:pPr>
        <w:spacing w:after="0" w:line="240" w:lineRule="auto"/>
        <w:jc w:val="right"/>
        <w:rPr>
          <w:rFonts w:cs="Times New Roman"/>
          <w:sz w:val="20"/>
          <w:szCs w:val="20"/>
          <w:lang w:val="es-AR"/>
        </w:rPr>
      </w:pPr>
      <w:r w:rsidRPr="00477763">
        <w:rPr>
          <w:rFonts w:cs="Times New Roman"/>
          <w:sz w:val="20"/>
          <w:szCs w:val="20"/>
          <w:lang w:val="es-AR"/>
        </w:rPr>
        <w:t xml:space="preserve">Werlen Gonçalves </w:t>
      </w:r>
      <w:r w:rsidR="005225BE" w:rsidRPr="00477763">
        <w:rPr>
          <w:rFonts w:cs="Times New Roman"/>
          <w:sz w:val="20"/>
          <w:szCs w:val="20"/>
          <w:lang w:val="es-AR"/>
        </w:rPr>
        <w:t>Raasch</w:t>
      </w:r>
    </w:p>
    <w:p w14:paraId="1C7C628E" w14:textId="574B4F04" w:rsidR="005225BE" w:rsidRPr="00477763" w:rsidRDefault="00287B92" w:rsidP="00777CCA">
      <w:pPr>
        <w:spacing w:after="0" w:line="240" w:lineRule="auto"/>
        <w:jc w:val="right"/>
        <w:rPr>
          <w:rFonts w:cs="Times New Roman"/>
          <w:sz w:val="20"/>
          <w:szCs w:val="20"/>
          <w:lang w:val="es-AR"/>
        </w:rPr>
      </w:pPr>
      <w:r w:rsidRPr="00477763">
        <w:rPr>
          <w:rFonts w:cs="Times New Roman"/>
          <w:sz w:val="20"/>
          <w:szCs w:val="20"/>
          <w:lang w:val="es-AR"/>
        </w:rPr>
        <w:t>Estudiando Master e</w:t>
      </w:r>
      <w:r w:rsidR="00522F11" w:rsidRPr="00477763">
        <w:rPr>
          <w:rFonts w:cs="Times New Roman"/>
          <w:sz w:val="20"/>
          <w:szCs w:val="20"/>
          <w:lang w:val="es-AR"/>
        </w:rPr>
        <w:t>n</w:t>
      </w:r>
      <w:r w:rsidRPr="00477763">
        <w:rPr>
          <w:rFonts w:cs="Times New Roman"/>
          <w:sz w:val="20"/>
          <w:szCs w:val="20"/>
          <w:lang w:val="es-AR"/>
        </w:rPr>
        <w:t xml:space="preserve"> </w:t>
      </w:r>
      <w:r w:rsidR="00477763" w:rsidRPr="00477763">
        <w:rPr>
          <w:rFonts w:cs="Times New Roman"/>
          <w:sz w:val="20"/>
          <w:szCs w:val="20"/>
          <w:lang w:val="es-AR"/>
        </w:rPr>
        <w:t>Geografía</w:t>
      </w:r>
      <w:r w:rsidRPr="00477763">
        <w:rPr>
          <w:rFonts w:cs="Times New Roman"/>
          <w:sz w:val="20"/>
          <w:szCs w:val="20"/>
          <w:lang w:val="es-AR"/>
        </w:rPr>
        <w:t xml:space="preserve"> en la Universidad de </w:t>
      </w:r>
      <w:proofErr w:type="spellStart"/>
      <w:r w:rsidRPr="00477763">
        <w:rPr>
          <w:rFonts w:cs="Times New Roman"/>
          <w:sz w:val="20"/>
          <w:szCs w:val="20"/>
          <w:lang w:val="es-AR"/>
        </w:rPr>
        <w:t>Brasília</w:t>
      </w:r>
      <w:proofErr w:type="spellEnd"/>
    </w:p>
    <w:p w14:paraId="6ADD9E5A" w14:textId="77777777" w:rsidR="005225BE" w:rsidRPr="00477763" w:rsidRDefault="005225BE" w:rsidP="00777CCA">
      <w:pPr>
        <w:spacing w:after="0" w:line="240" w:lineRule="auto"/>
        <w:jc w:val="right"/>
        <w:rPr>
          <w:rFonts w:cs="Times New Roman"/>
          <w:sz w:val="20"/>
          <w:szCs w:val="20"/>
          <w:lang w:val="es-AR"/>
        </w:rPr>
      </w:pPr>
      <w:r w:rsidRPr="00477763">
        <w:rPr>
          <w:rFonts w:cs="Times New Roman"/>
          <w:sz w:val="20"/>
          <w:szCs w:val="20"/>
          <w:lang w:val="es-AR"/>
        </w:rPr>
        <w:t>Werlen_raasch@hotmail.com</w:t>
      </w:r>
    </w:p>
    <w:p w14:paraId="5310C872" w14:textId="77777777" w:rsidR="00EA7B16" w:rsidRPr="00477763" w:rsidRDefault="00EA7B16" w:rsidP="00777CCA">
      <w:pPr>
        <w:spacing w:after="0" w:line="240" w:lineRule="auto"/>
        <w:jc w:val="right"/>
        <w:rPr>
          <w:rFonts w:cs="Times New Roman"/>
          <w:sz w:val="20"/>
          <w:szCs w:val="20"/>
          <w:lang w:val="es-AR"/>
        </w:rPr>
      </w:pPr>
      <w:r w:rsidRPr="00477763">
        <w:rPr>
          <w:rFonts w:cs="Times New Roman"/>
          <w:sz w:val="20"/>
          <w:szCs w:val="20"/>
          <w:lang w:val="es-AR"/>
        </w:rPr>
        <w:t xml:space="preserve">EJE TEMÁTICO “12”  </w:t>
      </w:r>
    </w:p>
    <w:p w14:paraId="45E6B107" w14:textId="77777777" w:rsidR="00EA7B16" w:rsidRPr="00477763" w:rsidRDefault="00EA7B16" w:rsidP="00777CCA">
      <w:pPr>
        <w:spacing w:after="0" w:line="240" w:lineRule="auto"/>
        <w:ind w:firstLine="851"/>
        <w:jc w:val="right"/>
        <w:rPr>
          <w:rFonts w:cs="Times New Roman"/>
          <w:szCs w:val="24"/>
          <w:lang w:val="es-AR"/>
        </w:rPr>
      </w:pPr>
    </w:p>
    <w:p w14:paraId="43193A53" w14:textId="5A97D631" w:rsidR="00522F11" w:rsidRPr="00477763" w:rsidRDefault="00522F11" w:rsidP="00777CCA">
      <w:pPr>
        <w:spacing w:line="240" w:lineRule="auto"/>
        <w:rPr>
          <w:b/>
          <w:bCs/>
          <w:color w:val="auto"/>
          <w:sz w:val="28"/>
          <w:szCs w:val="28"/>
          <w:lang w:val="es-AR"/>
        </w:rPr>
      </w:pPr>
      <w:r w:rsidRPr="00477763">
        <w:rPr>
          <w:b/>
          <w:bCs/>
          <w:color w:val="auto"/>
          <w:sz w:val="28"/>
          <w:szCs w:val="28"/>
          <w:lang w:val="es-AR"/>
        </w:rPr>
        <w:t>Resumen</w:t>
      </w:r>
    </w:p>
    <w:p w14:paraId="63340B9F" w14:textId="4FF1ACFD" w:rsidR="00287B92" w:rsidRPr="00477763" w:rsidRDefault="00287B92" w:rsidP="00777CCA">
      <w:pPr>
        <w:spacing w:line="240" w:lineRule="auto"/>
        <w:rPr>
          <w:color w:val="auto"/>
          <w:sz w:val="20"/>
          <w:szCs w:val="20"/>
          <w:lang w:val="es-AR"/>
        </w:rPr>
      </w:pPr>
      <w:r w:rsidRPr="00477763">
        <w:rPr>
          <w:color w:val="auto"/>
          <w:sz w:val="20"/>
          <w:szCs w:val="20"/>
          <w:lang w:val="es-AR"/>
        </w:rPr>
        <w:t>Los actores de la modernización agrícola están cada vez más presionados por los consumidores y</w:t>
      </w:r>
      <w:r w:rsidRPr="00477763">
        <w:rPr>
          <w:color w:val="FF0000"/>
          <w:sz w:val="20"/>
          <w:szCs w:val="20"/>
          <w:lang w:val="es-AR"/>
        </w:rPr>
        <w:t xml:space="preserve"> </w:t>
      </w:r>
      <w:r w:rsidRPr="00477763">
        <w:rPr>
          <w:sz w:val="20"/>
          <w:szCs w:val="20"/>
          <w:lang w:val="es-AR"/>
        </w:rPr>
        <w:t xml:space="preserve">la sociedad civil </w:t>
      </w:r>
      <w:r w:rsidRPr="00477763">
        <w:rPr>
          <w:color w:val="auto"/>
          <w:sz w:val="20"/>
          <w:szCs w:val="20"/>
          <w:lang w:val="es-AR"/>
        </w:rPr>
        <w:t xml:space="preserve">a aplicar buenas prácticas socioambientales. La confiabilidad en las relaciones implicadas en las cadenas productivas genera nuevas prácticas de gobernanza, ya que </w:t>
      </w:r>
      <w:proofErr w:type="spellStart"/>
      <w:r w:rsidRPr="00477763">
        <w:rPr>
          <w:i/>
          <w:color w:val="auto"/>
          <w:sz w:val="20"/>
          <w:szCs w:val="20"/>
          <w:lang w:val="es-AR"/>
        </w:rPr>
        <w:t>stakeholders</w:t>
      </w:r>
      <w:proofErr w:type="spellEnd"/>
      <w:r w:rsidRPr="00477763">
        <w:rPr>
          <w:color w:val="auto"/>
          <w:sz w:val="20"/>
          <w:szCs w:val="20"/>
          <w:lang w:val="es-AR"/>
        </w:rPr>
        <w:t xml:space="preserve"> globales discuten los métodos de las redes agroalimentarias en dimensiones económicas, sociales, culturales y ambientales. Esta investigación busca identificar nuevas prácticas de gobernanza en el agronegocio globalizado en el Cerrado brasileño. La Moratoria de la Soja fue una cooperación empresarial entre los </w:t>
      </w:r>
      <w:proofErr w:type="spellStart"/>
      <w:r w:rsidRPr="00477763">
        <w:rPr>
          <w:i/>
          <w:color w:val="auto"/>
          <w:sz w:val="20"/>
          <w:szCs w:val="20"/>
          <w:lang w:val="es-AR"/>
        </w:rPr>
        <w:t>stakeholders</w:t>
      </w:r>
      <w:proofErr w:type="spellEnd"/>
      <w:r w:rsidRPr="00477763">
        <w:rPr>
          <w:color w:val="auto"/>
          <w:sz w:val="20"/>
          <w:szCs w:val="20"/>
          <w:lang w:val="es-AR"/>
        </w:rPr>
        <w:t xml:space="preserve"> de la cadena de la soja. De ese arreglo institucional público-privado, se originó el programa Soja Plus, un </w:t>
      </w:r>
      <w:r w:rsidRPr="00477763">
        <w:rPr>
          <w:i/>
          <w:color w:val="auto"/>
          <w:sz w:val="20"/>
          <w:szCs w:val="20"/>
          <w:lang w:val="es-AR"/>
        </w:rPr>
        <w:t>standard</w:t>
      </w:r>
      <w:r w:rsidRPr="00477763">
        <w:rPr>
          <w:color w:val="auto"/>
          <w:sz w:val="20"/>
          <w:szCs w:val="20"/>
          <w:lang w:val="es-AR"/>
        </w:rPr>
        <w:t xml:space="preserve"> socioambiental brasileño. En esta perspectiva, surgió para la soja responsable la </w:t>
      </w:r>
      <w:r w:rsidRPr="00477763">
        <w:rPr>
          <w:i/>
          <w:color w:val="auto"/>
          <w:sz w:val="20"/>
          <w:szCs w:val="20"/>
          <w:lang w:val="es-AR"/>
        </w:rPr>
        <w:t xml:space="preserve">multi-stakeholder </w:t>
      </w:r>
      <w:r w:rsidRPr="00477763">
        <w:rPr>
          <w:i/>
          <w:sz w:val="20"/>
          <w:szCs w:val="20"/>
          <w:lang w:val="es-AR"/>
        </w:rPr>
        <w:t>Round Table on Responsible Soy</w:t>
      </w:r>
      <w:r w:rsidRPr="00477763">
        <w:rPr>
          <w:color w:val="auto"/>
          <w:sz w:val="20"/>
          <w:szCs w:val="20"/>
          <w:lang w:val="es-AR"/>
        </w:rPr>
        <w:t xml:space="preserve"> y el </w:t>
      </w:r>
      <w:r w:rsidRPr="00AB1C68">
        <w:rPr>
          <w:iCs/>
          <w:color w:val="auto"/>
          <w:sz w:val="20"/>
          <w:szCs w:val="20"/>
          <w:lang w:val="es-AR"/>
        </w:rPr>
        <w:t xml:space="preserve">Instituto </w:t>
      </w:r>
      <w:proofErr w:type="spellStart"/>
      <w:r w:rsidRPr="00AB1C68">
        <w:rPr>
          <w:iCs/>
          <w:color w:val="auto"/>
          <w:sz w:val="20"/>
          <w:szCs w:val="20"/>
          <w:lang w:val="es-AR"/>
        </w:rPr>
        <w:t>Algodão</w:t>
      </w:r>
      <w:proofErr w:type="spellEnd"/>
      <w:r w:rsidRPr="00AB1C68">
        <w:rPr>
          <w:iCs/>
          <w:color w:val="auto"/>
          <w:sz w:val="20"/>
          <w:szCs w:val="20"/>
          <w:lang w:val="es-AR"/>
        </w:rPr>
        <w:t xml:space="preserve"> Social.</w:t>
      </w:r>
      <w:r w:rsidRPr="00477763">
        <w:rPr>
          <w:color w:val="auto"/>
          <w:sz w:val="20"/>
          <w:szCs w:val="20"/>
          <w:lang w:val="es-AR"/>
        </w:rPr>
        <w:t xml:space="preserve"> La Rede Cerrado reúne más de 300 entidades que trabajan hacia la sostenibilidad de los pueblos tradicionales en ese bioma. Aunque las </w:t>
      </w:r>
      <w:r w:rsidRPr="00477763">
        <w:rPr>
          <w:i/>
          <w:color w:val="auto"/>
          <w:sz w:val="20"/>
          <w:szCs w:val="20"/>
          <w:lang w:val="es-AR"/>
        </w:rPr>
        <w:t xml:space="preserve">Global </w:t>
      </w:r>
      <w:proofErr w:type="spellStart"/>
      <w:r w:rsidRPr="00477763">
        <w:rPr>
          <w:i/>
          <w:color w:val="auto"/>
          <w:sz w:val="20"/>
          <w:szCs w:val="20"/>
          <w:lang w:val="es-AR"/>
        </w:rPr>
        <w:t>Players</w:t>
      </w:r>
      <w:proofErr w:type="spellEnd"/>
      <w:r w:rsidRPr="00477763">
        <w:rPr>
          <w:color w:val="auto"/>
          <w:sz w:val="20"/>
          <w:szCs w:val="20"/>
          <w:lang w:val="es-AR"/>
        </w:rPr>
        <w:t xml:space="preserve"> actúen en las decisiones políticas, emergen nuevos actores para descentralizar el poder corporativo y estatal, creando formas de regulación con impactos espaciales en el campo y en la ciudad. Estas organizaciones ejemplifican una nueva gobernanza comprendiendo una pluralidad de actores no-gubernamentales que mantienen los enlaces institucionales, en varias escalas espaciales.</w:t>
      </w:r>
    </w:p>
    <w:p w14:paraId="05863AA8" w14:textId="3A2F1414" w:rsidR="00477763" w:rsidRPr="00477763" w:rsidRDefault="00477763" w:rsidP="00777CCA">
      <w:pPr>
        <w:spacing w:line="240" w:lineRule="auto"/>
        <w:rPr>
          <w:color w:val="auto"/>
          <w:sz w:val="20"/>
          <w:szCs w:val="20"/>
          <w:lang w:val="es-AR"/>
        </w:rPr>
      </w:pPr>
      <w:r w:rsidRPr="00477763">
        <w:rPr>
          <w:color w:val="auto"/>
          <w:sz w:val="20"/>
          <w:szCs w:val="20"/>
          <w:lang w:val="es-AR"/>
        </w:rPr>
        <w:t>Palabras clave: Gobernanza;</w:t>
      </w:r>
      <w:r w:rsidR="00716585">
        <w:rPr>
          <w:color w:val="auto"/>
          <w:sz w:val="20"/>
          <w:szCs w:val="20"/>
          <w:lang w:val="es-AR"/>
        </w:rPr>
        <w:t xml:space="preserve"> Territorio. </w:t>
      </w:r>
      <w:r w:rsidRPr="00477763">
        <w:rPr>
          <w:color w:val="auto"/>
          <w:sz w:val="20"/>
          <w:szCs w:val="20"/>
          <w:lang w:val="es-AR"/>
        </w:rPr>
        <w:t>Agronegocio; Cerrado brasileño.</w:t>
      </w:r>
    </w:p>
    <w:p w14:paraId="17545255" w14:textId="316377A4" w:rsidR="00344332" w:rsidRPr="00477763" w:rsidRDefault="00344332" w:rsidP="00777CCA">
      <w:pPr>
        <w:spacing w:after="0" w:line="240" w:lineRule="auto"/>
        <w:ind w:firstLine="851"/>
        <w:jc w:val="center"/>
        <w:rPr>
          <w:rFonts w:cs="Times New Roman"/>
          <w:b/>
          <w:szCs w:val="24"/>
          <w:lang w:val="es-ES"/>
        </w:rPr>
      </w:pPr>
    </w:p>
    <w:p w14:paraId="55F04CFF" w14:textId="6597865F" w:rsidR="00522F11" w:rsidRPr="00477763" w:rsidRDefault="00522F11" w:rsidP="00777CCA">
      <w:pPr>
        <w:spacing w:line="240" w:lineRule="auto"/>
        <w:rPr>
          <w:rFonts w:cs="Times New Roman"/>
          <w:b/>
          <w:sz w:val="28"/>
          <w:szCs w:val="28"/>
        </w:rPr>
      </w:pPr>
      <w:r w:rsidRPr="00477763">
        <w:rPr>
          <w:rFonts w:cs="Times New Roman"/>
          <w:b/>
          <w:sz w:val="28"/>
          <w:szCs w:val="28"/>
        </w:rPr>
        <w:t>Resumo</w:t>
      </w:r>
    </w:p>
    <w:p w14:paraId="05254B7A" w14:textId="21A38E53" w:rsidR="00B81992" w:rsidRPr="00477763" w:rsidRDefault="00522F11" w:rsidP="00777CCA">
      <w:pPr>
        <w:spacing w:after="0" w:line="240" w:lineRule="auto"/>
        <w:rPr>
          <w:iCs/>
          <w:color w:val="auto"/>
          <w:sz w:val="20"/>
          <w:szCs w:val="20"/>
        </w:rPr>
      </w:pPr>
      <w:r w:rsidRPr="00477763">
        <w:rPr>
          <w:iCs/>
          <w:color w:val="auto"/>
          <w:sz w:val="20"/>
          <w:szCs w:val="20"/>
        </w:rPr>
        <w:t xml:space="preserve">Os atores da modernização agrícola estão cada vez mais pressionadas pelos consumidores e sociedade civil a aplicarem boas práticas socioambientais. A confiabilidade nas relações entre as partes interessadas nas cadeias produtiva vem gerando novas práticas de governança, uma vez que </w:t>
      </w:r>
      <w:r w:rsidRPr="00AB1C68">
        <w:rPr>
          <w:i/>
          <w:color w:val="auto"/>
          <w:sz w:val="20"/>
          <w:szCs w:val="20"/>
        </w:rPr>
        <w:t>stakeholders</w:t>
      </w:r>
      <w:r w:rsidRPr="00477763">
        <w:rPr>
          <w:iCs/>
          <w:color w:val="auto"/>
          <w:sz w:val="20"/>
          <w:szCs w:val="20"/>
        </w:rPr>
        <w:t xml:space="preserve"> globais debatem os métodos das redes agroalimentares nas dimensões econômicas, sociais, culturais e ambientais. Esta pesquisa propõe identificar novas práticas de governança realizadas no âmbito do agronegócio globalizado no cerrado brasileiro. A Moratória da Soja foi uma cooperação empresarial entre stakeholders da cadeia de sojicultura. Deste arranjo institucional privado-público, originou-se o programa Soja Plus, um </w:t>
      </w:r>
      <w:r w:rsidRPr="00AB1C68">
        <w:rPr>
          <w:i/>
          <w:color w:val="auto"/>
          <w:sz w:val="20"/>
          <w:szCs w:val="20"/>
        </w:rPr>
        <w:t>standard</w:t>
      </w:r>
      <w:r w:rsidRPr="00477763">
        <w:rPr>
          <w:iCs/>
          <w:color w:val="auto"/>
          <w:sz w:val="20"/>
          <w:szCs w:val="20"/>
        </w:rPr>
        <w:t xml:space="preserve"> socioambiental brasileiro. Nesta perspectiva, surgiu a </w:t>
      </w:r>
      <w:r w:rsidRPr="00AB1C68">
        <w:rPr>
          <w:i/>
          <w:color w:val="auto"/>
          <w:sz w:val="20"/>
          <w:szCs w:val="20"/>
        </w:rPr>
        <w:t>multi-stakeholder</w:t>
      </w:r>
      <w:r w:rsidRPr="00477763">
        <w:rPr>
          <w:iCs/>
          <w:color w:val="auto"/>
          <w:sz w:val="20"/>
          <w:szCs w:val="20"/>
        </w:rPr>
        <w:t xml:space="preserve"> para soja responsável Round Table on Responsible Soy e o Instituto Algodão Social. A Rede Cerrado congrega mais de 300 entidades trabalhando para a promoção da sustentabilidade e dos povos tradicionais no bioma. Ainda que as Global </w:t>
      </w:r>
      <w:r w:rsidR="00477763">
        <w:rPr>
          <w:iCs/>
          <w:color w:val="auto"/>
          <w:sz w:val="20"/>
          <w:szCs w:val="20"/>
        </w:rPr>
        <w:t>P</w:t>
      </w:r>
      <w:r w:rsidRPr="00477763">
        <w:rPr>
          <w:iCs/>
          <w:color w:val="auto"/>
          <w:sz w:val="20"/>
          <w:szCs w:val="20"/>
        </w:rPr>
        <w:t>layers atuam nas decisões políticas, emergem novos atores para descentralizar o poder corporativo e estatal (poder brando), criando formas de regulação propulsoras de impactos espaciais no campo e cidade. Essas organizações são um exemplo de nova governança - irrestrita as práticas governamentais/estatais -, compreendendo uma pluralidade de atores demasiadamente não-governamentais, mas mantendo os elos institucionais, em escalas espaciais diversas.</w:t>
      </w:r>
    </w:p>
    <w:p w14:paraId="7EEE84BD" w14:textId="1F674E22" w:rsidR="00477763" w:rsidRPr="00477763" w:rsidRDefault="00477763" w:rsidP="00777CCA">
      <w:pPr>
        <w:spacing w:after="0" w:line="240" w:lineRule="auto"/>
        <w:ind w:firstLine="851"/>
        <w:rPr>
          <w:iCs/>
          <w:color w:val="auto"/>
          <w:sz w:val="20"/>
          <w:szCs w:val="20"/>
        </w:rPr>
      </w:pPr>
    </w:p>
    <w:p w14:paraId="592D3169" w14:textId="7AB945A7" w:rsidR="00477763" w:rsidRPr="00477763" w:rsidRDefault="00477763" w:rsidP="00777CCA">
      <w:pPr>
        <w:spacing w:after="0" w:line="240" w:lineRule="auto"/>
        <w:rPr>
          <w:iCs/>
          <w:color w:val="auto"/>
          <w:sz w:val="20"/>
          <w:szCs w:val="20"/>
        </w:rPr>
      </w:pPr>
      <w:r w:rsidRPr="00477763">
        <w:rPr>
          <w:iCs/>
          <w:color w:val="auto"/>
          <w:sz w:val="20"/>
          <w:szCs w:val="20"/>
        </w:rPr>
        <w:t xml:space="preserve">Palavras-chave: Governança; </w:t>
      </w:r>
      <w:r w:rsidR="00716585">
        <w:rPr>
          <w:iCs/>
          <w:color w:val="auto"/>
          <w:sz w:val="20"/>
          <w:szCs w:val="20"/>
        </w:rPr>
        <w:t xml:space="preserve">Território; </w:t>
      </w:r>
      <w:r w:rsidRPr="00477763">
        <w:rPr>
          <w:iCs/>
          <w:color w:val="auto"/>
          <w:sz w:val="20"/>
          <w:szCs w:val="20"/>
        </w:rPr>
        <w:t>Agronegócio; Cerrado brasileiro.</w:t>
      </w:r>
    </w:p>
    <w:p w14:paraId="17A8A686" w14:textId="1F7E2EEF" w:rsidR="00B81992" w:rsidRPr="00477763" w:rsidRDefault="00B81992" w:rsidP="00777CCA">
      <w:pPr>
        <w:spacing w:line="240" w:lineRule="auto"/>
        <w:ind w:firstLine="851"/>
        <w:jc w:val="center"/>
        <w:rPr>
          <w:rFonts w:cs="Times New Roman"/>
          <w:b/>
          <w:sz w:val="28"/>
          <w:szCs w:val="28"/>
          <w:lang w:val="es-ES"/>
        </w:rPr>
      </w:pPr>
    </w:p>
    <w:p w14:paraId="46DB37D4" w14:textId="7B281F62" w:rsidR="00477763" w:rsidRDefault="00477763" w:rsidP="00777CCA">
      <w:pPr>
        <w:spacing w:line="240" w:lineRule="auto"/>
        <w:ind w:firstLine="851"/>
        <w:rPr>
          <w:rFonts w:cs="Times New Roman"/>
          <w:b/>
          <w:sz w:val="28"/>
          <w:szCs w:val="28"/>
        </w:rPr>
      </w:pPr>
    </w:p>
    <w:p w14:paraId="456FD084" w14:textId="6D9F2115" w:rsidR="00B81992" w:rsidRDefault="00B81992" w:rsidP="00777CCA">
      <w:pPr>
        <w:spacing w:line="240" w:lineRule="auto"/>
        <w:ind w:firstLine="851"/>
        <w:jc w:val="center"/>
        <w:rPr>
          <w:rFonts w:cs="Times New Roman"/>
          <w:b/>
          <w:sz w:val="28"/>
          <w:szCs w:val="28"/>
        </w:rPr>
      </w:pPr>
    </w:p>
    <w:p w14:paraId="0CC50743" w14:textId="7DB446B7" w:rsidR="00B81992" w:rsidRDefault="00B81992" w:rsidP="00777CCA">
      <w:pPr>
        <w:spacing w:line="240" w:lineRule="auto"/>
        <w:ind w:firstLine="851"/>
        <w:jc w:val="center"/>
        <w:rPr>
          <w:rFonts w:cs="Times New Roman"/>
          <w:b/>
          <w:sz w:val="28"/>
          <w:szCs w:val="28"/>
        </w:rPr>
      </w:pPr>
    </w:p>
    <w:p w14:paraId="0809CF39" w14:textId="7B5F712E" w:rsidR="00B81992" w:rsidRDefault="00B81992" w:rsidP="00777CCA">
      <w:pPr>
        <w:spacing w:line="240" w:lineRule="auto"/>
        <w:ind w:firstLine="851"/>
        <w:jc w:val="center"/>
        <w:rPr>
          <w:rFonts w:cs="Times New Roman"/>
          <w:b/>
          <w:sz w:val="28"/>
          <w:szCs w:val="28"/>
        </w:rPr>
      </w:pPr>
    </w:p>
    <w:p w14:paraId="1785E9C0" w14:textId="07651DEE" w:rsidR="00B81992" w:rsidRDefault="00B81992" w:rsidP="00777CCA">
      <w:pPr>
        <w:spacing w:line="240" w:lineRule="auto"/>
        <w:ind w:firstLine="851"/>
        <w:jc w:val="center"/>
        <w:rPr>
          <w:rFonts w:cs="Times New Roman"/>
          <w:b/>
          <w:sz w:val="28"/>
          <w:szCs w:val="28"/>
        </w:rPr>
      </w:pPr>
    </w:p>
    <w:p w14:paraId="48AA4696" w14:textId="3450E6F5" w:rsidR="00FD6573" w:rsidRPr="00437704" w:rsidRDefault="00B81992" w:rsidP="00777CCA">
      <w:pPr>
        <w:spacing w:after="0" w:line="240" w:lineRule="auto"/>
        <w:jc w:val="center"/>
        <w:rPr>
          <w:rFonts w:cs="Times New Roman"/>
          <w:b/>
          <w:bCs/>
          <w:color w:val="auto"/>
          <w:szCs w:val="24"/>
        </w:rPr>
      </w:pPr>
      <w:r w:rsidRPr="00437704">
        <w:rPr>
          <w:rFonts w:cs="Times New Roman"/>
          <w:b/>
          <w:bCs/>
          <w:color w:val="auto"/>
          <w:szCs w:val="24"/>
        </w:rPr>
        <w:lastRenderedPageBreak/>
        <w:t>INTRODUÇÃO</w:t>
      </w:r>
    </w:p>
    <w:p w14:paraId="0DA7E2D3" w14:textId="1CD1313A" w:rsidR="00475522" w:rsidRPr="00E933EE" w:rsidRDefault="00475522" w:rsidP="00777CCA">
      <w:pPr>
        <w:spacing w:after="0"/>
        <w:ind w:firstLine="851"/>
        <w:jc w:val="center"/>
        <w:rPr>
          <w:rFonts w:cs="Times New Roman"/>
          <w:color w:val="auto"/>
          <w:szCs w:val="24"/>
        </w:rPr>
      </w:pPr>
    </w:p>
    <w:p w14:paraId="16F70F4A" w14:textId="1E109218" w:rsidR="008722C5" w:rsidRPr="008722C5" w:rsidRDefault="008722C5" w:rsidP="00777CCA">
      <w:pPr>
        <w:spacing w:after="0"/>
        <w:ind w:firstLine="851"/>
        <w:rPr>
          <w:rFonts w:cs="Times New Roman"/>
          <w:shd w:val="clear" w:color="auto" w:fill="FFFFFF"/>
        </w:rPr>
      </w:pPr>
      <w:r w:rsidRPr="004E0B5C">
        <w:rPr>
          <w:rFonts w:eastAsiaTheme="majorEastAsia" w:cs="Times New Roman"/>
        </w:rPr>
        <w:t>No século XXI, nov</w:t>
      </w:r>
      <w:r>
        <w:rPr>
          <w:rFonts w:eastAsiaTheme="majorEastAsia" w:cs="Times New Roman"/>
        </w:rPr>
        <w:t>as variáveis</w:t>
      </w:r>
      <w:r w:rsidRPr="004E0B5C">
        <w:rPr>
          <w:rFonts w:cs="Times New Roman"/>
          <w:shd w:val="clear" w:color="auto" w:fill="FFFFFF"/>
        </w:rPr>
        <w:t xml:space="preserve"> foram aglutinad</w:t>
      </w:r>
      <w:r>
        <w:rPr>
          <w:rFonts w:cs="Times New Roman"/>
          <w:shd w:val="clear" w:color="auto" w:fill="FFFFFF"/>
        </w:rPr>
        <w:t>a</w:t>
      </w:r>
      <w:r w:rsidRPr="004E0B5C">
        <w:rPr>
          <w:rFonts w:cs="Times New Roman"/>
          <w:shd w:val="clear" w:color="auto" w:fill="FFFFFF"/>
        </w:rPr>
        <w:t>s aos sistema</w:t>
      </w:r>
      <w:r>
        <w:rPr>
          <w:rFonts w:cs="Times New Roman"/>
          <w:shd w:val="clear" w:color="auto" w:fill="FFFFFF"/>
        </w:rPr>
        <w:t>s</w:t>
      </w:r>
      <w:r w:rsidRPr="004E0B5C">
        <w:rPr>
          <w:rFonts w:cs="Times New Roman"/>
          <w:shd w:val="clear" w:color="auto" w:fill="FFFFFF"/>
        </w:rPr>
        <w:t xml:space="preserve"> agroalimentares</w:t>
      </w:r>
      <w:r>
        <w:rPr>
          <w:rFonts w:cs="Times New Roman"/>
          <w:shd w:val="clear" w:color="auto" w:fill="FFFFFF"/>
        </w:rPr>
        <w:t>,</w:t>
      </w:r>
      <w:r w:rsidRPr="004E0B5C">
        <w:rPr>
          <w:rFonts w:cs="Times New Roman"/>
          <w:shd w:val="clear" w:color="auto" w:fill="FFFFFF"/>
        </w:rPr>
        <w:t xml:space="preserve"> fator este que explica a difusão de novas propostas ou atualizações conceituais como da</w:t>
      </w:r>
      <w:r>
        <w:rPr>
          <w:rFonts w:cs="Times New Roman"/>
          <w:shd w:val="clear" w:color="auto" w:fill="FFFFFF"/>
        </w:rPr>
        <w:t>s</w:t>
      </w:r>
      <w:r w:rsidRPr="004E0B5C">
        <w:rPr>
          <w:rFonts w:cs="Times New Roman"/>
          <w:shd w:val="clear" w:color="auto" w:fill="FFFFFF"/>
        </w:rPr>
        <w:t xml:space="preserve"> R</w:t>
      </w:r>
      <w:r>
        <w:rPr>
          <w:rFonts w:cs="Times New Roman"/>
          <w:shd w:val="clear" w:color="auto" w:fill="FFFFFF"/>
        </w:rPr>
        <w:t>edes de Produção Global (RPG)</w:t>
      </w:r>
      <w:r w:rsidRPr="004E0B5C">
        <w:rPr>
          <w:rFonts w:cs="Times New Roman"/>
          <w:shd w:val="clear" w:color="auto" w:fill="FFFFFF"/>
        </w:rPr>
        <w:t xml:space="preserve"> e </w:t>
      </w:r>
      <w:r>
        <w:rPr>
          <w:rFonts w:cs="Times New Roman"/>
          <w:shd w:val="clear" w:color="auto" w:fill="FFFFFF"/>
        </w:rPr>
        <w:t>G</w:t>
      </w:r>
      <w:r w:rsidRPr="004E0B5C">
        <w:rPr>
          <w:rFonts w:cs="Times New Roman"/>
          <w:shd w:val="clear" w:color="auto" w:fill="FFFFFF"/>
        </w:rPr>
        <w:t xml:space="preserve">overnança. </w:t>
      </w:r>
      <w:r>
        <w:rPr>
          <w:rFonts w:eastAsiaTheme="majorEastAsia" w:cs="Times New Roman"/>
        </w:rPr>
        <w:t>O</w:t>
      </w:r>
      <w:r w:rsidRPr="004E0B5C">
        <w:rPr>
          <w:rFonts w:eastAsiaTheme="majorEastAsia" w:cs="Times New Roman"/>
        </w:rPr>
        <w:t xml:space="preserve"> debate acerca dos </w:t>
      </w:r>
      <w:r w:rsidRPr="00D77C77">
        <w:rPr>
          <w:rFonts w:eastAsiaTheme="majorEastAsia" w:cs="Times New Roman"/>
          <w:i/>
          <w:iCs/>
        </w:rPr>
        <w:t>stand</w:t>
      </w:r>
      <w:r w:rsidR="00323388">
        <w:rPr>
          <w:rFonts w:eastAsiaTheme="majorEastAsia" w:cs="Times New Roman"/>
          <w:i/>
          <w:iCs/>
        </w:rPr>
        <w:t>a</w:t>
      </w:r>
      <w:r w:rsidRPr="00D77C77">
        <w:rPr>
          <w:rFonts w:eastAsiaTheme="majorEastAsia" w:cs="Times New Roman"/>
          <w:i/>
          <w:iCs/>
        </w:rPr>
        <w:t>r</w:t>
      </w:r>
      <w:r w:rsidR="00323388">
        <w:rPr>
          <w:rFonts w:eastAsiaTheme="majorEastAsia" w:cs="Times New Roman"/>
          <w:i/>
          <w:iCs/>
        </w:rPr>
        <w:t>d</w:t>
      </w:r>
      <w:r w:rsidRPr="00D77C77">
        <w:rPr>
          <w:rFonts w:eastAsiaTheme="majorEastAsia" w:cs="Times New Roman"/>
          <w:i/>
          <w:iCs/>
        </w:rPr>
        <w:t>s</w:t>
      </w:r>
      <w:r w:rsidRPr="004E0B5C">
        <w:rPr>
          <w:rFonts w:eastAsiaTheme="majorEastAsia" w:cs="Times New Roman"/>
        </w:rPr>
        <w:t xml:space="preserve"> globais de produção que respeitam os princípios da sustentabilidade e do cumprimento do exercício de Boas Práticas </w:t>
      </w:r>
      <w:r w:rsidR="00D77C77">
        <w:rPr>
          <w:rFonts w:eastAsiaTheme="majorEastAsia" w:cs="Times New Roman"/>
        </w:rPr>
        <w:t>A</w:t>
      </w:r>
      <w:r w:rsidRPr="004E0B5C">
        <w:rPr>
          <w:rFonts w:eastAsiaTheme="majorEastAsia" w:cs="Times New Roman"/>
        </w:rPr>
        <w:t xml:space="preserve">grícolas se promulgou com a necessidade de distinção das mercadorias no mercado global cada vez mais competitivo, e em resposta a um nicho da sociedade sensibilizada com os impactos ambientais, a precarização do trabalho e preocupada com a </w:t>
      </w:r>
      <w:r w:rsidRPr="004E0B5C">
        <w:rPr>
          <w:rStyle w:val="Ttulo1Char"/>
          <w:rFonts w:ascii="Times New Roman" w:hAnsi="Times New Roman" w:cs="Times New Roman"/>
          <w:b w:val="0"/>
          <w:sz w:val="24"/>
          <w:szCs w:val="24"/>
        </w:rPr>
        <w:t>dignidade humana.</w:t>
      </w:r>
    </w:p>
    <w:p w14:paraId="7A678F5C" w14:textId="77777777" w:rsidR="00887F66" w:rsidRDefault="00522F11" w:rsidP="00777CCA">
      <w:pPr>
        <w:spacing w:after="0"/>
        <w:ind w:firstLine="851"/>
        <w:rPr>
          <w:rFonts w:cs="Times New Roman"/>
          <w:shd w:val="clear" w:color="auto" w:fill="FFFFFF"/>
        </w:rPr>
      </w:pPr>
      <w:r w:rsidRPr="008722C5">
        <w:rPr>
          <w:rFonts w:cs="Times New Roman"/>
          <w:shd w:val="clear" w:color="auto" w:fill="FFFFFF"/>
        </w:rPr>
        <w:t xml:space="preserve">Na perspectiva socioambiental, há uma mudança de paradigmas no século XXI, uma vez que as corporações estão cada vez mais pressionadas por consumidores e sociedade civil - nacional e internacional - a aplicarem boas práticas socias (como as trabalhistas) e de equilíbrio ambiental. E, pelo próprio mercado a instituírem formas mais </w:t>
      </w:r>
      <w:r w:rsidR="00D77C77">
        <w:rPr>
          <w:rFonts w:cs="Times New Roman"/>
          <w:shd w:val="clear" w:color="auto" w:fill="FFFFFF"/>
        </w:rPr>
        <w:t>eficientes</w:t>
      </w:r>
      <w:r w:rsidRPr="008722C5">
        <w:rPr>
          <w:rFonts w:cs="Times New Roman"/>
          <w:shd w:val="clear" w:color="auto" w:fill="FFFFFF"/>
        </w:rPr>
        <w:t xml:space="preserve"> de produção gerando-o mais competitividade. A confiabilidade nas relações entre as partes interessadas </w:t>
      </w:r>
      <w:r w:rsidR="00D77C77">
        <w:rPr>
          <w:rFonts w:cs="Times New Roman"/>
          <w:shd w:val="clear" w:color="auto" w:fill="FFFFFF"/>
        </w:rPr>
        <w:t>nas redes agroalimentares</w:t>
      </w:r>
      <w:r w:rsidRPr="008722C5">
        <w:rPr>
          <w:rFonts w:cs="Times New Roman"/>
          <w:shd w:val="clear" w:color="auto" w:fill="FFFFFF"/>
        </w:rPr>
        <w:t xml:space="preserve"> e a incessante busca pela rentabilidade econômica vêm gerando novas práticas de </w:t>
      </w:r>
      <w:r w:rsidR="00D77C77">
        <w:rPr>
          <w:rFonts w:cs="Times New Roman"/>
          <w:shd w:val="clear" w:color="auto" w:fill="FFFFFF"/>
        </w:rPr>
        <w:t>G</w:t>
      </w:r>
      <w:r w:rsidRPr="008722C5">
        <w:rPr>
          <w:rFonts w:cs="Times New Roman"/>
          <w:shd w:val="clear" w:color="auto" w:fill="FFFFFF"/>
        </w:rPr>
        <w:t xml:space="preserve">overnança, uma vez que </w:t>
      </w:r>
      <w:r w:rsidRPr="00D77C77">
        <w:rPr>
          <w:rFonts w:cs="Times New Roman"/>
          <w:i/>
          <w:iCs/>
          <w:shd w:val="clear" w:color="auto" w:fill="FFFFFF"/>
        </w:rPr>
        <w:t>stakeholders</w:t>
      </w:r>
      <w:r w:rsidRPr="008722C5">
        <w:rPr>
          <w:rFonts w:cs="Times New Roman"/>
          <w:shd w:val="clear" w:color="auto" w:fill="FFFFFF"/>
        </w:rPr>
        <w:t xml:space="preserve"> globa</w:t>
      </w:r>
      <w:r w:rsidR="00AB1C68">
        <w:rPr>
          <w:rFonts w:cs="Times New Roman"/>
          <w:shd w:val="clear" w:color="auto" w:fill="FFFFFF"/>
        </w:rPr>
        <w:t>l</w:t>
      </w:r>
      <w:r w:rsidRPr="008722C5">
        <w:rPr>
          <w:rFonts w:cs="Times New Roman"/>
          <w:shd w:val="clear" w:color="auto" w:fill="FFFFFF"/>
        </w:rPr>
        <w:t xml:space="preserve"> (</w:t>
      </w:r>
      <w:r w:rsidR="00D77C77">
        <w:rPr>
          <w:rFonts w:cs="Times New Roman"/>
          <w:shd w:val="clear" w:color="auto" w:fill="FFFFFF"/>
        </w:rPr>
        <w:t>multi</w:t>
      </w:r>
      <w:r w:rsidRPr="008722C5">
        <w:rPr>
          <w:rFonts w:cs="Times New Roman"/>
          <w:shd w:val="clear" w:color="auto" w:fill="FFFFFF"/>
        </w:rPr>
        <w:t>atores) debatem os métodos</w:t>
      </w:r>
      <w:r w:rsidR="00D77C77">
        <w:rPr>
          <w:rFonts w:cs="Times New Roman"/>
          <w:shd w:val="clear" w:color="auto" w:fill="FFFFFF"/>
        </w:rPr>
        <w:t xml:space="preserve"> de produção e circulação</w:t>
      </w:r>
      <w:r w:rsidRPr="008722C5">
        <w:rPr>
          <w:rFonts w:cs="Times New Roman"/>
          <w:shd w:val="clear" w:color="auto" w:fill="FFFFFF"/>
        </w:rPr>
        <w:t xml:space="preserve"> </w:t>
      </w:r>
      <w:r w:rsidR="00D77C77">
        <w:rPr>
          <w:rFonts w:cs="Times New Roman"/>
          <w:shd w:val="clear" w:color="auto" w:fill="FFFFFF"/>
        </w:rPr>
        <w:t xml:space="preserve">nas </w:t>
      </w:r>
      <w:r w:rsidRPr="008722C5">
        <w:rPr>
          <w:rFonts w:cs="Times New Roman"/>
          <w:shd w:val="clear" w:color="auto" w:fill="FFFFFF"/>
        </w:rPr>
        <w:t>redes agroalimentares nas dimensões econômica</w:t>
      </w:r>
      <w:r w:rsidR="00D77C77">
        <w:rPr>
          <w:rFonts w:cs="Times New Roman"/>
          <w:shd w:val="clear" w:color="auto" w:fill="FFFFFF"/>
        </w:rPr>
        <w:t xml:space="preserve">, social </w:t>
      </w:r>
      <w:r w:rsidRPr="008722C5">
        <w:rPr>
          <w:rFonts w:cs="Times New Roman"/>
          <w:shd w:val="clear" w:color="auto" w:fill="FFFFFF"/>
        </w:rPr>
        <w:t>e ambienta</w:t>
      </w:r>
      <w:r w:rsidR="00D77C77">
        <w:rPr>
          <w:rFonts w:cs="Times New Roman"/>
          <w:shd w:val="clear" w:color="auto" w:fill="FFFFFF"/>
        </w:rPr>
        <w:t>l</w:t>
      </w:r>
      <w:r w:rsidRPr="008722C5">
        <w:rPr>
          <w:rFonts w:cs="Times New Roman"/>
          <w:shd w:val="clear" w:color="auto" w:fill="FFFFFF"/>
        </w:rPr>
        <w:t xml:space="preserve">. </w:t>
      </w:r>
    </w:p>
    <w:p w14:paraId="2FB7D167" w14:textId="2F8C6CCE" w:rsidR="00522F11" w:rsidRDefault="00D77C77" w:rsidP="00777CCA">
      <w:pPr>
        <w:spacing w:after="0"/>
        <w:ind w:firstLine="851"/>
        <w:rPr>
          <w:rFonts w:cs="Times New Roman"/>
          <w:shd w:val="clear" w:color="auto" w:fill="FFFFFF"/>
        </w:rPr>
      </w:pPr>
      <w:r>
        <w:rPr>
          <w:rFonts w:cs="Times New Roman"/>
          <w:shd w:val="clear" w:color="auto" w:fill="FFFFFF"/>
        </w:rPr>
        <w:t>Desse modo</w:t>
      </w:r>
      <w:r w:rsidR="00522F11" w:rsidRPr="008722C5">
        <w:rPr>
          <w:rFonts w:cs="Times New Roman"/>
          <w:shd w:val="clear" w:color="auto" w:fill="FFFFFF"/>
        </w:rPr>
        <w:t>, esta pesquisa propõe identificar novas práticas de governança realizadas no âmbito do agronegócio globalizado no cerrado brasileiro.</w:t>
      </w:r>
      <w:r w:rsidR="00887F66">
        <w:rPr>
          <w:rFonts w:cs="Times New Roman"/>
          <w:shd w:val="clear" w:color="auto" w:fill="FFFFFF"/>
        </w:rPr>
        <w:t xml:space="preserve"> </w:t>
      </w:r>
      <w:r w:rsidR="006A1B01" w:rsidRPr="00E47F8C">
        <w:rPr>
          <w:rFonts w:cs="Times New Roman"/>
          <w:shd w:val="clear" w:color="auto" w:fill="FFFFFF"/>
        </w:rPr>
        <w:t>N</w:t>
      </w:r>
      <w:r w:rsidR="00673395" w:rsidRPr="00E47F8C">
        <w:rPr>
          <w:rFonts w:cs="Times New Roman"/>
          <w:shd w:val="clear" w:color="auto" w:fill="FFFFFF"/>
        </w:rPr>
        <w:t>o presente artigo, buscou-se explorar a temática do conceito de Governança, e do</w:t>
      </w:r>
      <w:r w:rsidR="006A1B01" w:rsidRPr="00E47F8C">
        <w:rPr>
          <w:rFonts w:cs="Times New Roman"/>
          <w:shd w:val="clear" w:color="auto" w:fill="FFFFFF"/>
        </w:rPr>
        <w:t xml:space="preserve"> consumo como uma força de pressã</w:t>
      </w:r>
      <w:r w:rsidR="00673395" w:rsidRPr="00E47F8C">
        <w:rPr>
          <w:rFonts w:cs="Times New Roman"/>
          <w:shd w:val="clear" w:color="auto" w:fill="FFFFFF"/>
        </w:rPr>
        <w:t>o. Est</w:t>
      </w:r>
      <w:r w:rsidR="0085075B">
        <w:rPr>
          <w:rFonts w:cs="Times New Roman"/>
          <w:shd w:val="clear" w:color="auto" w:fill="FFFFFF"/>
        </w:rPr>
        <w:t xml:space="preserve">as duas variáveis </w:t>
      </w:r>
      <w:r w:rsidR="00673395" w:rsidRPr="00E47F8C">
        <w:rPr>
          <w:rFonts w:cs="Times New Roman"/>
          <w:shd w:val="clear" w:color="auto" w:fill="FFFFFF"/>
        </w:rPr>
        <w:t xml:space="preserve">tem influenciado o comportamento </w:t>
      </w:r>
      <w:proofErr w:type="spellStart"/>
      <w:r w:rsidR="00E47F8C" w:rsidRPr="00E47F8C">
        <w:rPr>
          <w:rFonts w:cs="Times New Roman"/>
          <w:shd w:val="clear" w:color="auto" w:fill="FFFFFF"/>
        </w:rPr>
        <w:t>auto-organizacional</w:t>
      </w:r>
      <w:proofErr w:type="spellEnd"/>
      <w:r w:rsidR="00E47F8C" w:rsidRPr="00E47F8C">
        <w:rPr>
          <w:rFonts w:cs="Times New Roman"/>
          <w:shd w:val="clear" w:color="auto" w:fill="FFFFFF"/>
        </w:rPr>
        <w:t xml:space="preserve"> </w:t>
      </w:r>
      <w:r w:rsidR="00673395" w:rsidRPr="00E47F8C">
        <w:rPr>
          <w:rFonts w:cs="Times New Roman"/>
          <w:shd w:val="clear" w:color="auto" w:fill="FFFFFF"/>
        </w:rPr>
        <w:t>das</w:t>
      </w:r>
      <w:r w:rsidR="006A1B01" w:rsidRPr="00E47F8C">
        <w:rPr>
          <w:rFonts w:cs="Times New Roman"/>
          <w:shd w:val="clear" w:color="auto" w:fill="FFFFFF"/>
        </w:rPr>
        <w:t xml:space="preserve"> redes</w:t>
      </w:r>
      <w:r w:rsidR="00673395" w:rsidRPr="00E47F8C">
        <w:rPr>
          <w:rFonts w:cs="Times New Roman"/>
          <w:shd w:val="clear" w:color="auto" w:fill="FFFFFF"/>
        </w:rPr>
        <w:t xml:space="preserve"> agroalimentares</w:t>
      </w:r>
      <w:r w:rsidR="006A1B01" w:rsidRPr="00E47F8C">
        <w:rPr>
          <w:rFonts w:cs="Times New Roman"/>
          <w:shd w:val="clear" w:color="auto" w:fill="FFFFFF"/>
        </w:rPr>
        <w:t>,</w:t>
      </w:r>
      <w:r w:rsidR="00673395" w:rsidRPr="00E47F8C">
        <w:rPr>
          <w:rFonts w:cs="Times New Roman"/>
          <w:shd w:val="clear" w:color="auto" w:fill="FFFFFF"/>
        </w:rPr>
        <w:t xml:space="preserve"> </w:t>
      </w:r>
      <w:r w:rsidR="0085075B">
        <w:rPr>
          <w:rFonts w:cs="Times New Roman"/>
          <w:shd w:val="clear" w:color="auto" w:fill="FFFFFF"/>
        </w:rPr>
        <w:t xml:space="preserve">uma vez </w:t>
      </w:r>
      <w:r w:rsidR="003A524D">
        <w:rPr>
          <w:rFonts w:cs="Times New Roman"/>
          <w:shd w:val="clear" w:color="auto" w:fill="FFFFFF"/>
        </w:rPr>
        <w:t xml:space="preserve">está correlacionado com a conformação de </w:t>
      </w:r>
      <w:r w:rsidR="0085075B">
        <w:rPr>
          <w:rFonts w:cs="Times New Roman"/>
          <w:shd w:val="clear" w:color="auto" w:fill="FFFFFF"/>
        </w:rPr>
        <w:t xml:space="preserve">arranjos institucionais </w:t>
      </w:r>
      <w:r w:rsidR="003A524D">
        <w:rPr>
          <w:rFonts w:cs="Times New Roman"/>
          <w:shd w:val="clear" w:color="auto" w:fill="FFFFFF"/>
        </w:rPr>
        <w:t>que representam interesses</w:t>
      </w:r>
      <w:r w:rsidR="0085075B">
        <w:rPr>
          <w:rFonts w:cs="Times New Roman"/>
          <w:shd w:val="clear" w:color="auto" w:fill="FFFFFF"/>
        </w:rPr>
        <w:t xml:space="preserve"> de atores </w:t>
      </w:r>
      <w:r w:rsidR="003A524D">
        <w:rPr>
          <w:rFonts w:cs="Times New Roman"/>
          <w:shd w:val="clear" w:color="auto" w:fill="FFFFFF"/>
        </w:rPr>
        <w:t>capazes de</w:t>
      </w:r>
      <w:r w:rsidR="0085075B">
        <w:rPr>
          <w:rFonts w:cs="Times New Roman"/>
          <w:shd w:val="clear" w:color="auto" w:fill="FFFFFF"/>
        </w:rPr>
        <w:t xml:space="preserve"> influenciar a</w:t>
      </w:r>
      <w:r w:rsidR="00E47F8C">
        <w:rPr>
          <w:rFonts w:cs="Times New Roman"/>
          <w:shd w:val="clear" w:color="auto" w:fill="FFFFFF"/>
        </w:rPr>
        <w:t xml:space="preserve"> Governança Territorial</w:t>
      </w:r>
      <w:r w:rsidR="0085075B">
        <w:rPr>
          <w:rFonts w:cs="Times New Roman"/>
          <w:shd w:val="clear" w:color="auto" w:fill="FFFFFF"/>
        </w:rPr>
        <w:t>.</w:t>
      </w:r>
    </w:p>
    <w:p w14:paraId="4649A06C" w14:textId="77777777" w:rsidR="00E47F8C" w:rsidRPr="008722C5" w:rsidRDefault="00E47F8C" w:rsidP="00777CCA">
      <w:pPr>
        <w:spacing w:after="0"/>
        <w:ind w:firstLine="851"/>
        <w:rPr>
          <w:rFonts w:cs="Times New Roman"/>
          <w:shd w:val="clear" w:color="auto" w:fill="FFFFFF"/>
        </w:rPr>
      </w:pPr>
    </w:p>
    <w:p w14:paraId="11C37C8D" w14:textId="48CFEF03" w:rsidR="00EA57F9" w:rsidRPr="00833819" w:rsidRDefault="002A4FD7" w:rsidP="00777CCA">
      <w:pPr>
        <w:spacing w:after="0"/>
        <w:jc w:val="center"/>
        <w:rPr>
          <w:rFonts w:cs="Times New Roman"/>
          <w:b/>
          <w:szCs w:val="24"/>
        </w:rPr>
      </w:pPr>
      <w:r w:rsidRPr="00833819">
        <w:rPr>
          <w:rFonts w:cs="Times New Roman"/>
          <w:b/>
          <w:szCs w:val="24"/>
        </w:rPr>
        <w:t>A GOVERNANÇA NA CONTEMPORANEIDADE – EXPRESSÕES NO TERRITÓRIO</w:t>
      </w:r>
    </w:p>
    <w:p w14:paraId="7B46B2EE" w14:textId="1908C969" w:rsidR="00FD6573" w:rsidRPr="00833819" w:rsidRDefault="00FD6573" w:rsidP="00777CCA">
      <w:pPr>
        <w:spacing w:after="0" w:line="240" w:lineRule="auto"/>
        <w:ind w:firstLine="851"/>
        <w:rPr>
          <w:rFonts w:cs="Times New Roman"/>
          <w:bCs/>
          <w:szCs w:val="24"/>
        </w:rPr>
      </w:pPr>
    </w:p>
    <w:p w14:paraId="53C0255F" w14:textId="77777777" w:rsidR="0011287B" w:rsidRPr="00833819" w:rsidRDefault="00B349AB" w:rsidP="00777CCA">
      <w:pPr>
        <w:autoSpaceDE w:val="0"/>
        <w:autoSpaceDN w:val="0"/>
        <w:adjustRightInd w:val="0"/>
        <w:spacing w:after="0"/>
        <w:ind w:firstLine="851"/>
        <w:rPr>
          <w:rFonts w:cs="Times New Roman"/>
          <w:bCs/>
          <w:szCs w:val="24"/>
        </w:rPr>
      </w:pPr>
      <w:r w:rsidRPr="00833819">
        <w:rPr>
          <w:rFonts w:cs="Times New Roman"/>
          <w:bCs/>
          <w:szCs w:val="24"/>
        </w:rPr>
        <w:t>Na contemporaneidade o</w:t>
      </w:r>
      <w:r w:rsidR="00597BB2" w:rsidRPr="00833819">
        <w:rPr>
          <w:rFonts w:cs="Times New Roman"/>
          <w:bCs/>
          <w:szCs w:val="24"/>
        </w:rPr>
        <w:t xml:space="preserve"> </w:t>
      </w:r>
      <w:r w:rsidR="00563D9A" w:rsidRPr="00833819">
        <w:rPr>
          <w:rFonts w:cs="Times New Roman"/>
          <w:bCs/>
          <w:szCs w:val="24"/>
        </w:rPr>
        <w:t xml:space="preserve">conceito </w:t>
      </w:r>
      <w:r w:rsidR="0011287B" w:rsidRPr="00833819">
        <w:rPr>
          <w:rFonts w:cs="Times New Roman"/>
          <w:bCs/>
          <w:szCs w:val="24"/>
        </w:rPr>
        <w:t>G</w:t>
      </w:r>
      <w:r w:rsidR="00597BB2" w:rsidRPr="00833819">
        <w:rPr>
          <w:rFonts w:cs="Times New Roman"/>
          <w:bCs/>
          <w:szCs w:val="24"/>
        </w:rPr>
        <w:t>overnança</w:t>
      </w:r>
      <w:r w:rsidR="00563D9A" w:rsidRPr="00833819">
        <w:rPr>
          <w:rFonts w:cs="Times New Roman"/>
          <w:bCs/>
          <w:szCs w:val="24"/>
        </w:rPr>
        <w:t xml:space="preserve"> </w:t>
      </w:r>
      <w:r w:rsidR="00A45046" w:rsidRPr="00833819">
        <w:rPr>
          <w:rFonts w:cs="Times New Roman"/>
          <w:bCs/>
          <w:szCs w:val="24"/>
        </w:rPr>
        <w:t xml:space="preserve">está inserido </w:t>
      </w:r>
      <w:r w:rsidR="00563D9A" w:rsidRPr="00833819">
        <w:rPr>
          <w:rFonts w:cs="Times New Roman"/>
          <w:bCs/>
          <w:szCs w:val="24"/>
        </w:rPr>
        <w:t>em</w:t>
      </w:r>
      <w:r w:rsidR="00597BB2" w:rsidRPr="00833819">
        <w:rPr>
          <w:rFonts w:cs="Times New Roman"/>
          <w:bCs/>
          <w:szCs w:val="24"/>
        </w:rPr>
        <w:t xml:space="preserve"> múltiplos</w:t>
      </w:r>
      <w:r w:rsidR="00563D9A" w:rsidRPr="00833819">
        <w:rPr>
          <w:rFonts w:cs="Times New Roman"/>
          <w:bCs/>
          <w:szCs w:val="24"/>
        </w:rPr>
        <w:t xml:space="preserve"> meios</w:t>
      </w:r>
      <w:r w:rsidRPr="00833819">
        <w:rPr>
          <w:rFonts w:cs="Times New Roman"/>
          <w:bCs/>
          <w:szCs w:val="24"/>
        </w:rPr>
        <w:t xml:space="preserve"> e </w:t>
      </w:r>
      <w:r w:rsidR="00563D9A" w:rsidRPr="00833819">
        <w:rPr>
          <w:rFonts w:cs="Times New Roman"/>
          <w:bCs/>
          <w:szCs w:val="24"/>
        </w:rPr>
        <w:t xml:space="preserve">conota múltiplos significados. </w:t>
      </w:r>
      <w:r w:rsidR="00A45046" w:rsidRPr="00833819">
        <w:rPr>
          <w:rFonts w:cs="Times New Roman"/>
          <w:bCs/>
          <w:szCs w:val="24"/>
        </w:rPr>
        <w:t>No entanto, no passado, o termo já foi mais direcionado a um contexto específico. O</w:t>
      </w:r>
      <w:r w:rsidR="00563D9A" w:rsidRPr="00833819">
        <w:rPr>
          <w:rFonts w:cs="Times New Roman"/>
          <w:bCs/>
          <w:szCs w:val="24"/>
        </w:rPr>
        <w:t xml:space="preserve"> termo surgiu </w:t>
      </w:r>
      <w:r w:rsidR="00563D9A" w:rsidRPr="00833819">
        <w:rPr>
          <w:rFonts w:cs="Times New Roman"/>
          <w:color w:val="000000"/>
          <w:szCs w:val="24"/>
        </w:rPr>
        <w:t xml:space="preserve">em 1937 </w:t>
      </w:r>
      <w:r w:rsidR="00563D9A" w:rsidRPr="00833819">
        <w:rPr>
          <w:rFonts w:cs="Times New Roman"/>
          <w:bCs/>
          <w:szCs w:val="24"/>
        </w:rPr>
        <w:t xml:space="preserve">no </w:t>
      </w:r>
      <w:r w:rsidR="00563D9A" w:rsidRPr="00833819">
        <w:rPr>
          <w:rFonts w:cs="Times New Roman"/>
          <w:color w:val="000000"/>
          <w:szCs w:val="24"/>
        </w:rPr>
        <w:t xml:space="preserve">artigo </w:t>
      </w:r>
      <w:r w:rsidR="00563D9A" w:rsidRPr="00833819">
        <w:rPr>
          <w:rFonts w:cs="Times New Roman"/>
          <w:bCs/>
          <w:szCs w:val="24"/>
        </w:rPr>
        <w:t>intitulado “</w:t>
      </w:r>
      <w:r w:rsidR="00563D9A" w:rsidRPr="00833819">
        <w:rPr>
          <w:rFonts w:cs="Times New Roman"/>
          <w:bCs/>
          <w:i/>
          <w:iCs/>
          <w:szCs w:val="24"/>
        </w:rPr>
        <w:t xml:space="preserve">The </w:t>
      </w:r>
      <w:proofErr w:type="spellStart"/>
      <w:r w:rsidR="00563D9A" w:rsidRPr="00833819">
        <w:rPr>
          <w:rFonts w:cs="Times New Roman"/>
          <w:bCs/>
          <w:i/>
          <w:iCs/>
          <w:szCs w:val="24"/>
        </w:rPr>
        <w:t>Nature</w:t>
      </w:r>
      <w:proofErr w:type="spellEnd"/>
      <w:r w:rsidR="00563D9A" w:rsidRPr="00833819">
        <w:rPr>
          <w:rFonts w:cs="Times New Roman"/>
          <w:bCs/>
          <w:i/>
          <w:iCs/>
          <w:szCs w:val="24"/>
        </w:rPr>
        <w:t xml:space="preserve"> </w:t>
      </w:r>
      <w:proofErr w:type="spellStart"/>
      <w:r w:rsidR="00563D9A" w:rsidRPr="00833819">
        <w:rPr>
          <w:rFonts w:cs="Times New Roman"/>
          <w:bCs/>
          <w:i/>
          <w:iCs/>
          <w:szCs w:val="24"/>
        </w:rPr>
        <w:t>of</w:t>
      </w:r>
      <w:proofErr w:type="spellEnd"/>
      <w:r w:rsidR="00563D9A" w:rsidRPr="00833819">
        <w:rPr>
          <w:rFonts w:cs="Times New Roman"/>
          <w:bCs/>
          <w:i/>
          <w:iCs/>
          <w:szCs w:val="24"/>
        </w:rPr>
        <w:t xml:space="preserve"> </w:t>
      </w:r>
      <w:proofErr w:type="spellStart"/>
      <w:r w:rsidR="00563D9A" w:rsidRPr="00833819">
        <w:rPr>
          <w:rFonts w:cs="Times New Roman"/>
          <w:bCs/>
          <w:i/>
          <w:iCs/>
          <w:szCs w:val="24"/>
        </w:rPr>
        <w:t>the</w:t>
      </w:r>
      <w:proofErr w:type="spellEnd"/>
      <w:r w:rsidR="00563D9A" w:rsidRPr="00833819">
        <w:rPr>
          <w:rFonts w:cs="Times New Roman"/>
          <w:bCs/>
          <w:i/>
          <w:iCs/>
          <w:szCs w:val="24"/>
        </w:rPr>
        <w:t xml:space="preserve"> </w:t>
      </w:r>
      <w:proofErr w:type="spellStart"/>
      <w:r w:rsidR="00563D9A" w:rsidRPr="00833819">
        <w:rPr>
          <w:rFonts w:cs="Times New Roman"/>
          <w:bCs/>
          <w:i/>
          <w:iCs/>
          <w:szCs w:val="24"/>
        </w:rPr>
        <w:t>Firm</w:t>
      </w:r>
      <w:proofErr w:type="spellEnd"/>
      <w:r w:rsidR="00563D9A" w:rsidRPr="00833819">
        <w:rPr>
          <w:rFonts w:cs="Times New Roman"/>
          <w:bCs/>
          <w:szCs w:val="24"/>
        </w:rPr>
        <w:t xml:space="preserve">” de Ronald Coase. Por ora, ganhou destaque na década de 1970 com Oliver Williamson, que passou a usar governança “para designar “os dispositivos operacionalizados pela firma para conduzir coordenações eficazes”, referindo-se aos protocolos internos, quando a firma desenvolve suas redes e questiona as hierarquias internas (...) </w:t>
      </w:r>
      <w:r w:rsidR="004576D4" w:rsidRPr="00833819">
        <w:rPr>
          <w:rFonts w:cs="Times New Roman"/>
          <w:bCs/>
          <w:szCs w:val="24"/>
        </w:rPr>
        <w:t>(DALLABRIDA; BECKER, 2003, p. 76)</w:t>
      </w:r>
      <w:r w:rsidRPr="00833819">
        <w:rPr>
          <w:rFonts w:cs="Times New Roman"/>
          <w:bCs/>
          <w:szCs w:val="24"/>
        </w:rPr>
        <w:t>.</w:t>
      </w:r>
      <w:r w:rsidR="00563D9A" w:rsidRPr="00833819">
        <w:rPr>
          <w:rFonts w:cs="Times New Roman"/>
          <w:bCs/>
          <w:szCs w:val="24"/>
        </w:rPr>
        <w:t>”</w:t>
      </w:r>
    </w:p>
    <w:p w14:paraId="10A48E3F" w14:textId="613BDB3F" w:rsidR="00563D9A" w:rsidRPr="00833819" w:rsidRDefault="0011287B" w:rsidP="00777CCA">
      <w:pPr>
        <w:spacing w:after="0"/>
        <w:ind w:firstLine="851"/>
        <w:rPr>
          <w:rFonts w:cs="Times New Roman"/>
          <w:bCs/>
          <w:szCs w:val="24"/>
        </w:rPr>
      </w:pPr>
      <w:r w:rsidRPr="00833819">
        <w:rPr>
          <w:rFonts w:cs="Times New Roman"/>
          <w:bCs/>
          <w:szCs w:val="24"/>
        </w:rPr>
        <w:lastRenderedPageBreak/>
        <w:t xml:space="preserve">O termo se propagou no mundo empresarial e posteriormente foi incorporado onde há relações intrínsecas de poder, passando a ser usual nas organizações tanto da esfera público quanto privado. </w:t>
      </w:r>
      <w:r w:rsidR="00D00BE4" w:rsidRPr="00833819">
        <w:rPr>
          <w:rFonts w:cs="Times New Roman"/>
          <w:bCs/>
          <w:szCs w:val="24"/>
        </w:rPr>
        <w:t>Por muito tempo governança tornou-se sinônimo de governo, referindo-se a</w:t>
      </w:r>
      <w:r w:rsidR="00974D29" w:rsidRPr="00833819">
        <w:rPr>
          <w:rFonts w:cs="Times New Roman"/>
          <w:bCs/>
          <w:szCs w:val="24"/>
        </w:rPr>
        <w:t>s deficiências dos Estados nas políticas econômicas, sendo muito utilizado a partir da década de 1980 por economistas neoliberais que apontavam novas práticas estruturais institucionais em nome de uma boa governança (DALLABRIDA; BECKER, 2003).</w:t>
      </w:r>
    </w:p>
    <w:p w14:paraId="4D78CD2C" w14:textId="3371DCD0" w:rsidR="00424654" w:rsidRPr="00833819" w:rsidRDefault="000B237D" w:rsidP="00777CCA">
      <w:pPr>
        <w:autoSpaceDE w:val="0"/>
        <w:autoSpaceDN w:val="0"/>
        <w:adjustRightInd w:val="0"/>
        <w:spacing w:after="0"/>
        <w:ind w:firstLine="851"/>
        <w:rPr>
          <w:rFonts w:cs="Times New Roman"/>
          <w:bCs/>
          <w:szCs w:val="24"/>
        </w:rPr>
      </w:pPr>
      <w:r w:rsidRPr="00833819">
        <w:rPr>
          <w:rFonts w:cs="Times New Roman"/>
          <w:bCs/>
          <w:szCs w:val="24"/>
        </w:rPr>
        <w:t>Contud</w:t>
      </w:r>
      <w:r w:rsidR="00BF431A" w:rsidRPr="00833819">
        <w:rPr>
          <w:rFonts w:cs="Times New Roman"/>
          <w:bCs/>
          <w:szCs w:val="24"/>
        </w:rPr>
        <w:t>o</w:t>
      </w:r>
      <w:r w:rsidRPr="00833819">
        <w:rPr>
          <w:rFonts w:cs="Times New Roman"/>
          <w:bCs/>
          <w:szCs w:val="24"/>
        </w:rPr>
        <w:t>, o conceito ganhou muitos</w:t>
      </w:r>
      <w:r w:rsidR="002E21B7" w:rsidRPr="00833819">
        <w:rPr>
          <w:rFonts w:cs="Times New Roman"/>
          <w:bCs/>
          <w:szCs w:val="24"/>
        </w:rPr>
        <w:t xml:space="preserve"> entendimentos</w:t>
      </w:r>
      <w:r w:rsidRPr="00833819">
        <w:rPr>
          <w:rFonts w:cs="Times New Roman"/>
          <w:bCs/>
          <w:szCs w:val="24"/>
        </w:rPr>
        <w:t xml:space="preserve">, como </w:t>
      </w:r>
      <w:r w:rsidR="00FC62E3" w:rsidRPr="00833819">
        <w:rPr>
          <w:rFonts w:cs="Times New Roman"/>
          <w:bCs/>
          <w:szCs w:val="24"/>
        </w:rPr>
        <w:t xml:space="preserve">caracterizado </w:t>
      </w:r>
      <w:r w:rsidRPr="00833819">
        <w:rPr>
          <w:rFonts w:cs="Times New Roman"/>
          <w:bCs/>
          <w:szCs w:val="24"/>
        </w:rPr>
        <w:t>por Rhodes</w:t>
      </w:r>
      <w:r w:rsidR="00FC62E3" w:rsidRPr="00833819">
        <w:rPr>
          <w:rFonts w:cs="Times New Roman"/>
          <w:bCs/>
          <w:szCs w:val="24"/>
        </w:rPr>
        <w:t xml:space="preserve"> </w:t>
      </w:r>
      <w:r w:rsidR="00E41111" w:rsidRPr="00833819">
        <w:rPr>
          <w:rFonts w:cs="Times New Roman"/>
          <w:bCs/>
          <w:szCs w:val="24"/>
        </w:rPr>
        <w:t>em</w:t>
      </w:r>
      <w:r w:rsidRPr="00833819">
        <w:rPr>
          <w:rFonts w:cs="Times New Roman"/>
          <w:bCs/>
          <w:szCs w:val="24"/>
        </w:rPr>
        <w:t xml:space="preserve"> (1996) e (20</w:t>
      </w:r>
      <w:r w:rsidR="00BF431A" w:rsidRPr="00833819">
        <w:rPr>
          <w:rFonts w:cs="Times New Roman"/>
          <w:bCs/>
          <w:szCs w:val="24"/>
        </w:rPr>
        <w:t>07</w:t>
      </w:r>
      <w:r w:rsidRPr="00833819">
        <w:rPr>
          <w:rFonts w:cs="Times New Roman"/>
          <w:bCs/>
          <w:szCs w:val="24"/>
        </w:rPr>
        <w:t>)</w:t>
      </w:r>
      <w:r w:rsidR="00F50483" w:rsidRPr="00833819">
        <w:rPr>
          <w:rFonts w:cs="Times New Roman"/>
          <w:bCs/>
          <w:szCs w:val="24"/>
        </w:rPr>
        <w:t>, tendo como base o contexto britânico</w:t>
      </w:r>
      <w:r w:rsidRPr="00833819">
        <w:rPr>
          <w:rFonts w:cs="Times New Roman"/>
          <w:bCs/>
          <w:szCs w:val="24"/>
        </w:rPr>
        <w:t>. Ao menos</w:t>
      </w:r>
      <w:r w:rsidR="00E41111" w:rsidRPr="00833819">
        <w:rPr>
          <w:rFonts w:cs="Times New Roman"/>
          <w:bCs/>
          <w:szCs w:val="24"/>
        </w:rPr>
        <w:t xml:space="preserve"> </w:t>
      </w:r>
      <w:r w:rsidRPr="00833819">
        <w:rPr>
          <w:rFonts w:cs="Times New Roman"/>
          <w:bCs/>
          <w:szCs w:val="24"/>
        </w:rPr>
        <w:t xml:space="preserve">seis </w:t>
      </w:r>
      <w:r w:rsidR="00D04A3C" w:rsidRPr="00833819">
        <w:rPr>
          <w:rFonts w:cs="Times New Roman"/>
          <w:bCs/>
          <w:szCs w:val="24"/>
        </w:rPr>
        <w:t>usos</w:t>
      </w:r>
      <w:r w:rsidRPr="00833819">
        <w:rPr>
          <w:rFonts w:cs="Times New Roman"/>
          <w:bCs/>
          <w:szCs w:val="24"/>
        </w:rPr>
        <w:t xml:space="preserve"> </w:t>
      </w:r>
      <w:r w:rsidR="00191DB3" w:rsidRPr="00833819">
        <w:rPr>
          <w:rFonts w:cs="Times New Roman"/>
          <w:bCs/>
          <w:szCs w:val="24"/>
        </w:rPr>
        <w:t>explanad</w:t>
      </w:r>
      <w:r w:rsidR="00D04A3C" w:rsidRPr="00833819">
        <w:rPr>
          <w:rFonts w:cs="Times New Roman"/>
          <w:bCs/>
          <w:szCs w:val="24"/>
        </w:rPr>
        <w:t>o</w:t>
      </w:r>
      <w:r w:rsidR="00191DB3" w:rsidRPr="00833819">
        <w:rPr>
          <w:rFonts w:cs="Times New Roman"/>
          <w:bCs/>
          <w:szCs w:val="24"/>
        </w:rPr>
        <w:t>s pelo autor revelam o caráter heterogên</w:t>
      </w:r>
      <w:r w:rsidR="002C3475" w:rsidRPr="00833819">
        <w:rPr>
          <w:rFonts w:cs="Times New Roman"/>
          <w:bCs/>
          <w:szCs w:val="24"/>
        </w:rPr>
        <w:t>e</w:t>
      </w:r>
      <w:r w:rsidR="00191DB3" w:rsidRPr="00833819">
        <w:rPr>
          <w:rFonts w:cs="Times New Roman"/>
          <w:bCs/>
          <w:szCs w:val="24"/>
        </w:rPr>
        <w:t>o de governança</w:t>
      </w:r>
      <w:r w:rsidR="00E41111" w:rsidRPr="00833819">
        <w:rPr>
          <w:rFonts w:cs="Times New Roman"/>
          <w:bCs/>
          <w:szCs w:val="24"/>
        </w:rPr>
        <w:t>. E</w:t>
      </w:r>
      <w:r w:rsidR="003F4CAB" w:rsidRPr="00833819">
        <w:rPr>
          <w:rFonts w:cs="Times New Roman"/>
          <w:bCs/>
          <w:szCs w:val="24"/>
        </w:rPr>
        <w:t xml:space="preserve">m Rhodes (1996, p. </w:t>
      </w:r>
      <w:r w:rsidR="00424654" w:rsidRPr="00833819">
        <w:rPr>
          <w:rFonts w:cs="Times New Roman"/>
          <w:bCs/>
          <w:szCs w:val="24"/>
        </w:rPr>
        <w:t>653</w:t>
      </w:r>
      <w:r w:rsidR="00E324B6" w:rsidRPr="00833819">
        <w:rPr>
          <w:rFonts w:cs="Times New Roman"/>
          <w:bCs/>
          <w:szCs w:val="24"/>
        </w:rPr>
        <w:t>-663</w:t>
      </w:r>
      <w:r w:rsidR="003F4CAB" w:rsidRPr="00833819">
        <w:rPr>
          <w:rFonts w:cs="Times New Roman"/>
          <w:bCs/>
          <w:szCs w:val="24"/>
        </w:rPr>
        <w:t>)</w:t>
      </w:r>
      <w:r w:rsidR="00E41111" w:rsidRPr="00833819">
        <w:rPr>
          <w:rFonts w:cs="Times New Roman"/>
          <w:bCs/>
          <w:szCs w:val="24"/>
        </w:rPr>
        <w:t xml:space="preserve"> s</w:t>
      </w:r>
      <w:r w:rsidR="00191DB3" w:rsidRPr="00833819">
        <w:rPr>
          <w:rFonts w:cs="Times New Roman"/>
          <w:bCs/>
          <w:szCs w:val="24"/>
        </w:rPr>
        <w:t>ão el</w:t>
      </w:r>
      <w:r w:rsidR="00E41111" w:rsidRPr="00833819">
        <w:rPr>
          <w:rFonts w:cs="Times New Roman"/>
          <w:bCs/>
          <w:szCs w:val="24"/>
        </w:rPr>
        <w:t>e</w:t>
      </w:r>
      <w:r w:rsidR="00191DB3" w:rsidRPr="00833819">
        <w:rPr>
          <w:rFonts w:cs="Times New Roman"/>
          <w:bCs/>
          <w:szCs w:val="24"/>
        </w:rPr>
        <w:t>s: I) Governança como Estado</w:t>
      </w:r>
      <w:r w:rsidR="00BC7285" w:rsidRPr="00833819">
        <w:rPr>
          <w:rFonts w:cs="Times New Roman"/>
          <w:bCs/>
          <w:szCs w:val="24"/>
        </w:rPr>
        <w:t xml:space="preserve"> m</w:t>
      </w:r>
      <w:r w:rsidR="002E21B7" w:rsidRPr="00833819">
        <w:rPr>
          <w:rFonts w:cs="Times New Roman"/>
          <w:bCs/>
          <w:szCs w:val="24"/>
        </w:rPr>
        <w:t>ínimo</w:t>
      </w:r>
      <w:r w:rsidR="00BC7285" w:rsidRPr="00833819">
        <w:rPr>
          <w:rFonts w:cs="Times New Roman"/>
          <w:bCs/>
          <w:szCs w:val="24"/>
        </w:rPr>
        <w:t xml:space="preserve"> – uma utilização</w:t>
      </w:r>
      <w:r w:rsidR="0012742D" w:rsidRPr="00833819">
        <w:rPr>
          <w:rFonts w:cs="Times New Roman"/>
          <w:bCs/>
          <w:szCs w:val="24"/>
        </w:rPr>
        <w:t xml:space="preserve"> que associa o termo com a redução d</w:t>
      </w:r>
      <w:r w:rsidR="00761552" w:rsidRPr="00833819">
        <w:rPr>
          <w:rFonts w:cs="Times New Roman"/>
          <w:bCs/>
          <w:szCs w:val="24"/>
        </w:rPr>
        <w:t>a extensão do</w:t>
      </w:r>
      <w:r w:rsidR="0012742D" w:rsidRPr="00833819">
        <w:rPr>
          <w:rFonts w:cs="Times New Roman"/>
          <w:bCs/>
          <w:szCs w:val="24"/>
        </w:rPr>
        <w:t xml:space="preserve"> Estado</w:t>
      </w:r>
      <w:r w:rsidR="00761552" w:rsidRPr="00833819">
        <w:rPr>
          <w:rFonts w:cs="Times New Roman"/>
          <w:bCs/>
          <w:szCs w:val="24"/>
        </w:rPr>
        <w:t>. Neste caso, redução da atuação do Estado em gastos com serviços públicos</w:t>
      </w:r>
      <w:r w:rsidR="005F10E0" w:rsidRPr="00833819">
        <w:rPr>
          <w:rFonts w:cs="Times New Roman"/>
          <w:bCs/>
          <w:szCs w:val="24"/>
        </w:rPr>
        <w:t>. Neste uso, governança encapsula a concepção ideológica de menos Estado</w:t>
      </w:r>
      <w:r w:rsidR="00761552" w:rsidRPr="00833819">
        <w:rPr>
          <w:rFonts w:cs="Times New Roman"/>
          <w:bCs/>
          <w:szCs w:val="24"/>
        </w:rPr>
        <w:t>;</w:t>
      </w:r>
      <w:r w:rsidR="003F4CAB" w:rsidRPr="00833819">
        <w:rPr>
          <w:rFonts w:cs="Times New Roman"/>
          <w:bCs/>
          <w:szCs w:val="24"/>
        </w:rPr>
        <w:t xml:space="preserve"> II) Governança como Governança Corporativa – refere-se a um guia geral de supervisão e controle das ações administrativas de uma empresa. Mais tarde foi cooptada por algumas instituições públicas;</w:t>
      </w:r>
    </w:p>
    <w:p w14:paraId="5D94E0B3" w14:textId="759AC984" w:rsidR="00995FC4" w:rsidRPr="00833819" w:rsidRDefault="003F4CAB" w:rsidP="00777CCA">
      <w:pPr>
        <w:autoSpaceDE w:val="0"/>
        <w:autoSpaceDN w:val="0"/>
        <w:adjustRightInd w:val="0"/>
        <w:spacing w:after="0"/>
        <w:ind w:firstLine="851"/>
        <w:rPr>
          <w:rFonts w:cs="Times New Roman"/>
          <w:bCs/>
          <w:szCs w:val="24"/>
        </w:rPr>
      </w:pPr>
      <w:r w:rsidRPr="00833819">
        <w:rPr>
          <w:rFonts w:cs="Times New Roman"/>
          <w:bCs/>
          <w:szCs w:val="24"/>
        </w:rPr>
        <w:t xml:space="preserve"> III) Governança como o novo gerenciamento público</w:t>
      </w:r>
      <w:r w:rsidR="000130FF" w:rsidRPr="00833819">
        <w:rPr>
          <w:rFonts w:cs="Times New Roman"/>
          <w:bCs/>
          <w:szCs w:val="24"/>
        </w:rPr>
        <w:t xml:space="preserve"> – o “novo gerenciamento público” na Grã-Bretanha sofreu influências das correntes do gerencialismo e economia institucional, ambas criadas no ambiente privado. O gerencialismo refere-se a gestão por resultados, proximidade com o cliente e metas de desempenho. A economia institucional nada mais é que o incentivo da concorrência, diminuição de burocracias e escolha do consumidor; IV) Governança </w:t>
      </w:r>
      <w:r w:rsidR="005C4A9F" w:rsidRPr="00833819">
        <w:rPr>
          <w:rFonts w:cs="Times New Roman"/>
          <w:bCs/>
          <w:szCs w:val="24"/>
        </w:rPr>
        <w:t>como “Boa Governança”</w:t>
      </w:r>
      <w:r w:rsidR="008C4A98" w:rsidRPr="00833819">
        <w:rPr>
          <w:rFonts w:cs="Times New Roman"/>
          <w:bCs/>
          <w:szCs w:val="24"/>
        </w:rPr>
        <w:t xml:space="preserve"> </w:t>
      </w:r>
      <w:r w:rsidR="00C47AD8" w:rsidRPr="00833819">
        <w:rPr>
          <w:rFonts w:cs="Times New Roman"/>
          <w:bCs/>
          <w:szCs w:val="24"/>
        </w:rPr>
        <w:t>–</w:t>
      </w:r>
      <w:r w:rsidR="008C4A98" w:rsidRPr="00833819">
        <w:rPr>
          <w:rFonts w:cs="Times New Roman"/>
          <w:bCs/>
          <w:szCs w:val="24"/>
        </w:rPr>
        <w:t xml:space="preserve"> </w:t>
      </w:r>
      <w:r w:rsidR="00C47AD8" w:rsidRPr="00833819">
        <w:rPr>
          <w:rFonts w:cs="Times New Roman"/>
          <w:bCs/>
          <w:szCs w:val="24"/>
        </w:rPr>
        <w:t xml:space="preserve">conforme Rhodes, </w:t>
      </w:r>
      <w:proofErr w:type="spellStart"/>
      <w:r w:rsidR="00C47AD8" w:rsidRPr="00833819">
        <w:rPr>
          <w:rFonts w:cs="Times New Roman"/>
          <w:bCs/>
          <w:szCs w:val="24"/>
        </w:rPr>
        <w:t>Leftwich</w:t>
      </w:r>
      <w:proofErr w:type="spellEnd"/>
      <w:r w:rsidR="00C47AD8" w:rsidRPr="00833819">
        <w:rPr>
          <w:rFonts w:cs="Times New Roman"/>
          <w:bCs/>
          <w:szCs w:val="24"/>
        </w:rPr>
        <w:t xml:space="preserve"> identifica três vertentes da boa governança</w:t>
      </w:r>
      <w:r w:rsidR="00E41111" w:rsidRPr="00833819">
        <w:rPr>
          <w:rFonts w:cs="Times New Roman"/>
          <w:bCs/>
          <w:szCs w:val="24"/>
        </w:rPr>
        <w:t xml:space="preserve"> - </w:t>
      </w:r>
      <w:r w:rsidR="00C47AD8" w:rsidRPr="00833819">
        <w:rPr>
          <w:rFonts w:cs="Times New Roman"/>
          <w:bCs/>
          <w:szCs w:val="24"/>
        </w:rPr>
        <w:t xml:space="preserve">a sistêmica, </w:t>
      </w:r>
      <w:r w:rsidR="00E41111" w:rsidRPr="00833819">
        <w:rPr>
          <w:rFonts w:cs="Times New Roman"/>
          <w:bCs/>
          <w:szCs w:val="24"/>
        </w:rPr>
        <w:t xml:space="preserve">a </w:t>
      </w:r>
      <w:r w:rsidR="00C47AD8" w:rsidRPr="00833819">
        <w:rPr>
          <w:rFonts w:cs="Times New Roman"/>
          <w:bCs/>
          <w:szCs w:val="24"/>
        </w:rPr>
        <w:t xml:space="preserve">política e </w:t>
      </w:r>
      <w:r w:rsidR="00E41111" w:rsidRPr="00833819">
        <w:rPr>
          <w:rFonts w:cs="Times New Roman"/>
          <w:bCs/>
          <w:szCs w:val="24"/>
        </w:rPr>
        <w:t xml:space="preserve">a </w:t>
      </w:r>
      <w:r w:rsidR="00C47AD8" w:rsidRPr="00833819">
        <w:rPr>
          <w:rFonts w:cs="Times New Roman"/>
          <w:bCs/>
          <w:szCs w:val="24"/>
        </w:rPr>
        <w:t>administrativa. A primeira transcende o governo, compreendendo o poder político e econômico interno e externo.  A vertente política diz respeito a um Estado com autoridade e mandato democrático. Já no uso administrativo, se associa a um Estado com serviço público eficiente, responsável e auditado. O Banco Mundial, incorporou este uso de “Boa Governança” como critério de concessão de crédito</w:t>
      </w:r>
      <w:r w:rsidR="00DB21E1" w:rsidRPr="00833819">
        <w:rPr>
          <w:rFonts w:cs="Times New Roman"/>
          <w:bCs/>
          <w:szCs w:val="24"/>
        </w:rPr>
        <w:t>, sobretudo,</w:t>
      </w:r>
      <w:r w:rsidR="00C47AD8" w:rsidRPr="00833819">
        <w:rPr>
          <w:rFonts w:cs="Times New Roman"/>
          <w:bCs/>
          <w:szCs w:val="24"/>
        </w:rPr>
        <w:t xml:space="preserve"> a</w:t>
      </w:r>
      <w:r w:rsidR="00DB21E1" w:rsidRPr="00833819">
        <w:rPr>
          <w:rFonts w:cs="Times New Roman"/>
          <w:bCs/>
          <w:szCs w:val="24"/>
        </w:rPr>
        <w:t>os</w:t>
      </w:r>
      <w:r w:rsidR="00C47AD8" w:rsidRPr="00833819">
        <w:rPr>
          <w:rFonts w:cs="Times New Roman"/>
          <w:bCs/>
          <w:szCs w:val="24"/>
        </w:rPr>
        <w:t xml:space="preserve"> países em desenvolvimento, tendo como exigência a concorrência de mercados, privatizações de empresas públicas e redução das obrigatoriedades do Estado com serviços entendidos como públicos</w:t>
      </w:r>
      <w:r w:rsidR="00B26814" w:rsidRPr="00833819">
        <w:rPr>
          <w:rFonts w:cs="Times New Roman"/>
          <w:bCs/>
          <w:szCs w:val="24"/>
        </w:rPr>
        <w:t xml:space="preserve">; </w:t>
      </w:r>
    </w:p>
    <w:p w14:paraId="2687604C" w14:textId="3143B4B9" w:rsidR="008737F0" w:rsidRPr="00833819" w:rsidRDefault="00B26814" w:rsidP="00777CCA">
      <w:pPr>
        <w:autoSpaceDE w:val="0"/>
        <w:autoSpaceDN w:val="0"/>
        <w:adjustRightInd w:val="0"/>
        <w:spacing w:after="0"/>
        <w:ind w:firstLine="851"/>
        <w:rPr>
          <w:rFonts w:cs="Times New Roman"/>
          <w:bCs/>
          <w:szCs w:val="24"/>
        </w:rPr>
      </w:pPr>
      <w:r w:rsidRPr="00833819">
        <w:rPr>
          <w:rFonts w:cs="Times New Roman"/>
          <w:bCs/>
          <w:szCs w:val="24"/>
        </w:rPr>
        <w:t xml:space="preserve">V) Governança como Sistema </w:t>
      </w:r>
      <w:proofErr w:type="spellStart"/>
      <w:r w:rsidRPr="00833819">
        <w:rPr>
          <w:rFonts w:cs="Times New Roman"/>
          <w:bCs/>
          <w:szCs w:val="24"/>
        </w:rPr>
        <w:t>sócio-cibernético</w:t>
      </w:r>
      <w:proofErr w:type="spellEnd"/>
      <w:r w:rsidRPr="00833819">
        <w:rPr>
          <w:rFonts w:cs="Times New Roman"/>
          <w:bCs/>
          <w:szCs w:val="24"/>
        </w:rPr>
        <w:t xml:space="preserve"> </w:t>
      </w:r>
      <w:r w:rsidR="00995FC4" w:rsidRPr="00833819">
        <w:rPr>
          <w:rFonts w:cs="Times New Roman"/>
          <w:bCs/>
          <w:szCs w:val="24"/>
        </w:rPr>
        <w:t>–</w:t>
      </w:r>
      <w:r w:rsidRPr="00833819">
        <w:rPr>
          <w:rFonts w:cs="Times New Roman"/>
          <w:bCs/>
          <w:szCs w:val="24"/>
        </w:rPr>
        <w:t xml:space="preserve"> </w:t>
      </w:r>
      <w:r w:rsidR="00DB21E1" w:rsidRPr="00833819">
        <w:rPr>
          <w:rFonts w:cs="Times New Roman"/>
          <w:bCs/>
          <w:szCs w:val="24"/>
        </w:rPr>
        <w:t xml:space="preserve">conforme Rhodes, para Jan </w:t>
      </w:r>
      <w:proofErr w:type="spellStart"/>
      <w:r w:rsidR="00DB21E1" w:rsidRPr="00833819">
        <w:rPr>
          <w:rFonts w:cs="Times New Roman"/>
          <w:bCs/>
          <w:szCs w:val="24"/>
        </w:rPr>
        <w:t>Kooiman</w:t>
      </w:r>
      <w:proofErr w:type="spellEnd"/>
      <w:r w:rsidR="00EE4A0B" w:rsidRPr="00833819">
        <w:rPr>
          <w:rFonts w:cs="Times New Roman"/>
          <w:bCs/>
          <w:szCs w:val="24"/>
        </w:rPr>
        <w:t>,</w:t>
      </w:r>
      <w:r w:rsidR="00DB21E1" w:rsidRPr="00833819">
        <w:rPr>
          <w:rFonts w:cs="Times New Roman"/>
          <w:bCs/>
          <w:szCs w:val="24"/>
        </w:rPr>
        <w:t xml:space="preserve"> a denotação de Governança transcende os limites estatal e</w:t>
      </w:r>
      <w:r w:rsidR="00EE4A0B" w:rsidRPr="00833819">
        <w:rPr>
          <w:rFonts w:cs="Times New Roman"/>
          <w:bCs/>
          <w:szCs w:val="24"/>
        </w:rPr>
        <w:t>/ou</w:t>
      </w:r>
      <w:r w:rsidR="00DB21E1" w:rsidRPr="00833819">
        <w:rPr>
          <w:rFonts w:cs="Times New Roman"/>
          <w:bCs/>
          <w:szCs w:val="24"/>
        </w:rPr>
        <w:t xml:space="preserve"> corporativo</w:t>
      </w:r>
      <w:r w:rsidR="00EE4A0B" w:rsidRPr="00833819">
        <w:rPr>
          <w:rFonts w:cs="Times New Roman"/>
          <w:bCs/>
          <w:szCs w:val="24"/>
        </w:rPr>
        <w:t>, sendo construída por um processo que contempla multiatores, envolvendo setores públicos, privado e voluntário;</w:t>
      </w:r>
      <w:r w:rsidR="00DB21E1" w:rsidRPr="00833819">
        <w:rPr>
          <w:rFonts w:cs="Times New Roman"/>
          <w:bCs/>
          <w:szCs w:val="24"/>
        </w:rPr>
        <w:t xml:space="preserve"> </w:t>
      </w:r>
      <w:proofErr w:type="spellStart"/>
      <w:r w:rsidR="00EE4A0B" w:rsidRPr="00833819">
        <w:rPr>
          <w:rFonts w:cs="Times New Roman"/>
          <w:bCs/>
          <w:szCs w:val="24"/>
        </w:rPr>
        <w:t>Kooiman</w:t>
      </w:r>
      <w:proofErr w:type="spellEnd"/>
      <w:r w:rsidR="00EE4A0B" w:rsidRPr="00833819">
        <w:rPr>
          <w:rFonts w:cs="Times New Roman"/>
          <w:bCs/>
          <w:szCs w:val="24"/>
        </w:rPr>
        <w:t xml:space="preserve"> </w:t>
      </w:r>
      <w:r w:rsidR="00DB21E1" w:rsidRPr="00833819">
        <w:rPr>
          <w:rFonts w:cs="Times New Roman"/>
          <w:bCs/>
          <w:szCs w:val="24"/>
        </w:rPr>
        <w:t xml:space="preserve">enxerga </w:t>
      </w:r>
      <w:r w:rsidR="00EE4A0B" w:rsidRPr="00833819">
        <w:rPr>
          <w:rFonts w:cs="Times New Roman"/>
          <w:bCs/>
          <w:szCs w:val="24"/>
        </w:rPr>
        <w:t>a G</w:t>
      </w:r>
      <w:r w:rsidR="00DB21E1" w:rsidRPr="00833819">
        <w:rPr>
          <w:rFonts w:cs="Times New Roman"/>
          <w:bCs/>
          <w:szCs w:val="24"/>
        </w:rPr>
        <w:t>overnança como “o resultado de formas sócio-políticas interativas de governar</w:t>
      </w:r>
      <w:r w:rsidR="00EE4A0B" w:rsidRPr="00833819">
        <w:rPr>
          <w:rFonts w:cs="Times New Roman"/>
          <w:bCs/>
          <w:szCs w:val="24"/>
        </w:rPr>
        <w:t xml:space="preserve">”. </w:t>
      </w:r>
      <w:r w:rsidR="008737F0" w:rsidRPr="00833819">
        <w:rPr>
          <w:rFonts w:cs="Times New Roman"/>
          <w:bCs/>
          <w:szCs w:val="24"/>
        </w:rPr>
        <w:t>Ou seja, a Governança é “</w:t>
      </w:r>
      <w:r w:rsidR="008737F0" w:rsidRPr="00833819">
        <w:rPr>
          <w:rFonts w:cs="Times New Roman"/>
          <w:color w:val="000000"/>
          <w:szCs w:val="24"/>
        </w:rPr>
        <w:t xml:space="preserve">resultado 'comum' dos esforços de </w:t>
      </w:r>
      <w:r w:rsidR="008737F0" w:rsidRPr="00833819">
        <w:rPr>
          <w:rFonts w:cs="Times New Roman"/>
          <w:color w:val="000000"/>
          <w:szCs w:val="24"/>
        </w:rPr>
        <w:lastRenderedPageBreak/>
        <w:t xml:space="preserve">intervenção em interação de todos os atores envolvidos. Esse padrão não pode ser reduzido a um ator ou grupo de atores em </w:t>
      </w:r>
      <w:r w:rsidR="008737F0" w:rsidRPr="00833819">
        <w:rPr>
          <w:rFonts w:cs="Times New Roman"/>
          <w:bCs/>
          <w:szCs w:val="24"/>
        </w:rPr>
        <w:t xml:space="preserve">particular (RHODES, 1996, p. </w:t>
      </w:r>
      <w:r w:rsidR="0038410D" w:rsidRPr="00833819">
        <w:rPr>
          <w:rFonts w:cs="Times New Roman"/>
          <w:bCs/>
          <w:szCs w:val="24"/>
        </w:rPr>
        <w:t>657</w:t>
      </w:r>
      <w:r w:rsidR="006F206B" w:rsidRPr="00833819">
        <w:rPr>
          <w:rFonts w:cs="Times New Roman"/>
          <w:bCs/>
          <w:szCs w:val="24"/>
        </w:rPr>
        <w:t>, Tradução Nossa</w:t>
      </w:r>
      <w:r w:rsidR="008737F0" w:rsidRPr="00833819">
        <w:rPr>
          <w:rFonts w:cs="Times New Roman"/>
          <w:bCs/>
          <w:szCs w:val="24"/>
        </w:rPr>
        <w:t>).</w:t>
      </w:r>
      <w:r w:rsidR="0038410D" w:rsidRPr="00833819">
        <w:rPr>
          <w:rFonts w:cs="Times New Roman"/>
          <w:bCs/>
          <w:szCs w:val="24"/>
        </w:rPr>
        <w:t>”</w:t>
      </w:r>
    </w:p>
    <w:p w14:paraId="60590068" w14:textId="5056F3F3" w:rsidR="00C459E3" w:rsidRPr="00833819" w:rsidRDefault="005053FE" w:rsidP="00777CCA">
      <w:pPr>
        <w:autoSpaceDE w:val="0"/>
        <w:autoSpaceDN w:val="0"/>
        <w:adjustRightInd w:val="0"/>
        <w:spacing w:after="0"/>
        <w:ind w:firstLine="851"/>
        <w:rPr>
          <w:rFonts w:cs="Times New Roman"/>
          <w:bCs/>
          <w:szCs w:val="24"/>
        </w:rPr>
      </w:pPr>
      <w:r w:rsidRPr="00833819">
        <w:rPr>
          <w:rFonts w:cs="Times New Roman"/>
          <w:bCs/>
          <w:szCs w:val="24"/>
        </w:rPr>
        <w:t>VI) Governança como Redes auto-organizadas</w:t>
      </w:r>
      <w:r w:rsidR="00F56333" w:rsidRPr="00833819">
        <w:rPr>
          <w:rFonts w:cs="Times New Roman"/>
          <w:bCs/>
          <w:szCs w:val="24"/>
        </w:rPr>
        <w:t xml:space="preserve"> -</w:t>
      </w:r>
      <w:r w:rsidR="00455CB3" w:rsidRPr="00833819">
        <w:rPr>
          <w:rFonts w:cs="Times New Roman"/>
          <w:bCs/>
          <w:szCs w:val="24"/>
        </w:rPr>
        <w:t xml:space="preserve"> </w:t>
      </w:r>
      <w:r w:rsidR="00CB6A56" w:rsidRPr="00833819">
        <w:rPr>
          <w:rFonts w:cs="Times New Roman"/>
          <w:bCs/>
          <w:szCs w:val="24"/>
        </w:rPr>
        <w:t xml:space="preserve">Esta Governança extrapola as questões governamentais, envolvendo muitos atores que conformam redes </w:t>
      </w:r>
      <w:proofErr w:type="spellStart"/>
      <w:r w:rsidR="00CB6A56" w:rsidRPr="00833819">
        <w:rPr>
          <w:rFonts w:cs="Times New Roman"/>
          <w:bCs/>
          <w:szCs w:val="24"/>
        </w:rPr>
        <w:t>interorganizacionais</w:t>
      </w:r>
      <w:proofErr w:type="spellEnd"/>
      <w:r w:rsidR="00CB6A56" w:rsidRPr="00833819">
        <w:rPr>
          <w:rFonts w:cs="Times New Roman"/>
          <w:bCs/>
          <w:szCs w:val="24"/>
        </w:rPr>
        <w:t xml:space="preserve">, que trocam serviços, informações, conhecimento etc. Rhodes explana que esta Governança tem a ver com o gerenciamento das redes. Este gerenciamento não é trivial do setor público, mas sim de muitas organizações (no âmbito público, privado e voluntário) que se </w:t>
      </w:r>
      <w:proofErr w:type="spellStart"/>
      <w:r w:rsidR="00CB6A56" w:rsidRPr="00833819">
        <w:rPr>
          <w:rFonts w:cs="Times New Roman"/>
          <w:bCs/>
          <w:szCs w:val="24"/>
        </w:rPr>
        <w:t>auto-organizam</w:t>
      </w:r>
      <w:proofErr w:type="spellEnd"/>
      <w:r w:rsidR="00CB6A56" w:rsidRPr="00833819">
        <w:rPr>
          <w:rFonts w:cs="Times New Roman"/>
          <w:bCs/>
          <w:szCs w:val="24"/>
        </w:rPr>
        <w:t xml:space="preserve"> em formato de redes com base na confiabilidade, reputação, cooperação e reciprocidade mútua. Em suma</w:t>
      </w:r>
      <w:r w:rsidR="00BA5D5E" w:rsidRPr="00833819">
        <w:rPr>
          <w:rFonts w:cs="Times New Roman"/>
          <w:bCs/>
          <w:szCs w:val="24"/>
        </w:rPr>
        <w:t>,</w:t>
      </w:r>
      <w:r w:rsidR="00CB6A56" w:rsidRPr="00833819">
        <w:rPr>
          <w:rFonts w:cs="Times New Roman"/>
          <w:bCs/>
          <w:szCs w:val="24"/>
        </w:rPr>
        <w:t xml:space="preserve"> as redes são autônomas e autogovernáveis</w:t>
      </w:r>
      <w:r w:rsidR="00F56333" w:rsidRPr="00833819">
        <w:rPr>
          <w:rFonts w:cs="Times New Roman"/>
          <w:bCs/>
          <w:szCs w:val="24"/>
        </w:rPr>
        <w:t xml:space="preserve">, o governo </w:t>
      </w:r>
      <w:r w:rsidR="00BA5D5E" w:rsidRPr="00833819">
        <w:rPr>
          <w:rFonts w:cs="Times New Roman"/>
          <w:bCs/>
          <w:szCs w:val="24"/>
        </w:rPr>
        <w:t xml:space="preserve">não possuí poder de controle soberano, na verdade </w:t>
      </w:r>
      <w:r w:rsidR="00F56333" w:rsidRPr="00833819">
        <w:rPr>
          <w:rFonts w:cs="Times New Roman"/>
          <w:bCs/>
          <w:szCs w:val="24"/>
        </w:rPr>
        <w:t>faz parte do bojo de atores que conformam as</w:t>
      </w:r>
      <w:r w:rsidR="00BA5D5E" w:rsidRPr="00833819">
        <w:rPr>
          <w:rFonts w:cs="Times New Roman"/>
          <w:bCs/>
          <w:szCs w:val="24"/>
        </w:rPr>
        <w:t xml:space="preserve"> redes auto-organizadas, que “desenvolvem suas próprias políticas e moldam seus ambientes (RHODES, 1996, p.</w:t>
      </w:r>
      <w:r w:rsidR="00DA0F3E" w:rsidRPr="00833819">
        <w:rPr>
          <w:rFonts w:cs="Times New Roman"/>
          <w:bCs/>
          <w:szCs w:val="24"/>
        </w:rPr>
        <w:t xml:space="preserve"> 659</w:t>
      </w:r>
      <w:r w:rsidR="006F206B" w:rsidRPr="00833819">
        <w:rPr>
          <w:rFonts w:cs="Times New Roman"/>
          <w:bCs/>
          <w:szCs w:val="24"/>
        </w:rPr>
        <w:t>, Tradução Nossa</w:t>
      </w:r>
      <w:r w:rsidR="00BA5D5E" w:rsidRPr="00833819">
        <w:rPr>
          <w:rFonts w:cs="Times New Roman"/>
          <w:bCs/>
          <w:szCs w:val="24"/>
        </w:rPr>
        <w:t>)</w:t>
      </w:r>
      <w:r w:rsidR="00DA0F3E" w:rsidRPr="00833819">
        <w:rPr>
          <w:rFonts w:cs="Times New Roman"/>
          <w:bCs/>
          <w:szCs w:val="24"/>
        </w:rPr>
        <w:t>.</w:t>
      </w:r>
      <w:r w:rsidR="00BA5D5E" w:rsidRPr="00833819">
        <w:rPr>
          <w:rFonts w:cs="Times New Roman"/>
          <w:bCs/>
          <w:szCs w:val="24"/>
        </w:rPr>
        <w:t>”</w:t>
      </w:r>
      <w:r w:rsidR="0011287B" w:rsidRPr="00833819">
        <w:rPr>
          <w:rFonts w:cs="Times New Roman"/>
          <w:bCs/>
          <w:szCs w:val="24"/>
        </w:rPr>
        <w:t xml:space="preserve"> </w:t>
      </w:r>
      <w:r w:rsidR="00C459E3" w:rsidRPr="00833819">
        <w:rPr>
          <w:rFonts w:cs="Times New Roman"/>
          <w:bCs/>
          <w:szCs w:val="24"/>
        </w:rPr>
        <w:t xml:space="preserve">Ainda que Rhodes considere que estipular um entendimento de Governança seja arbitrário, o autor reuniu elementos destes usos e propôs Governança como redes </w:t>
      </w:r>
      <w:proofErr w:type="spellStart"/>
      <w:r w:rsidR="00C459E3" w:rsidRPr="00833819">
        <w:rPr>
          <w:rFonts w:cs="Times New Roman"/>
          <w:bCs/>
          <w:szCs w:val="24"/>
        </w:rPr>
        <w:t>auto-organizáveis</w:t>
      </w:r>
      <w:proofErr w:type="spellEnd"/>
      <w:r w:rsidR="00C459E3" w:rsidRPr="00833819">
        <w:rPr>
          <w:rFonts w:cs="Times New Roman"/>
          <w:bCs/>
          <w:szCs w:val="24"/>
        </w:rPr>
        <w:t xml:space="preserve"> e </w:t>
      </w:r>
      <w:proofErr w:type="spellStart"/>
      <w:r w:rsidR="00C459E3" w:rsidRPr="00833819">
        <w:rPr>
          <w:rFonts w:cs="Times New Roman"/>
          <w:bCs/>
          <w:szCs w:val="24"/>
        </w:rPr>
        <w:t>inter-organizacionais</w:t>
      </w:r>
      <w:proofErr w:type="spellEnd"/>
      <w:r w:rsidR="00C459E3" w:rsidRPr="00833819">
        <w:rPr>
          <w:rFonts w:cs="Times New Roman"/>
          <w:bCs/>
          <w:szCs w:val="24"/>
        </w:rPr>
        <w:t xml:space="preserve">. </w:t>
      </w:r>
    </w:p>
    <w:p w14:paraId="73E3149D" w14:textId="5EC08B5A" w:rsidR="0011287B" w:rsidRPr="00833819" w:rsidRDefault="0011287B" w:rsidP="00777CCA">
      <w:pPr>
        <w:autoSpaceDE w:val="0"/>
        <w:autoSpaceDN w:val="0"/>
        <w:adjustRightInd w:val="0"/>
        <w:spacing w:after="0"/>
        <w:ind w:firstLine="851"/>
        <w:rPr>
          <w:rFonts w:cs="Times New Roman"/>
          <w:bCs/>
          <w:szCs w:val="24"/>
        </w:rPr>
      </w:pPr>
      <w:r w:rsidRPr="00833819">
        <w:rPr>
          <w:rFonts w:cs="Times New Roman"/>
          <w:bCs/>
          <w:szCs w:val="24"/>
        </w:rPr>
        <w:t xml:space="preserve">Nesta mesma perspectiva, </w:t>
      </w:r>
      <w:proofErr w:type="spellStart"/>
      <w:r w:rsidRPr="00833819">
        <w:rPr>
          <w:rFonts w:cs="Times New Roman"/>
          <w:bCs/>
          <w:szCs w:val="24"/>
        </w:rPr>
        <w:t>Rosenau</w:t>
      </w:r>
      <w:proofErr w:type="spellEnd"/>
      <w:r w:rsidRPr="00833819">
        <w:rPr>
          <w:rFonts w:cs="Times New Roman"/>
          <w:bCs/>
          <w:szCs w:val="24"/>
        </w:rPr>
        <w:t xml:space="preserve"> (2000) traz Governança como um fenômeno que abrange </w:t>
      </w:r>
      <w:r w:rsidR="000A32D1" w:rsidRPr="00833819">
        <w:rPr>
          <w:rFonts w:cs="Times New Roman"/>
          <w:bCs/>
          <w:szCs w:val="24"/>
        </w:rPr>
        <w:t xml:space="preserve">as </w:t>
      </w:r>
      <w:r w:rsidRPr="00833819">
        <w:rPr>
          <w:rFonts w:cs="Times New Roman"/>
          <w:bCs/>
          <w:szCs w:val="24"/>
        </w:rPr>
        <w:t xml:space="preserve">instituições governamentais e </w:t>
      </w:r>
      <w:r w:rsidR="000A32D1" w:rsidRPr="00833819">
        <w:rPr>
          <w:rFonts w:cs="Times New Roman"/>
          <w:bCs/>
          <w:szCs w:val="24"/>
        </w:rPr>
        <w:t xml:space="preserve">os </w:t>
      </w:r>
      <w:r w:rsidRPr="00833819">
        <w:rPr>
          <w:rFonts w:cs="Times New Roman"/>
          <w:bCs/>
          <w:szCs w:val="24"/>
        </w:rPr>
        <w:t>organismos de caráter não-governamental. “Portanto, a governança é um sistema de ordenação que depende de sentidos intersubjetivos, mas também de constituições e estatutos formalmente instituídos (ROSENAU, 2000, p. 16).”</w:t>
      </w:r>
      <w:r w:rsidR="000A32D1" w:rsidRPr="00833819">
        <w:rPr>
          <w:rFonts w:cs="Times New Roman"/>
          <w:bCs/>
          <w:szCs w:val="24"/>
        </w:rPr>
        <w:t xml:space="preserve"> Para </w:t>
      </w:r>
      <w:proofErr w:type="spellStart"/>
      <w:r w:rsidR="00211202" w:rsidRPr="00833819">
        <w:rPr>
          <w:rFonts w:cs="Times New Roman"/>
          <w:bCs/>
          <w:szCs w:val="24"/>
        </w:rPr>
        <w:t>Jessop</w:t>
      </w:r>
      <w:proofErr w:type="spellEnd"/>
      <w:r w:rsidR="00211202" w:rsidRPr="00833819">
        <w:rPr>
          <w:rFonts w:cs="Times New Roman"/>
          <w:bCs/>
          <w:szCs w:val="24"/>
        </w:rPr>
        <w:t xml:space="preserve"> (2016, p. 165</w:t>
      </w:r>
      <w:r w:rsidR="000A32D1" w:rsidRPr="00833819">
        <w:rPr>
          <w:rFonts w:cs="Times New Roman"/>
          <w:bCs/>
          <w:szCs w:val="24"/>
        </w:rPr>
        <w:t>, Tradução Nossa</w:t>
      </w:r>
      <w:r w:rsidR="00211202" w:rsidRPr="00833819">
        <w:rPr>
          <w:rFonts w:cs="Times New Roman"/>
          <w:bCs/>
          <w:szCs w:val="24"/>
        </w:rPr>
        <w:t>) “governança refere-se a mecanismos e estratégias de coordenação em face da interdependência recíproca complexa entre atores, organizações e funções funcionais sistemas</w:t>
      </w:r>
      <w:r w:rsidR="000A32D1" w:rsidRPr="00833819">
        <w:rPr>
          <w:rFonts w:cs="Times New Roman"/>
          <w:bCs/>
          <w:szCs w:val="24"/>
        </w:rPr>
        <w:t>.</w:t>
      </w:r>
      <w:r w:rsidR="00211202" w:rsidRPr="00833819">
        <w:rPr>
          <w:rFonts w:cs="Times New Roman"/>
          <w:bCs/>
          <w:szCs w:val="24"/>
        </w:rPr>
        <w:t xml:space="preserve">” </w:t>
      </w:r>
      <w:r w:rsidR="000A32D1" w:rsidRPr="00833819">
        <w:rPr>
          <w:rFonts w:cs="Times New Roman"/>
          <w:bCs/>
          <w:szCs w:val="24"/>
        </w:rPr>
        <w:t xml:space="preserve">Esse perfil multidimensional </w:t>
      </w:r>
      <w:r w:rsidR="00211202" w:rsidRPr="00833819">
        <w:rPr>
          <w:rFonts w:cs="Times New Roman"/>
          <w:bCs/>
          <w:szCs w:val="24"/>
        </w:rPr>
        <w:t xml:space="preserve">de governança </w:t>
      </w:r>
      <w:r w:rsidR="000A32D1" w:rsidRPr="00833819">
        <w:rPr>
          <w:rFonts w:cs="Times New Roman"/>
          <w:bCs/>
          <w:szCs w:val="24"/>
        </w:rPr>
        <w:t>evoca</w:t>
      </w:r>
      <w:r w:rsidR="00211202" w:rsidRPr="00833819">
        <w:rPr>
          <w:rFonts w:cs="Times New Roman"/>
          <w:bCs/>
          <w:szCs w:val="24"/>
        </w:rPr>
        <w:t xml:space="preserve"> a coexistência de d</w:t>
      </w:r>
      <w:r w:rsidR="000A32D1" w:rsidRPr="00833819">
        <w:rPr>
          <w:rFonts w:cs="Times New Roman"/>
          <w:bCs/>
          <w:szCs w:val="24"/>
        </w:rPr>
        <w:t>istintas</w:t>
      </w:r>
      <w:r w:rsidR="00211202" w:rsidRPr="00833819">
        <w:rPr>
          <w:rFonts w:cs="Times New Roman"/>
          <w:bCs/>
          <w:szCs w:val="24"/>
        </w:rPr>
        <w:t xml:space="preserve"> formas de controle (BEZERRA, 2012). </w:t>
      </w:r>
      <w:r w:rsidR="000A32D1" w:rsidRPr="00833819">
        <w:rPr>
          <w:rFonts w:cs="Times New Roman"/>
          <w:bCs/>
          <w:szCs w:val="24"/>
        </w:rPr>
        <w:t>Essas formas de controle são oriundas de inúmeras organizações que estão em</w:t>
      </w:r>
      <w:r w:rsidRPr="00833819">
        <w:rPr>
          <w:rFonts w:cs="Times New Roman"/>
          <w:bCs/>
          <w:szCs w:val="24"/>
        </w:rPr>
        <w:t xml:space="preserve"> multiescalas </w:t>
      </w:r>
      <w:r w:rsidR="000A32D1" w:rsidRPr="00833819">
        <w:rPr>
          <w:rFonts w:cs="Times New Roman"/>
          <w:bCs/>
          <w:szCs w:val="24"/>
        </w:rPr>
        <w:t xml:space="preserve">espaciais, trazendo consigo complexidades </w:t>
      </w:r>
      <w:r w:rsidRPr="00833819">
        <w:rPr>
          <w:rFonts w:cs="Times New Roman"/>
          <w:bCs/>
          <w:szCs w:val="24"/>
        </w:rPr>
        <w:t xml:space="preserve">diversas </w:t>
      </w:r>
      <w:r w:rsidR="00A02F23" w:rsidRPr="00833819">
        <w:rPr>
          <w:rFonts w:cs="Times New Roman"/>
          <w:bCs/>
          <w:szCs w:val="24"/>
        </w:rPr>
        <w:t>no âmbito da</w:t>
      </w:r>
      <w:r w:rsidRPr="00833819">
        <w:rPr>
          <w:rFonts w:cs="Times New Roman"/>
          <w:bCs/>
          <w:szCs w:val="24"/>
        </w:rPr>
        <w:t xml:space="preserve"> governança e regulação. </w:t>
      </w:r>
      <w:r w:rsidR="000A32D1" w:rsidRPr="00833819">
        <w:rPr>
          <w:rFonts w:cs="Times New Roman"/>
          <w:bCs/>
          <w:szCs w:val="24"/>
        </w:rPr>
        <w:t>Portanto, a</w:t>
      </w:r>
      <w:r w:rsidR="0013545B" w:rsidRPr="00833819">
        <w:rPr>
          <w:rFonts w:cs="Times New Roman"/>
          <w:bCs/>
          <w:szCs w:val="24"/>
        </w:rPr>
        <w:t>s</w:t>
      </w:r>
      <w:r w:rsidRPr="00833819">
        <w:rPr>
          <w:rFonts w:cs="Times New Roman"/>
          <w:bCs/>
          <w:szCs w:val="24"/>
        </w:rPr>
        <w:t xml:space="preserve"> </w:t>
      </w:r>
      <w:r w:rsidR="0013545B" w:rsidRPr="00833819">
        <w:rPr>
          <w:rFonts w:cs="Times New Roman"/>
          <w:bCs/>
          <w:szCs w:val="24"/>
        </w:rPr>
        <w:t>“</w:t>
      </w:r>
      <w:r w:rsidRPr="00833819">
        <w:rPr>
          <w:rFonts w:cs="Times New Roman"/>
          <w:bCs/>
          <w:szCs w:val="24"/>
        </w:rPr>
        <w:t>governança</w:t>
      </w:r>
      <w:r w:rsidR="0013545B" w:rsidRPr="00833819">
        <w:rPr>
          <w:rFonts w:cs="Times New Roman"/>
          <w:bCs/>
          <w:szCs w:val="24"/>
        </w:rPr>
        <w:t>s”</w:t>
      </w:r>
      <w:r w:rsidRPr="00833819">
        <w:rPr>
          <w:rFonts w:cs="Times New Roman"/>
          <w:bCs/>
          <w:szCs w:val="24"/>
        </w:rPr>
        <w:t xml:space="preserve"> </w:t>
      </w:r>
      <w:r w:rsidR="000A32D1" w:rsidRPr="00833819">
        <w:rPr>
          <w:rFonts w:cs="Times New Roman"/>
          <w:bCs/>
          <w:szCs w:val="24"/>
        </w:rPr>
        <w:t>torna</w:t>
      </w:r>
      <w:r w:rsidR="0013545B" w:rsidRPr="00833819">
        <w:rPr>
          <w:rFonts w:cs="Times New Roman"/>
          <w:bCs/>
          <w:szCs w:val="24"/>
        </w:rPr>
        <w:t>m</w:t>
      </w:r>
      <w:r w:rsidR="000A32D1" w:rsidRPr="00833819">
        <w:rPr>
          <w:rFonts w:cs="Times New Roman"/>
          <w:bCs/>
          <w:szCs w:val="24"/>
        </w:rPr>
        <w:t>-se</w:t>
      </w:r>
      <w:r w:rsidRPr="00833819">
        <w:rPr>
          <w:rFonts w:cs="Times New Roman"/>
          <w:bCs/>
          <w:szCs w:val="24"/>
        </w:rPr>
        <w:t xml:space="preserve"> multiescalar </w:t>
      </w:r>
      <w:r w:rsidR="0013545B" w:rsidRPr="00833819">
        <w:rPr>
          <w:rFonts w:cs="Times New Roman"/>
          <w:bCs/>
          <w:szCs w:val="24"/>
        </w:rPr>
        <w:t xml:space="preserve">espacialmente </w:t>
      </w:r>
      <w:r w:rsidRPr="00833819">
        <w:rPr>
          <w:rFonts w:cs="Times New Roman"/>
          <w:bCs/>
          <w:szCs w:val="24"/>
        </w:rPr>
        <w:t>(COES; DICKEN; HESS, 2008).</w:t>
      </w:r>
    </w:p>
    <w:p w14:paraId="0ED31839" w14:textId="55DA162A" w:rsidR="00211202" w:rsidRPr="00833819" w:rsidRDefault="00211202" w:rsidP="00777CCA">
      <w:pPr>
        <w:tabs>
          <w:tab w:val="left" w:pos="2115"/>
        </w:tabs>
        <w:spacing w:after="0"/>
        <w:ind w:firstLine="851"/>
        <w:rPr>
          <w:rFonts w:cs="Times New Roman"/>
          <w:szCs w:val="24"/>
        </w:rPr>
      </w:pPr>
      <w:r w:rsidRPr="00833819">
        <w:rPr>
          <w:rFonts w:cs="Times New Roman"/>
          <w:szCs w:val="24"/>
        </w:rPr>
        <w:t xml:space="preserve">A estrutura de governança das redes é alterada pela natureza em que se constituem os padrões ambientais e sociais – agora várias partes envolvidas nas </w:t>
      </w:r>
      <w:r w:rsidR="006569E2" w:rsidRPr="00833819">
        <w:rPr>
          <w:rFonts w:cs="Times New Roman"/>
          <w:szCs w:val="24"/>
        </w:rPr>
        <w:t>R</w:t>
      </w:r>
      <w:r w:rsidRPr="00833819">
        <w:rPr>
          <w:rFonts w:cs="Times New Roman"/>
          <w:szCs w:val="24"/>
        </w:rPr>
        <w:t xml:space="preserve">edes de </w:t>
      </w:r>
      <w:r w:rsidR="006569E2" w:rsidRPr="00833819">
        <w:rPr>
          <w:rFonts w:cs="Times New Roman"/>
          <w:szCs w:val="24"/>
        </w:rPr>
        <w:t>P</w:t>
      </w:r>
      <w:r w:rsidRPr="00833819">
        <w:rPr>
          <w:rFonts w:cs="Times New Roman"/>
          <w:szCs w:val="24"/>
        </w:rPr>
        <w:t xml:space="preserve">rodução </w:t>
      </w:r>
      <w:r w:rsidR="006569E2" w:rsidRPr="00833819">
        <w:rPr>
          <w:rFonts w:cs="Times New Roman"/>
          <w:szCs w:val="24"/>
        </w:rPr>
        <w:t>G</w:t>
      </w:r>
      <w:r w:rsidRPr="00833819">
        <w:rPr>
          <w:rFonts w:cs="Times New Roman"/>
          <w:szCs w:val="24"/>
        </w:rPr>
        <w:t>lobal</w:t>
      </w:r>
      <w:r w:rsidR="006569E2" w:rsidRPr="00833819">
        <w:rPr>
          <w:rStyle w:val="Refdenotaderodap"/>
          <w:rFonts w:cs="Times New Roman"/>
          <w:szCs w:val="24"/>
        </w:rPr>
        <w:footnoteReference w:id="1"/>
      </w:r>
      <w:r w:rsidR="004C1FAD" w:rsidRPr="00833819">
        <w:rPr>
          <w:rFonts w:cs="Times New Roman"/>
          <w:szCs w:val="24"/>
        </w:rPr>
        <w:t xml:space="preserve"> (RPG)</w:t>
      </w:r>
      <w:r w:rsidRPr="00833819">
        <w:rPr>
          <w:rFonts w:cs="Times New Roman"/>
          <w:szCs w:val="24"/>
        </w:rPr>
        <w:t xml:space="preserve"> definem os padrões nas plataformas globais. Os multiatores, público ou privado, </w:t>
      </w:r>
      <w:r w:rsidRPr="00833819">
        <w:rPr>
          <w:rFonts w:cs="Times New Roman"/>
          <w:szCs w:val="24"/>
        </w:rPr>
        <w:lastRenderedPageBreak/>
        <w:t>envolvidos na definição dos padrões internacionais são de lugares distintos, com atuação em escalas geográficas nos níveis local, regional e internacional, criando assimetrias espaciais. E</w:t>
      </w:r>
      <w:r w:rsidR="0013545B" w:rsidRPr="00833819">
        <w:rPr>
          <w:rFonts w:cs="Times New Roman"/>
          <w:szCs w:val="24"/>
        </w:rPr>
        <w:t>m</w:t>
      </w:r>
      <w:r w:rsidRPr="00833819">
        <w:rPr>
          <w:rFonts w:cs="Times New Roman"/>
          <w:szCs w:val="24"/>
        </w:rPr>
        <w:t xml:space="preserve"> suma, as redes </w:t>
      </w:r>
      <w:r w:rsidR="0013545B" w:rsidRPr="00833819">
        <w:rPr>
          <w:rFonts w:cs="Times New Roman"/>
          <w:szCs w:val="24"/>
        </w:rPr>
        <w:t>transitam</w:t>
      </w:r>
      <w:r w:rsidRPr="00833819">
        <w:rPr>
          <w:rFonts w:cs="Times New Roman"/>
          <w:szCs w:val="24"/>
        </w:rPr>
        <w:t xml:space="preserve"> </w:t>
      </w:r>
      <w:r w:rsidR="0013545B" w:rsidRPr="00833819">
        <w:rPr>
          <w:rFonts w:cs="Times New Roman"/>
          <w:szCs w:val="24"/>
        </w:rPr>
        <w:t>em dimensões</w:t>
      </w:r>
      <w:r w:rsidRPr="00833819">
        <w:rPr>
          <w:rFonts w:cs="Times New Roman"/>
          <w:szCs w:val="24"/>
        </w:rPr>
        <w:t xml:space="preserve"> </w:t>
      </w:r>
      <w:r w:rsidR="0013545B" w:rsidRPr="00833819">
        <w:rPr>
          <w:rFonts w:cs="Times New Roman"/>
          <w:szCs w:val="24"/>
        </w:rPr>
        <w:t>multiterritoriais, englobando</w:t>
      </w:r>
      <w:r w:rsidRPr="00833819">
        <w:rPr>
          <w:rFonts w:cs="Times New Roman"/>
          <w:szCs w:val="24"/>
        </w:rPr>
        <w:t xml:space="preserve"> </w:t>
      </w:r>
      <w:r w:rsidR="0013545B" w:rsidRPr="00833819">
        <w:rPr>
          <w:rFonts w:cs="Times New Roman"/>
          <w:szCs w:val="24"/>
        </w:rPr>
        <w:t xml:space="preserve">diversas </w:t>
      </w:r>
      <w:r w:rsidRPr="00833819">
        <w:rPr>
          <w:rFonts w:cs="Times New Roman"/>
          <w:szCs w:val="24"/>
        </w:rPr>
        <w:t>jurisdiç</w:t>
      </w:r>
      <w:r w:rsidR="0013545B" w:rsidRPr="00833819">
        <w:rPr>
          <w:rFonts w:cs="Times New Roman"/>
          <w:szCs w:val="24"/>
        </w:rPr>
        <w:t>ões</w:t>
      </w:r>
      <w:r w:rsidRPr="00833819">
        <w:rPr>
          <w:rFonts w:cs="Times New Roman"/>
          <w:szCs w:val="24"/>
        </w:rPr>
        <w:t xml:space="preserve"> </w:t>
      </w:r>
      <w:r w:rsidR="0013545B" w:rsidRPr="00833819">
        <w:rPr>
          <w:rFonts w:cs="Times New Roman"/>
          <w:szCs w:val="24"/>
        </w:rPr>
        <w:t>(</w:t>
      </w:r>
      <w:r w:rsidRPr="00833819">
        <w:rPr>
          <w:rFonts w:cs="Times New Roman"/>
          <w:szCs w:val="24"/>
        </w:rPr>
        <w:t>normas distintas</w:t>
      </w:r>
      <w:r w:rsidR="0013545B" w:rsidRPr="00833819">
        <w:rPr>
          <w:rFonts w:cs="Times New Roman"/>
          <w:szCs w:val="24"/>
        </w:rPr>
        <w:t>)</w:t>
      </w:r>
      <w:r w:rsidRPr="00833819">
        <w:rPr>
          <w:rFonts w:cs="Times New Roman"/>
          <w:szCs w:val="24"/>
        </w:rPr>
        <w:t>. Desse modo, formam-se novos arranjos institucionais internacionais (COE; DICKEN; HESS, 2008).</w:t>
      </w:r>
    </w:p>
    <w:p w14:paraId="5354FFB3" w14:textId="08ED4C11" w:rsidR="00211202" w:rsidRPr="00833819" w:rsidRDefault="00211202" w:rsidP="00777CCA">
      <w:pPr>
        <w:tabs>
          <w:tab w:val="left" w:pos="2115"/>
        </w:tabs>
        <w:spacing w:after="0"/>
        <w:ind w:firstLine="851"/>
        <w:rPr>
          <w:rFonts w:cs="Times New Roman"/>
          <w:szCs w:val="24"/>
        </w:rPr>
      </w:pPr>
      <w:r w:rsidRPr="00833819">
        <w:rPr>
          <w:rFonts w:cs="Times New Roman"/>
          <w:szCs w:val="24"/>
        </w:rPr>
        <w:t xml:space="preserve">Entretanto, a centralidade dos </w:t>
      </w:r>
      <w:r w:rsidR="0013545B" w:rsidRPr="00833819">
        <w:rPr>
          <w:rFonts w:cs="Times New Roman"/>
          <w:szCs w:val="24"/>
        </w:rPr>
        <w:t>E</w:t>
      </w:r>
      <w:r w:rsidRPr="00833819">
        <w:rPr>
          <w:rFonts w:cs="Times New Roman"/>
          <w:szCs w:val="24"/>
        </w:rPr>
        <w:t>stados-</w:t>
      </w:r>
      <w:r w:rsidR="0013545B" w:rsidRPr="00833819">
        <w:rPr>
          <w:rFonts w:cs="Times New Roman"/>
          <w:szCs w:val="24"/>
        </w:rPr>
        <w:t>N</w:t>
      </w:r>
      <w:r w:rsidRPr="00833819">
        <w:rPr>
          <w:rFonts w:cs="Times New Roman"/>
          <w:szCs w:val="24"/>
        </w:rPr>
        <w:t>ações ainda são atores-chave nas redes de produção global, pois o Estado-</w:t>
      </w:r>
      <w:r w:rsidR="004C1FAD" w:rsidRPr="00833819">
        <w:rPr>
          <w:rFonts w:cs="Times New Roman"/>
          <w:szCs w:val="24"/>
        </w:rPr>
        <w:t>N</w:t>
      </w:r>
      <w:r w:rsidRPr="00833819">
        <w:rPr>
          <w:rFonts w:cs="Times New Roman"/>
          <w:szCs w:val="24"/>
        </w:rPr>
        <w:t>ação ainda mantém os organismos internacionais e subnacionais vinculados a alguma estrutura política básica dos estados nacionais. O próprio estado sanciona a criação de instituições internacionais, e estas se fixam em algum território político estatal. Contudo, na contemporaneidade se observa mais fluidez e flexibilidade. Um exemplo empírico são os arranjos econômicos e macrorregionais. Os acordos de livre comércio e/ou de pessoas entre países como</w:t>
      </w:r>
      <w:r w:rsidR="0013545B" w:rsidRPr="00833819">
        <w:rPr>
          <w:rFonts w:cs="Times New Roman"/>
          <w:szCs w:val="24"/>
        </w:rPr>
        <w:t xml:space="preserve"> por exemplo</w:t>
      </w:r>
      <w:r w:rsidRPr="00833819">
        <w:rPr>
          <w:rFonts w:cs="Times New Roman"/>
          <w:szCs w:val="24"/>
        </w:rPr>
        <w:t xml:space="preserve"> </w:t>
      </w:r>
      <w:r w:rsidR="0013545B" w:rsidRPr="00833819">
        <w:rPr>
          <w:rFonts w:cs="Times New Roman"/>
          <w:szCs w:val="24"/>
        </w:rPr>
        <w:t>d</w:t>
      </w:r>
      <w:r w:rsidRPr="00833819">
        <w:rPr>
          <w:rFonts w:cs="Times New Roman"/>
          <w:szCs w:val="24"/>
        </w:rPr>
        <w:t>a União Europeia, Nafta e Mercosul, alter</w:t>
      </w:r>
      <w:r w:rsidR="0013545B" w:rsidRPr="00833819">
        <w:rPr>
          <w:rFonts w:cs="Times New Roman"/>
          <w:szCs w:val="24"/>
        </w:rPr>
        <w:t>am</w:t>
      </w:r>
      <w:r w:rsidRPr="00833819">
        <w:rPr>
          <w:rFonts w:cs="Times New Roman"/>
          <w:szCs w:val="24"/>
        </w:rPr>
        <w:t xml:space="preserve"> significativamente a superfície econômica e política onde operam </w:t>
      </w:r>
      <w:r w:rsidR="0013545B" w:rsidRPr="00833819">
        <w:rPr>
          <w:rFonts w:cs="Times New Roman"/>
          <w:szCs w:val="24"/>
        </w:rPr>
        <w:t>os atores das</w:t>
      </w:r>
      <w:r w:rsidRPr="00833819">
        <w:rPr>
          <w:rFonts w:cs="Times New Roman"/>
          <w:szCs w:val="24"/>
        </w:rPr>
        <w:t xml:space="preserve"> RPGs (COE; HESS, 2008). </w:t>
      </w:r>
    </w:p>
    <w:p w14:paraId="128BCD32" w14:textId="212D887A" w:rsidR="0013545B" w:rsidRPr="00833819" w:rsidRDefault="0013545B" w:rsidP="00777CCA">
      <w:pPr>
        <w:tabs>
          <w:tab w:val="left" w:pos="2115"/>
        </w:tabs>
        <w:spacing w:after="0"/>
        <w:ind w:firstLine="851"/>
        <w:rPr>
          <w:rFonts w:cs="Times New Roman"/>
          <w:szCs w:val="24"/>
        </w:rPr>
      </w:pPr>
      <w:r w:rsidRPr="00833819">
        <w:rPr>
          <w:rFonts w:cs="Times New Roman"/>
          <w:szCs w:val="24"/>
        </w:rPr>
        <w:t xml:space="preserve">A questão territorial envolve relações de poder entre atores, e estas são reveladas nas práticas de governança. As </w:t>
      </w:r>
      <w:r w:rsidR="00AA17F3" w:rsidRPr="00833819">
        <w:rPr>
          <w:rFonts w:cs="Times New Roman"/>
          <w:szCs w:val="24"/>
        </w:rPr>
        <w:t>ações de atores no território dão o caráter da</w:t>
      </w:r>
      <w:r w:rsidRPr="00833819">
        <w:rPr>
          <w:rFonts w:cs="Times New Roman"/>
          <w:szCs w:val="24"/>
        </w:rPr>
        <w:t xml:space="preserve"> governança </w:t>
      </w:r>
      <w:r w:rsidR="00AA17F3" w:rsidRPr="00833819">
        <w:rPr>
          <w:rFonts w:cs="Times New Roman"/>
          <w:szCs w:val="24"/>
        </w:rPr>
        <w:t xml:space="preserve">territorial que está sendo exercida. </w:t>
      </w:r>
      <w:r w:rsidR="00C816D9" w:rsidRPr="00833819">
        <w:rPr>
          <w:rFonts w:cs="Times New Roman"/>
          <w:szCs w:val="24"/>
        </w:rPr>
        <w:t>A G</w:t>
      </w:r>
      <w:r w:rsidR="00AA17F3" w:rsidRPr="00833819">
        <w:rPr>
          <w:rFonts w:cs="Times New Roman"/>
          <w:szCs w:val="24"/>
        </w:rPr>
        <w:t xml:space="preserve">overnança </w:t>
      </w:r>
      <w:r w:rsidR="00C816D9" w:rsidRPr="00833819">
        <w:rPr>
          <w:rFonts w:cs="Times New Roman"/>
          <w:szCs w:val="24"/>
        </w:rPr>
        <w:t>T</w:t>
      </w:r>
      <w:r w:rsidR="00AA17F3" w:rsidRPr="00833819">
        <w:rPr>
          <w:rFonts w:cs="Times New Roman"/>
          <w:szCs w:val="24"/>
        </w:rPr>
        <w:t xml:space="preserve">erritorial pode ser entendida da seguinte forma: </w:t>
      </w:r>
    </w:p>
    <w:p w14:paraId="376C1C92" w14:textId="3F7735A3" w:rsidR="004C1FAD" w:rsidRPr="00833819" w:rsidRDefault="004C1FAD" w:rsidP="00777CCA">
      <w:pPr>
        <w:tabs>
          <w:tab w:val="left" w:pos="2115"/>
        </w:tabs>
        <w:spacing w:after="0" w:line="240" w:lineRule="auto"/>
        <w:ind w:firstLine="851"/>
        <w:rPr>
          <w:rFonts w:cs="Times New Roman"/>
          <w:szCs w:val="24"/>
        </w:rPr>
      </w:pPr>
    </w:p>
    <w:p w14:paraId="5B5181FC" w14:textId="77777777" w:rsidR="00AA17F3" w:rsidRPr="00833819" w:rsidRDefault="00AA17F3" w:rsidP="00777CCA">
      <w:pPr>
        <w:tabs>
          <w:tab w:val="left" w:pos="2115"/>
        </w:tabs>
        <w:spacing w:after="0" w:line="240" w:lineRule="auto"/>
        <w:ind w:firstLine="851"/>
        <w:rPr>
          <w:rFonts w:cs="Times New Roman"/>
          <w:szCs w:val="24"/>
        </w:rPr>
      </w:pPr>
    </w:p>
    <w:p w14:paraId="0FE87B4E" w14:textId="515D5917" w:rsidR="00AA17F3" w:rsidRPr="00833819" w:rsidRDefault="00AA17F3" w:rsidP="00777CCA">
      <w:pPr>
        <w:autoSpaceDE w:val="0"/>
        <w:autoSpaceDN w:val="0"/>
        <w:adjustRightInd w:val="0"/>
        <w:spacing w:after="0" w:line="240" w:lineRule="auto"/>
        <w:ind w:left="2268"/>
        <w:rPr>
          <w:rFonts w:cs="Times New Roman"/>
          <w:bCs/>
          <w:sz w:val="20"/>
          <w:szCs w:val="20"/>
        </w:rPr>
      </w:pPr>
      <w:r w:rsidRPr="00833819">
        <w:rPr>
          <w:rFonts w:cs="Times New Roman"/>
          <w:sz w:val="20"/>
          <w:szCs w:val="20"/>
        </w:rPr>
        <w:t>(...)</w:t>
      </w:r>
      <w:r w:rsidR="0060439D" w:rsidRPr="00833819">
        <w:rPr>
          <w:rFonts w:cs="Times New Roman"/>
          <w:sz w:val="20"/>
          <w:szCs w:val="20"/>
        </w:rPr>
        <w:t xml:space="preserve"> como o exercício do poder e</w:t>
      </w:r>
      <w:r w:rsidRPr="00833819">
        <w:rPr>
          <w:rFonts w:cs="Times New Roman"/>
          <w:sz w:val="20"/>
          <w:szCs w:val="20"/>
        </w:rPr>
        <w:t xml:space="preserve"> </w:t>
      </w:r>
      <w:r w:rsidR="0060439D" w:rsidRPr="00833819">
        <w:rPr>
          <w:rFonts w:cs="Times New Roman"/>
          <w:sz w:val="20"/>
          <w:szCs w:val="20"/>
        </w:rPr>
        <w:t>autoridade, por parte dos cidadãos ou grupos devidamente articulados nas</w:t>
      </w:r>
      <w:r w:rsidRPr="00833819">
        <w:rPr>
          <w:rFonts w:cs="Times New Roman"/>
          <w:sz w:val="20"/>
          <w:szCs w:val="20"/>
        </w:rPr>
        <w:t xml:space="preserve"> </w:t>
      </w:r>
      <w:r w:rsidR="0060439D" w:rsidRPr="00833819">
        <w:rPr>
          <w:rFonts w:cs="Times New Roman"/>
          <w:sz w:val="20"/>
          <w:szCs w:val="20"/>
        </w:rPr>
        <w:t>suas instituições e organizações regionais, incluindo todos os processos,</w:t>
      </w:r>
      <w:r w:rsidRPr="00833819">
        <w:rPr>
          <w:rFonts w:cs="Times New Roman"/>
          <w:sz w:val="20"/>
          <w:szCs w:val="20"/>
        </w:rPr>
        <w:t xml:space="preserve"> </w:t>
      </w:r>
      <w:r w:rsidR="0060439D" w:rsidRPr="00833819">
        <w:rPr>
          <w:rFonts w:cs="Times New Roman"/>
          <w:sz w:val="20"/>
          <w:szCs w:val="20"/>
        </w:rPr>
        <w:t>com o objetivo de diagnosticar a realidade, definir prioridades, planejar a</w:t>
      </w:r>
      <w:r w:rsidRPr="00833819">
        <w:rPr>
          <w:rFonts w:cs="Times New Roman"/>
          <w:sz w:val="20"/>
          <w:szCs w:val="20"/>
        </w:rPr>
        <w:t xml:space="preserve"> </w:t>
      </w:r>
      <w:r w:rsidR="0060439D" w:rsidRPr="00833819">
        <w:rPr>
          <w:rFonts w:cs="Times New Roman"/>
          <w:sz w:val="20"/>
          <w:szCs w:val="20"/>
        </w:rPr>
        <w:t>implementação das ações e, assim, determinar como os recursos financeiros,</w:t>
      </w:r>
      <w:r w:rsidRPr="00833819">
        <w:rPr>
          <w:rFonts w:cs="Times New Roman"/>
          <w:sz w:val="20"/>
          <w:szCs w:val="20"/>
        </w:rPr>
        <w:t xml:space="preserve"> </w:t>
      </w:r>
      <w:r w:rsidR="0060439D" w:rsidRPr="00833819">
        <w:rPr>
          <w:rFonts w:cs="Times New Roman"/>
          <w:sz w:val="20"/>
          <w:szCs w:val="20"/>
        </w:rPr>
        <w:t>materiais e humanos devam ser alocados, para a dinamização das</w:t>
      </w:r>
      <w:r w:rsidRPr="00833819">
        <w:rPr>
          <w:rFonts w:cs="Times New Roman"/>
          <w:sz w:val="20"/>
          <w:szCs w:val="20"/>
        </w:rPr>
        <w:t xml:space="preserve"> </w:t>
      </w:r>
      <w:r w:rsidR="0060439D" w:rsidRPr="00833819">
        <w:rPr>
          <w:rFonts w:cs="Times New Roman"/>
          <w:sz w:val="20"/>
          <w:szCs w:val="20"/>
        </w:rPr>
        <w:t>potencialidades e superação dos desafios, visando ao desenvolvimento de</w:t>
      </w:r>
      <w:r w:rsidRPr="00833819">
        <w:rPr>
          <w:rFonts w:cs="Times New Roman"/>
          <w:sz w:val="20"/>
          <w:szCs w:val="20"/>
        </w:rPr>
        <w:t xml:space="preserve"> </w:t>
      </w:r>
      <w:r w:rsidR="0060439D" w:rsidRPr="00833819">
        <w:rPr>
          <w:rFonts w:cs="Times New Roman"/>
          <w:sz w:val="20"/>
          <w:szCs w:val="20"/>
        </w:rPr>
        <w:t>uma região ou território</w:t>
      </w:r>
      <w:r w:rsidRPr="00833819">
        <w:rPr>
          <w:rFonts w:cs="Times New Roman"/>
          <w:sz w:val="20"/>
          <w:szCs w:val="20"/>
        </w:rPr>
        <w:t xml:space="preserve"> </w:t>
      </w:r>
      <w:r w:rsidRPr="00833819">
        <w:rPr>
          <w:rFonts w:cs="Times New Roman"/>
          <w:bCs/>
          <w:sz w:val="20"/>
          <w:szCs w:val="20"/>
        </w:rPr>
        <w:t>(DALLABRIDA; BECKER, 2003, p. 80).”</w:t>
      </w:r>
    </w:p>
    <w:p w14:paraId="071C2945" w14:textId="684DE8CA" w:rsidR="0060439D" w:rsidRPr="00833819" w:rsidRDefault="0060439D" w:rsidP="00777CCA">
      <w:pPr>
        <w:autoSpaceDE w:val="0"/>
        <w:autoSpaceDN w:val="0"/>
        <w:adjustRightInd w:val="0"/>
        <w:spacing w:after="0" w:line="240" w:lineRule="auto"/>
        <w:ind w:left="2268" w:firstLine="851"/>
        <w:rPr>
          <w:rFonts w:cs="Times New Roman"/>
          <w:szCs w:val="24"/>
        </w:rPr>
      </w:pPr>
    </w:p>
    <w:p w14:paraId="650455BA" w14:textId="72599A42" w:rsidR="00E324B6" w:rsidRPr="00833819" w:rsidRDefault="00E324B6" w:rsidP="00777CCA">
      <w:pPr>
        <w:tabs>
          <w:tab w:val="left" w:pos="2115"/>
        </w:tabs>
        <w:spacing w:after="0" w:line="240" w:lineRule="auto"/>
        <w:ind w:firstLine="851"/>
        <w:rPr>
          <w:rFonts w:cs="Times New Roman"/>
          <w:szCs w:val="24"/>
        </w:rPr>
      </w:pPr>
    </w:p>
    <w:p w14:paraId="512C87AF" w14:textId="32D7B625" w:rsidR="004B4D35" w:rsidRPr="00833819" w:rsidRDefault="003C2447" w:rsidP="00777CCA">
      <w:pPr>
        <w:autoSpaceDE w:val="0"/>
        <w:autoSpaceDN w:val="0"/>
        <w:adjustRightInd w:val="0"/>
        <w:spacing w:after="0"/>
        <w:ind w:firstLine="851"/>
        <w:rPr>
          <w:rFonts w:cs="Times New Roman"/>
          <w:szCs w:val="24"/>
        </w:rPr>
      </w:pPr>
      <w:r w:rsidRPr="00833819">
        <w:rPr>
          <w:rFonts w:cs="Times New Roman"/>
          <w:szCs w:val="24"/>
        </w:rPr>
        <w:t>Conforme Dallabrida &amp; Becker (2003, p. 81) a</w:t>
      </w:r>
      <w:r w:rsidR="004B4D35" w:rsidRPr="00833819">
        <w:rPr>
          <w:rFonts w:cs="Times New Roman"/>
          <w:szCs w:val="24"/>
        </w:rPr>
        <w:t xml:space="preserve"> identificação de práticas em prol do exercício </w:t>
      </w:r>
      <w:r w:rsidRPr="00833819">
        <w:rPr>
          <w:rFonts w:cs="Times New Roman"/>
          <w:szCs w:val="24"/>
        </w:rPr>
        <w:t xml:space="preserve">da Governança Territorial </w:t>
      </w:r>
      <w:r w:rsidR="004B4D35" w:rsidRPr="00833819">
        <w:rPr>
          <w:rFonts w:cs="Times New Roman"/>
          <w:szCs w:val="24"/>
        </w:rPr>
        <w:t xml:space="preserve">podem ser </w:t>
      </w:r>
      <w:r w:rsidRPr="00833819">
        <w:rPr>
          <w:rFonts w:cs="Times New Roman"/>
          <w:szCs w:val="24"/>
        </w:rPr>
        <w:t xml:space="preserve">através </w:t>
      </w:r>
      <w:r w:rsidR="004B4D35" w:rsidRPr="00833819">
        <w:rPr>
          <w:rFonts w:cs="Times New Roman"/>
          <w:szCs w:val="24"/>
        </w:rPr>
        <w:t>dos</w:t>
      </w:r>
      <w:r w:rsidRPr="00833819">
        <w:rPr>
          <w:rFonts w:cs="Times New Roman"/>
          <w:szCs w:val="24"/>
        </w:rPr>
        <w:t xml:space="preserve"> “diversos tipos de fóruns ou conselhos de desenvolvimento, as agências ou associações de desenvolvimento local ou regional, grupos de interesse diversos, associações cooperativas, consórcios, associações de classe, associações de produtores ou empresariais, dentre outras.”</w:t>
      </w:r>
    </w:p>
    <w:p w14:paraId="25F831EA" w14:textId="0B77171F" w:rsidR="00606073" w:rsidRPr="00833819" w:rsidRDefault="007F4C20" w:rsidP="00777CCA">
      <w:pPr>
        <w:tabs>
          <w:tab w:val="left" w:pos="2115"/>
        </w:tabs>
        <w:spacing w:after="0"/>
        <w:ind w:firstLine="851"/>
        <w:rPr>
          <w:rFonts w:cs="Times New Roman"/>
          <w:szCs w:val="24"/>
        </w:rPr>
      </w:pPr>
      <w:r w:rsidRPr="00833819">
        <w:rPr>
          <w:rFonts w:cs="Times New Roman"/>
          <w:szCs w:val="24"/>
        </w:rPr>
        <w:t>A luz dessa</w:t>
      </w:r>
      <w:r w:rsidR="00606073" w:rsidRPr="00833819">
        <w:rPr>
          <w:rFonts w:cs="Times New Roman"/>
          <w:szCs w:val="24"/>
        </w:rPr>
        <w:t xml:space="preserve"> </w:t>
      </w:r>
      <w:r w:rsidRPr="00833819">
        <w:rPr>
          <w:rFonts w:cs="Times New Roman"/>
          <w:szCs w:val="24"/>
        </w:rPr>
        <w:t>compreensão</w:t>
      </w:r>
      <w:r w:rsidR="00606073" w:rsidRPr="00833819">
        <w:rPr>
          <w:rFonts w:cs="Times New Roman"/>
          <w:szCs w:val="24"/>
        </w:rPr>
        <w:t xml:space="preserve">, </w:t>
      </w:r>
      <w:r w:rsidRPr="00833819">
        <w:rPr>
          <w:rFonts w:cs="Times New Roman"/>
          <w:szCs w:val="24"/>
        </w:rPr>
        <w:t xml:space="preserve">torna-se </w:t>
      </w:r>
      <w:r w:rsidR="00606073" w:rsidRPr="00833819">
        <w:rPr>
          <w:rFonts w:cs="Times New Roman"/>
          <w:szCs w:val="24"/>
        </w:rPr>
        <w:t xml:space="preserve">possível averiguar quais </w:t>
      </w:r>
      <w:r w:rsidR="00C32199" w:rsidRPr="00833819">
        <w:rPr>
          <w:rFonts w:cs="Times New Roman"/>
          <w:szCs w:val="24"/>
        </w:rPr>
        <w:t xml:space="preserve">as </w:t>
      </w:r>
      <w:r w:rsidR="00606073" w:rsidRPr="00833819">
        <w:rPr>
          <w:rFonts w:cs="Times New Roman"/>
          <w:szCs w:val="24"/>
        </w:rPr>
        <w:t xml:space="preserve">“governanças” </w:t>
      </w:r>
      <w:r w:rsidR="00C32199" w:rsidRPr="00833819">
        <w:rPr>
          <w:rFonts w:cs="Times New Roman"/>
          <w:szCs w:val="24"/>
        </w:rPr>
        <w:t xml:space="preserve">que </w:t>
      </w:r>
      <w:r w:rsidR="00606073" w:rsidRPr="00833819">
        <w:rPr>
          <w:rFonts w:cs="Times New Roman"/>
          <w:szCs w:val="24"/>
        </w:rPr>
        <w:t>estão sendo coordenadas pelos multiatores</w:t>
      </w:r>
      <w:r w:rsidR="00C32199" w:rsidRPr="00833819">
        <w:rPr>
          <w:rFonts w:cs="Times New Roman"/>
          <w:szCs w:val="24"/>
        </w:rPr>
        <w:t xml:space="preserve"> </w:t>
      </w:r>
      <w:r w:rsidR="00A61A81" w:rsidRPr="00833819">
        <w:rPr>
          <w:rFonts w:cs="Times New Roman"/>
          <w:szCs w:val="24"/>
        </w:rPr>
        <w:t>no território</w:t>
      </w:r>
      <w:r w:rsidR="00C32199" w:rsidRPr="00833819">
        <w:rPr>
          <w:rFonts w:cs="Times New Roman"/>
          <w:szCs w:val="24"/>
        </w:rPr>
        <w:t xml:space="preserve">, e que tipo </w:t>
      </w:r>
      <w:r w:rsidR="00606073" w:rsidRPr="00833819">
        <w:rPr>
          <w:rFonts w:cs="Times New Roman"/>
          <w:szCs w:val="24"/>
        </w:rPr>
        <w:t xml:space="preserve">de controle </w:t>
      </w:r>
      <w:r w:rsidR="00C32199" w:rsidRPr="00833819">
        <w:rPr>
          <w:rFonts w:cs="Times New Roman"/>
          <w:szCs w:val="24"/>
        </w:rPr>
        <w:t>e influência eles exercem</w:t>
      </w:r>
      <w:r w:rsidR="00606073" w:rsidRPr="00833819">
        <w:rPr>
          <w:rFonts w:cs="Times New Roman"/>
          <w:szCs w:val="24"/>
        </w:rPr>
        <w:t>.</w:t>
      </w:r>
      <w:r w:rsidR="006569E2" w:rsidRPr="00833819">
        <w:rPr>
          <w:rFonts w:cs="Times New Roman"/>
          <w:szCs w:val="24"/>
        </w:rPr>
        <w:t xml:space="preserve"> Mas antes realizarmos este exercício empírico</w:t>
      </w:r>
      <w:r w:rsidR="00C32199" w:rsidRPr="00833819">
        <w:rPr>
          <w:rFonts w:cs="Times New Roman"/>
          <w:szCs w:val="24"/>
        </w:rPr>
        <w:t xml:space="preserve">, que será no âmbito do agronegócio </w:t>
      </w:r>
      <w:r w:rsidR="00C816D9" w:rsidRPr="00833819">
        <w:rPr>
          <w:rFonts w:cs="Times New Roman"/>
          <w:szCs w:val="24"/>
        </w:rPr>
        <w:t xml:space="preserve">globalizado no cerrado </w:t>
      </w:r>
      <w:r w:rsidR="00C32199" w:rsidRPr="00833819">
        <w:rPr>
          <w:rFonts w:cs="Times New Roman"/>
          <w:szCs w:val="24"/>
        </w:rPr>
        <w:t>brasileiro</w:t>
      </w:r>
      <w:r w:rsidR="006569E2" w:rsidRPr="00833819">
        <w:rPr>
          <w:rFonts w:cs="Times New Roman"/>
          <w:szCs w:val="24"/>
        </w:rPr>
        <w:t xml:space="preserve">, </w:t>
      </w:r>
      <w:r w:rsidR="00C32199" w:rsidRPr="00833819">
        <w:rPr>
          <w:rFonts w:cs="Times New Roman"/>
          <w:szCs w:val="24"/>
        </w:rPr>
        <w:t xml:space="preserve">é necessário tratar da variável do ativismo de consumo, que </w:t>
      </w:r>
      <w:r w:rsidR="00C32199" w:rsidRPr="00833819">
        <w:rPr>
          <w:rFonts w:cs="Times New Roman"/>
          <w:szCs w:val="24"/>
        </w:rPr>
        <w:lastRenderedPageBreak/>
        <w:t xml:space="preserve">segue se expandindo e tornou-se um elemento </w:t>
      </w:r>
      <w:r w:rsidR="00C816D9" w:rsidRPr="00833819">
        <w:rPr>
          <w:rFonts w:cs="Times New Roman"/>
          <w:szCs w:val="24"/>
        </w:rPr>
        <w:t xml:space="preserve">com grande influência </w:t>
      </w:r>
      <w:r w:rsidR="00C32199" w:rsidRPr="00833819">
        <w:rPr>
          <w:rFonts w:cs="Times New Roman"/>
          <w:szCs w:val="24"/>
        </w:rPr>
        <w:t xml:space="preserve">direta </w:t>
      </w:r>
      <w:r w:rsidR="00C816D9" w:rsidRPr="00833819">
        <w:rPr>
          <w:rFonts w:cs="Times New Roman"/>
          <w:szCs w:val="24"/>
        </w:rPr>
        <w:t>n</w:t>
      </w:r>
      <w:r w:rsidR="00C32199" w:rsidRPr="00833819">
        <w:rPr>
          <w:rFonts w:cs="Times New Roman"/>
          <w:szCs w:val="24"/>
        </w:rPr>
        <w:t xml:space="preserve">as redes agroalimentares, </w:t>
      </w:r>
      <w:r w:rsidRPr="00833819">
        <w:rPr>
          <w:rFonts w:cs="Times New Roman"/>
          <w:szCs w:val="24"/>
        </w:rPr>
        <w:t>e tem tudo a ver com a cristalização das</w:t>
      </w:r>
      <w:r w:rsidR="00C32199" w:rsidRPr="00833819">
        <w:rPr>
          <w:rFonts w:cs="Times New Roman"/>
          <w:szCs w:val="24"/>
        </w:rPr>
        <w:t xml:space="preserve"> novas formas de governança. </w:t>
      </w:r>
    </w:p>
    <w:p w14:paraId="5E27C726" w14:textId="77777777" w:rsidR="004C1FAD" w:rsidRPr="00833819" w:rsidRDefault="004C1FAD" w:rsidP="00777CCA">
      <w:pPr>
        <w:tabs>
          <w:tab w:val="left" w:pos="2115"/>
        </w:tabs>
        <w:spacing w:after="0"/>
        <w:ind w:firstLine="851"/>
        <w:rPr>
          <w:rFonts w:cs="Times New Roman"/>
          <w:szCs w:val="24"/>
        </w:rPr>
      </w:pPr>
    </w:p>
    <w:p w14:paraId="4E951657" w14:textId="22AE335F" w:rsidR="00AB5960" w:rsidRPr="00833819" w:rsidRDefault="006A3A23" w:rsidP="00777CCA">
      <w:pPr>
        <w:spacing w:after="0"/>
        <w:jc w:val="center"/>
        <w:rPr>
          <w:rFonts w:cs="Times New Roman"/>
          <w:b/>
          <w:szCs w:val="24"/>
        </w:rPr>
      </w:pPr>
      <w:r w:rsidRPr="00833819">
        <w:rPr>
          <w:rFonts w:cs="Times New Roman"/>
          <w:b/>
          <w:szCs w:val="24"/>
        </w:rPr>
        <w:t>ATIVISMO DE CONSUMO NAS REDES AGROALIMENTARES – UMA VARIÁVEL DE PODER</w:t>
      </w:r>
    </w:p>
    <w:p w14:paraId="0FF57EEF" w14:textId="77777777" w:rsidR="004C7218" w:rsidRPr="00833819" w:rsidRDefault="004C7218" w:rsidP="00777CCA">
      <w:pPr>
        <w:spacing w:after="0" w:line="240" w:lineRule="auto"/>
        <w:ind w:firstLine="851"/>
        <w:jc w:val="center"/>
        <w:rPr>
          <w:rFonts w:cs="Times New Roman"/>
          <w:b/>
          <w:szCs w:val="24"/>
        </w:rPr>
      </w:pPr>
    </w:p>
    <w:p w14:paraId="3F29A1F0" w14:textId="557422A7" w:rsidR="00833819" w:rsidRPr="00833819" w:rsidRDefault="00833819" w:rsidP="00777CCA">
      <w:pPr>
        <w:spacing w:after="0"/>
        <w:ind w:firstLine="851"/>
        <w:rPr>
          <w:rFonts w:eastAsia="MyriadPro-Regular" w:cs="Times New Roman"/>
        </w:rPr>
      </w:pPr>
      <w:r w:rsidRPr="00833819">
        <w:rPr>
          <w:rFonts w:eastAsia="MyriadPro-Regular" w:cs="Times New Roman"/>
        </w:rPr>
        <w:t xml:space="preserve">Na contemporaneidade o fenômeno do ativismo de consumo tem criado novas relações de poder entre as partes interessadas </w:t>
      </w:r>
      <w:r w:rsidR="005E7B20">
        <w:rPr>
          <w:rFonts w:eastAsia="MyriadPro-Regular" w:cs="Times New Roman"/>
        </w:rPr>
        <w:t>n</w:t>
      </w:r>
      <w:r w:rsidRPr="00833819">
        <w:rPr>
          <w:rFonts w:eastAsia="MyriadPro-Regular" w:cs="Times New Roman"/>
        </w:rPr>
        <w:t xml:space="preserve">as redes de produção agroalimentares. As empresas estão cada vez mais sendo cobradas por nichos da sociedade civil a não dispensarem as boas práticas trabalhistas e ambiental nas formas de produção, sendo exigida uma segurança na produção de produtos, sobretudo no ramo alimentício. </w:t>
      </w:r>
      <w:proofErr w:type="spellStart"/>
      <w:r w:rsidR="006651B8" w:rsidRPr="006651B8">
        <w:rPr>
          <w:rFonts w:eastAsia="MyriadPro-Regular" w:cs="Times New Roman"/>
        </w:rPr>
        <w:t>Bauman</w:t>
      </w:r>
      <w:proofErr w:type="spellEnd"/>
      <w:r w:rsidR="006651B8" w:rsidRPr="006651B8">
        <w:rPr>
          <w:rFonts w:eastAsia="MyriadPro-Regular" w:cs="Times New Roman"/>
        </w:rPr>
        <w:t xml:space="preserve"> (2008) chama a atenção para o processo de transição de uma sociedade de produtores para uma sociedade de consumidores. Evidente que tal processo ocorre de forma heterogênea nos territórios, a depender da funcionalidade dos lugares para com o sistema econômico global.</w:t>
      </w:r>
    </w:p>
    <w:p w14:paraId="374F23D4" w14:textId="1025D528" w:rsidR="00833819" w:rsidRPr="00833819" w:rsidRDefault="00833819" w:rsidP="00777CCA">
      <w:pPr>
        <w:spacing w:after="0"/>
        <w:ind w:firstLine="851"/>
        <w:rPr>
          <w:rFonts w:eastAsia="MyriadPro-Regular" w:cs="Times New Roman"/>
        </w:rPr>
      </w:pPr>
      <w:r w:rsidRPr="00833819">
        <w:rPr>
          <w:rFonts w:eastAsia="MyriadPro-Regular" w:cs="Times New Roman"/>
        </w:rPr>
        <w:t xml:space="preserve">O consumidor final deixou de ser um ator totalmente passivo e tornou-se um regulador indireto da produção conforme </w:t>
      </w:r>
      <w:r w:rsidR="005E7B20">
        <w:rPr>
          <w:rFonts w:eastAsia="MyriadPro-Regular" w:cs="Times New Roman"/>
        </w:rPr>
        <w:t xml:space="preserve">o </w:t>
      </w:r>
      <w:r w:rsidRPr="00833819">
        <w:rPr>
          <w:rFonts w:eastAsia="MyriadPro-Regular" w:cs="Times New Roman"/>
        </w:rPr>
        <w:t>aumento do seu poder de barganha, seja este poder adquirido por arranjos organizacionais e/ou através de movimentos de pressão. Os nichos de consumidores mais críticos responsabilizam, na ocorrência de ações que fogem do que é considerado socialmente e ambientalmente justo, todas as partes envolvidas em uma rede de produção (do produtor ao varejista). Desse modo, a diferenciação de produtores e produtos é uma questão estratégi</w:t>
      </w:r>
      <w:r w:rsidR="00E441C5">
        <w:rPr>
          <w:rFonts w:eastAsia="MyriadPro-Regular" w:cs="Times New Roman"/>
        </w:rPr>
        <w:t>ca</w:t>
      </w:r>
      <w:r w:rsidRPr="00833819">
        <w:rPr>
          <w:rFonts w:eastAsia="MyriadPro-Regular" w:cs="Times New Roman"/>
        </w:rPr>
        <w:t xml:space="preserve"> a </w:t>
      </w:r>
      <w:r w:rsidRPr="00833819">
        <w:rPr>
          <w:rFonts w:eastAsia="MyriadPro-Regular" w:cs="Times New Roman"/>
          <w:i/>
          <w:iCs/>
        </w:rPr>
        <w:t xml:space="preserve">priori </w:t>
      </w:r>
      <w:r w:rsidRPr="00833819">
        <w:rPr>
          <w:rFonts w:eastAsia="MyriadPro-Regular" w:cs="Times New Roman"/>
        </w:rPr>
        <w:t>comercial, mas também de preservação da imagem das corporações atentas as exigências que emergem da sociedade.</w:t>
      </w:r>
    </w:p>
    <w:p w14:paraId="7D901EFB" w14:textId="0CBE1DDA" w:rsidR="00E441C5" w:rsidRDefault="00E441C5" w:rsidP="00777CCA">
      <w:pPr>
        <w:spacing w:after="0"/>
        <w:ind w:firstLine="851"/>
        <w:rPr>
          <w:rFonts w:eastAsia="MyriadPro-Regular" w:cs="Times New Roman"/>
        </w:rPr>
      </w:pPr>
      <w:r>
        <w:rPr>
          <w:rFonts w:eastAsia="MyriadPro-Regular" w:cs="Times New Roman"/>
        </w:rPr>
        <w:t xml:space="preserve">Como </w:t>
      </w:r>
      <w:r w:rsidR="00833819" w:rsidRPr="00833819">
        <w:rPr>
          <w:rFonts w:eastAsia="MyriadPro-Regular" w:cs="Times New Roman"/>
        </w:rPr>
        <w:t xml:space="preserve">mecanismos de diferenciação </w:t>
      </w:r>
      <w:r>
        <w:rPr>
          <w:rFonts w:eastAsia="MyriadPro-Regular" w:cs="Times New Roman"/>
        </w:rPr>
        <w:t>de produtos e produtores</w:t>
      </w:r>
      <w:r w:rsidR="005E7B20">
        <w:rPr>
          <w:rFonts w:eastAsia="MyriadPro-Regular" w:cs="Times New Roman"/>
        </w:rPr>
        <w:t>,</w:t>
      </w:r>
      <w:r>
        <w:rPr>
          <w:rFonts w:eastAsia="MyriadPro-Regular" w:cs="Times New Roman"/>
        </w:rPr>
        <w:t xml:space="preserve"> a</w:t>
      </w:r>
      <w:r w:rsidR="00833819" w:rsidRPr="00833819">
        <w:rPr>
          <w:rFonts w:eastAsia="MyriadPro-Regular" w:cs="Times New Roman"/>
        </w:rPr>
        <w:t xml:space="preserve"> certificação socioambiental </w:t>
      </w:r>
      <w:r>
        <w:rPr>
          <w:rFonts w:eastAsia="MyriadPro-Regular" w:cs="Times New Roman"/>
        </w:rPr>
        <w:t>sem dúvidas tem sido o sistema mais eficaz para garantir transparência e confiabilidade em todo o processo de produção de um produto</w:t>
      </w:r>
      <w:r w:rsidR="005E7B20">
        <w:rPr>
          <w:rFonts w:eastAsia="MyriadPro-Regular" w:cs="Times New Roman"/>
        </w:rPr>
        <w:t xml:space="preserve"> agroalimentar</w:t>
      </w:r>
      <w:r>
        <w:rPr>
          <w:rFonts w:eastAsia="MyriadPro-Regular" w:cs="Times New Roman"/>
        </w:rPr>
        <w:t xml:space="preserve">. </w:t>
      </w:r>
      <w:r w:rsidR="000615BF">
        <w:rPr>
          <w:rFonts w:eastAsia="MyriadPro-Regular" w:cs="Times New Roman"/>
        </w:rPr>
        <w:t>As iniciativas de certificação socioambiental nas redes agroalimentares seguem</w:t>
      </w:r>
      <w:r>
        <w:rPr>
          <w:rFonts w:eastAsia="MyriadPro-Regular" w:cs="Times New Roman"/>
        </w:rPr>
        <w:t xml:space="preserve"> se expandido desde a década de 1990, e tem alterado as formas de produção e </w:t>
      </w:r>
      <w:r w:rsidR="000615BF">
        <w:rPr>
          <w:rFonts w:eastAsia="MyriadPro-Regular" w:cs="Times New Roman"/>
        </w:rPr>
        <w:t xml:space="preserve">tem </w:t>
      </w:r>
      <w:r>
        <w:rPr>
          <w:rFonts w:eastAsia="MyriadPro-Regular" w:cs="Times New Roman"/>
        </w:rPr>
        <w:t xml:space="preserve">criado novas formas de governança, pois hoje envolve plataformas globais de multi-stakeholder. </w:t>
      </w:r>
    </w:p>
    <w:p w14:paraId="24851E6B" w14:textId="35A0A0A9" w:rsidR="004C7218" w:rsidRPr="00833819" w:rsidRDefault="005E7B20" w:rsidP="00777CCA">
      <w:pPr>
        <w:spacing w:after="0"/>
        <w:ind w:firstLine="851"/>
        <w:rPr>
          <w:rFonts w:cs="Times New Roman"/>
          <w:szCs w:val="24"/>
        </w:rPr>
      </w:pPr>
      <w:r>
        <w:rPr>
          <w:rFonts w:cs="Times New Roman"/>
          <w:szCs w:val="24"/>
        </w:rPr>
        <w:t xml:space="preserve">Ainda na perspectiva do ativismo de consumo, as </w:t>
      </w:r>
      <w:r w:rsidR="004C7218" w:rsidRPr="00833819">
        <w:rPr>
          <w:rFonts w:cs="Times New Roman"/>
          <w:szCs w:val="24"/>
        </w:rPr>
        <w:t>pessoas</w:t>
      </w:r>
      <w:r>
        <w:rPr>
          <w:rFonts w:cs="Times New Roman"/>
          <w:szCs w:val="24"/>
        </w:rPr>
        <w:t xml:space="preserve">, quando não são influenciadas </w:t>
      </w:r>
      <w:r w:rsidR="00B57130">
        <w:rPr>
          <w:rFonts w:cs="Times New Roman"/>
          <w:szCs w:val="24"/>
        </w:rPr>
        <w:t xml:space="preserve">pela publicidade </w:t>
      </w:r>
      <w:r>
        <w:rPr>
          <w:rFonts w:cs="Times New Roman"/>
          <w:szCs w:val="24"/>
        </w:rPr>
        <w:t>a enquadrar-se num perfil de consumidor,</w:t>
      </w:r>
      <w:r w:rsidR="004C7218" w:rsidRPr="00833819">
        <w:rPr>
          <w:rFonts w:cs="Times New Roman"/>
          <w:szCs w:val="24"/>
        </w:rPr>
        <w:t xml:space="preserve"> </w:t>
      </w:r>
      <w:r w:rsidR="00B57130">
        <w:rPr>
          <w:rFonts w:cs="Times New Roman"/>
          <w:szCs w:val="24"/>
        </w:rPr>
        <w:t xml:space="preserve">elas </w:t>
      </w:r>
      <w:r>
        <w:rPr>
          <w:rFonts w:cs="Times New Roman"/>
          <w:szCs w:val="24"/>
        </w:rPr>
        <w:t xml:space="preserve">tendem a </w:t>
      </w:r>
      <w:r w:rsidR="00B57130">
        <w:rPr>
          <w:rFonts w:cs="Times New Roman"/>
          <w:szCs w:val="24"/>
        </w:rPr>
        <w:t>ter o seu perfil de consumo traçado pelo mercado, pois identifica-se um novo nicho de consumo</w:t>
      </w:r>
      <w:r w:rsidR="004C7218" w:rsidRPr="00833819">
        <w:rPr>
          <w:rFonts w:cs="Times New Roman"/>
          <w:szCs w:val="24"/>
        </w:rPr>
        <w:t xml:space="preserve">. </w:t>
      </w:r>
      <w:r>
        <w:rPr>
          <w:rFonts w:cs="Times New Roman"/>
          <w:szCs w:val="24"/>
        </w:rPr>
        <w:t xml:space="preserve">Traçar o perfil </w:t>
      </w:r>
      <w:r w:rsidR="00B57130">
        <w:rPr>
          <w:rFonts w:cs="Times New Roman"/>
          <w:szCs w:val="24"/>
        </w:rPr>
        <w:t xml:space="preserve">do consumidor </w:t>
      </w:r>
      <w:r>
        <w:rPr>
          <w:rFonts w:cs="Times New Roman"/>
          <w:szCs w:val="24"/>
        </w:rPr>
        <w:t xml:space="preserve">torna-se uma ação gerencial </w:t>
      </w:r>
      <w:r w:rsidR="004C7218" w:rsidRPr="00833819">
        <w:rPr>
          <w:rFonts w:cs="Times New Roman"/>
          <w:szCs w:val="24"/>
        </w:rPr>
        <w:t>estratégica para o varej</w:t>
      </w:r>
      <w:r w:rsidR="00B57130">
        <w:rPr>
          <w:rFonts w:cs="Times New Roman"/>
          <w:szCs w:val="24"/>
        </w:rPr>
        <w:t>o</w:t>
      </w:r>
      <w:r>
        <w:rPr>
          <w:rFonts w:cs="Times New Roman"/>
          <w:szCs w:val="24"/>
        </w:rPr>
        <w:t xml:space="preserve">. </w:t>
      </w:r>
      <w:r w:rsidR="001A451D">
        <w:rPr>
          <w:rFonts w:cs="Times New Roman"/>
          <w:szCs w:val="24"/>
        </w:rPr>
        <w:t>Nesse sentido, o</w:t>
      </w:r>
      <w:r w:rsidR="004C7218" w:rsidRPr="00833819">
        <w:rPr>
          <w:rFonts w:cs="Times New Roman"/>
          <w:szCs w:val="24"/>
        </w:rPr>
        <w:t xml:space="preserve"> consumo</w:t>
      </w:r>
      <w:r w:rsidR="00B57130">
        <w:rPr>
          <w:rFonts w:cs="Times New Roman"/>
          <w:szCs w:val="24"/>
        </w:rPr>
        <w:t xml:space="preserve"> identitário tem se</w:t>
      </w:r>
      <w:r w:rsidR="004C7218" w:rsidRPr="00833819">
        <w:rPr>
          <w:rFonts w:cs="Times New Roman"/>
          <w:szCs w:val="24"/>
        </w:rPr>
        <w:t xml:space="preserve"> torn</w:t>
      </w:r>
      <w:r w:rsidR="00B57130">
        <w:rPr>
          <w:rFonts w:cs="Times New Roman"/>
          <w:szCs w:val="24"/>
        </w:rPr>
        <w:t>ado</w:t>
      </w:r>
      <w:r w:rsidR="004C7218" w:rsidRPr="00833819">
        <w:rPr>
          <w:rFonts w:cs="Times New Roman"/>
          <w:szCs w:val="24"/>
        </w:rPr>
        <w:t xml:space="preserve"> uma prática política, </w:t>
      </w:r>
      <w:r w:rsidR="00B57130">
        <w:rPr>
          <w:rFonts w:cs="Times New Roman"/>
          <w:szCs w:val="24"/>
        </w:rPr>
        <w:t>sendo possível identificar cada vez mais grupos</w:t>
      </w:r>
      <w:r w:rsidR="004C7218" w:rsidRPr="00833819">
        <w:rPr>
          <w:rFonts w:cs="Times New Roman"/>
          <w:szCs w:val="24"/>
        </w:rPr>
        <w:t xml:space="preserve"> </w:t>
      </w:r>
      <w:r w:rsidR="001A451D">
        <w:rPr>
          <w:rFonts w:cs="Times New Roman"/>
          <w:szCs w:val="24"/>
        </w:rPr>
        <w:t xml:space="preserve">da sociedade </w:t>
      </w:r>
      <w:r w:rsidR="00B57130">
        <w:rPr>
          <w:rFonts w:cs="Times New Roman"/>
          <w:szCs w:val="24"/>
        </w:rPr>
        <w:t>organizados</w:t>
      </w:r>
      <w:r w:rsidR="001A451D">
        <w:rPr>
          <w:rFonts w:cs="Times New Roman"/>
          <w:szCs w:val="24"/>
        </w:rPr>
        <w:t xml:space="preserve"> para atuar</w:t>
      </w:r>
      <w:r w:rsidR="004C7218" w:rsidRPr="00833819">
        <w:rPr>
          <w:rFonts w:cs="Times New Roman"/>
          <w:szCs w:val="24"/>
        </w:rPr>
        <w:t xml:space="preserve"> </w:t>
      </w:r>
      <w:r w:rsidR="001A451D">
        <w:rPr>
          <w:rFonts w:cs="Times New Roman"/>
          <w:szCs w:val="24"/>
        </w:rPr>
        <w:t xml:space="preserve">na sensibilização de consumidores </w:t>
      </w:r>
      <w:r w:rsidR="004C7218" w:rsidRPr="00833819">
        <w:rPr>
          <w:rFonts w:cs="Times New Roman"/>
          <w:szCs w:val="24"/>
        </w:rPr>
        <w:lastRenderedPageBreak/>
        <w:t>não</w:t>
      </w:r>
      <w:r w:rsidR="001A451D">
        <w:rPr>
          <w:rFonts w:cs="Times New Roman"/>
          <w:szCs w:val="24"/>
        </w:rPr>
        <w:t xml:space="preserve"> adeptos ao consumo</w:t>
      </w:r>
      <w:r w:rsidR="004C7218" w:rsidRPr="00833819">
        <w:rPr>
          <w:rFonts w:cs="Times New Roman"/>
          <w:szCs w:val="24"/>
        </w:rPr>
        <w:t xml:space="preserve"> “consciente” (HATANAKA; BAIN; BUSCH, 2005)</w:t>
      </w:r>
      <w:r w:rsidR="001A451D">
        <w:rPr>
          <w:rFonts w:cs="Times New Roman"/>
          <w:szCs w:val="24"/>
        </w:rPr>
        <w:t>.</w:t>
      </w:r>
      <w:r w:rsidR="004C7218" w:rsidRPr="00833819">
        <w:rPr>
          <w:rFonts w:cs="Times New Roman"/>
          <w:szCs w:val="24"/>
        </w:rPr>
        <w:t xml:space="preserve"> </w:t>
      </w:r>
      <w:r w:rsidR="001A451D">
        <w:rPr>
          <w:rFonts w:cs="Times New Roman"/>
          <w:szCs w:val="24"/>
        </w:rPr>
        <w:t>Há muitos exemplos de</w:t>
      </w:r>
      <w:r w:rsidR="004C7218" w:rsidRPr="00833819">
        <w:rPr>
          <w:rFonts w:cs="Times New Roman"/>
          <w:szCs w:val="24"/>
        </w:rPr>
        <w:t xml:space="preserve"> campanhas públicas de repúdio e sabotagem as corporações que violem boas práticas </w:t>
      </w:r>
      <w:r w:rsidR="001A451D">
        <w:rPr>
          <w:rFonts w:cs="Times New Roman"/>
          <w:szCs w:val="24"/>
        </w:rPr>
        <w:t>socioambientais</w:t>
      </w:r>
      <w:r w:rsidR="0057771D">
        <w:rPr>
          <w:rFonts w:cs="Times New Roman"/>
          <w:szCs w:val="24"/>
        </w:rPr>
        <w:t xml:space="preserve"> no processo de produção</w:t>
      </w:r>
      <w:r w:rsidR="001A451D">
        <w:rPr>
          <w:rFonts w:cs="Times New Roman"/>
          <w:szCs w:val="24"/>
        </w:rPr>
        <w:t xml:space="preserve">, sobretudo </w:t>
      </w:r>
      <w:r w:rsidR="0057771D">
        <w:rPr>
          <w:rFonts w:cs="Times New Roman"/>
          <w:szCs w:val="24"/>
        </w:rPr>
        <w:t xml:space="preserve">as que são </w:t>
      </w:r>
      <w:r w:rsidR="001A451D">
        <w:rPr>
          <w:rFonts w:cs="Times New Roman"/>
          <w:szCs w:val="24"/>
        </w:rPr>
        <w:t xml:space="preserve">impulsionadas por Organizações Não-Governamentais (ONG) </w:t>
      </w:r>
      <w:r w:rsidR="004C7218" w:rsidRPr="00833819">
        <w:rPr>
          <w:rFonts w:cs="Times New Roman"/>
          <w:szCs w:val="24"/>
        </w:rPr>
        <w:t xml:space="preserve">(WINSTON, 2002). </w:t>
      </w:r>
    </w:p>
    <w:p w14:paraId="741DA0A5" w14:textId="4EE2CBCB" w:rsidR="0098197D" w:rsidRPr="0098197D" w:rsidRDefault="0098197D" w:rsidP="00777CCA">
      <w:pPr>
        <w:spacing w:after="0"/>
        <w:ind w:firstLine="851"/>
        <w:rPr>
          <w:rFonts w:cs="Times New Roman"/>
          <w:szCs w:val="24"/>
        </w:rPr>
      </w:pPr>
      <w:r w:rsidRPr="0098197D">
        <w:rPr>
          <w:rFonts w:cs="Times New Roman"/>
          <w:szCs w:val="24"/>
        </w:rPr>
        <w:t xml:space="preserve">No consumo se viu uma oportunidade de contestação política, levando </w:t>
      </w:r>
      <w:r w:rsidR="00475522">
        <w:rPr>
          <w:rFonts w:cs="Times New Roman"/>
          <w:szCs w:val="24"/>
        </w:rPr>
        <w:t xml:space="preserve">a </w:t>
      </w:r>
      <w:r w:rsidRPr="0098197D">
        <w:rPr>
          <w:rFonts w:cs="Times New Roman"/>
          <w:szCs w:val="24"/>
        </w:rPr>
        <w:t xml:space="preserve">uma mudança estratégica de atuação de movimentos </w:t>
      </w:r>
      <w:r w:rsidR="00B6341C">
        <w:rPr>
          <w:rFonts w:cs="Times New Roman"/>
          <w:szCs w:val="24"/>
        </w:rPr>
        <w:t xml:space="preserve">sociais </w:t>
      </w:r>
      <w:r w:rsidRPr="0098197D">
        <w:rPr>
          <w:rFonts w:cs="Times New Roman"/>
          <w:szCs w:val="24"/>
        </w:rPr>
        <w:t>que se concentravam na produção. Os movimentos sociais chamam a atenção dos consumidores, no sentido de sensibilizá-los enquanto foment</w:t>
      </w:r>
      <w:r w:rsidR="00B6341C">
        <w:rPr>
          <w:rFonts w:cs="Times New Roman"/>
          <w:szCs w:val="24"/>
        </w:rPr>
        <w:t>adores</w:t>
      </w:r>
      <w:r w:rsidRPr="0098197D">
        <w:rPr>
          <w:rFonts w:cs="Times New Roman"/>
          <w:szCs w:val="24"/>
        </w:rPr>
        <w:t xml:space="preserve"> de produtores e varejistas que se exime</w:t>
      </w:r>
      <w:r w:rsidR="00B6341C">
        <w:rPr>
          <w:rFonts w:cs="Times New Roman"/>
          <w:szCs w:val="24"/>
        </w:rPr>
        <w:t xml:space="preserve">m </w:t>
      </w:r>
      <w:r w:rsidRPr="0098197D">
        <w:rPr>
          <w:rFonts w:cs="Times New Roman"/>
          <w:szCs w:val="24"/>
        </w:rPr>
        <w:t xml:space="preserve">das </w:t>
      </w:r>
      <w:r w:rsidR="00B6341C">
        <w:rPr>
          <w:rFonts w:cs="Times New Roman"/>
          <w:szCs w:val="24"/>
        </w:rPr>
        <w:t>boas práticas sociais e ambi</w:t>
      </w:r>
      <w:r w:rsidRPr="0098197D">
        <w:rPr>
          <w:rFonts w:cs="Times New Roman"/>
          <w:szCs w:val="24"/>
        </w:rPr>
        <w:t>enta</w:t>
      </w:r>
      <w:r w:rsidR="00B6341C">
        <w:rPr>
          <w:rFonts w:cs="Times New Roman"/>
          <w:szCs w:val="24"/>
        </w:rPr>
        <w:t>is</w:t>
      </w:r>
      <w:r w:rsidRPr="0098197D">
        <w:rPr>
          <w:rFonts w:cs="Times New Roman"/>
          <w:szCs w:val="24"/>
        </w:rPr>
        <w:t xml:space="preserve"> (HATANAKA; BAIN; BUSCH, 2005). </w:t>
      </w:r>
    </w:p>
    <w:p w14:paraId="13A34261" w14:textId="365B8138" w:rsidR="004C7218" w:rsidRDefault="0057771D" w:rsidP="00777CCA">
      <w:pPr>
        <w:adjustRightInd w:val="0"/>
        <w:spacing w:after="0"/>
        <w:ind w:firstLine="851"/>
        <w:rPr>
          <w:rFonts w:cs="Times New Roman"/>
          <w:szCs w:val="24"/>
        </w:rPr>
      </w:pPr>
      <w:r>
        <w:rPr>
          <w:rFonts w:cs="Times New Roman"/>
          <w:szCs w:val="24"/>
        </w:rPr>
        <w:t>O</w:t>
      </w:r>
      <w:r w:rsidR="004C7218" w:rsidRPr="00833819">
        <w:rPr>
          <w:rFonts w:cs="Times New Roman"/>
          <w:szCs w:val="24"/>
        </w:rPr>
        <w:t xml:space="preserve"> consumo </w:t>
      </w:r>
      <w:r>
        <w:rPr>
          <w:rFonts w:cs="Times New Roman"/>
          <w:szCs w:val="24"/>
        </w:rPr>
        <w:t xml:space="preserve">também </w:t>
      </w:r>
      <w:r w:rsidR="004C7218" w:rsidRPr="00833819">
        <w:rPr>
          <w:rFonts w:cs="Times New Roman"/>
          <w:szCs w:val="24"/>
        </w:rPr>
        <w:t>está introduzido no centro das ramificações da educação mais crítica</w:t>
      </w:r>
      <w:r w:rsidR="00B6341C">
        <w:rPr>
          <w:rFonts w:cs="Times New Roman"/>
          <w:szCs w:val="24"/>
        </w:rPr>
        <w:t>, que discute as linhas ambiental da sustentabilidade</w:t>
      </w:r>
      <w:r w:rsidR="004C7218" w:rsidRPr="00833819">
        <w:rPr>
          <w:rFonts w:cs="Times New Roman"/>
          <w:szCs w:val="24"/>
        </w:rPr>
        <w:t xml:space="preserve"> (</w:t>
      </w:r>
      <w:r>
        <w:rPr>
          <w:rFonts w:cs="Times New Roman"/>
          <w:szCs w:val="24"/>
        </w:rPr>
        <w:t>fator que</w:t>
      </w:r>
      <w:r w:rsidR="004C7218" w:rsidRPr="00833819">
        <w:rPr>
          <w:rFonts w:cs="Times New Roman"/>
          <w:szCs w:val="24"/>
        </w:rPr>
        <w:t xml:space="preserve"> inclusive </w:t>
      </w:r>
      <w:r>
        <w:rPr>
          <w:rFonts w:cs="Times New Roman"/>
          <w:szCs w:val="24"/>
        </w:rPr>
        <w:t>originou a</w:t>
      </w:r>
      <w:r w:rsidR="004C7218" w:rsidRPr="00833819">
        <w:rPr>
          <w:rFonts w:cs="Times New Roman"/>
          <w:szCs w:val="24"/>
        </w:rPr>
        <w:t xml:space="preserve"> educação ambiental)</w:t>
      </w:r>
      <w:r>
        <w:rPr>
          <w:rFonts w:cs="Times New Roman"/>
          <w:szCs w:val="24"/>
        </w:rPr>
        <w:t xml:space="preserve">. As novas plataformas de conhecimento e informação, aumentaram proporcionalmente o quantitativo de </w:t>
      </w:r>
      <w:r w:rsidR="004C7218" w:rsidRPr="00833819">
        <w:rPr>
          <w:rFonts w:cs="Times New Roman"/>
          <w:szCs w:val="24"/>
        </w:rPr>
        <w:t>consumidor</w:t>
      </w:r>
      <w:r>
        <w:rPr>
          <w:rFonts w:cs="Times New Roman"/>
          <w:szCs w:val="24"/>
        </w:rPr>
        <w:t xml:space="preserve">es mais críticos </w:t>
      </w:r>
      <w:r w:rsidR="00737679">
        <w:rPr>
          <w:rFonts w:cs="Times New Roman"/>
          <w:szCs w:val="24"/>
        </w:rPr>
        <w:t>e exigentes no momento da</w:t>
      </w:r>
      <w:r>
        <w:rPr>
          <w:rFonts w:cs="Times New Roman"/>
          <w:szCs w:val="24"/>
        </w:rPr>
        <w:t xml:space="preserve"> compra. As</w:t>
      </w:r>
      <w:r w:rsidR="004C7218" w:rsidRPr="00833819">
        <w:rPr>
          <w:rFonts w:cs="Times New Roman"/>
          <w:szCs w:val="24"/>
        </w:rPr>
        <w:t xml:space="preserve"> demandas de caráter individual ganharam</w:t>
      </w:r>
      <w:r>
        <w:rPr>
          <w:rFonts w:cs="Times New Roman"/>
          <w:szCs w:val="24"/>
        </w:rPr>
        <w:t xml:space="preserve"> outra proporção</w:t>
      </w:r>
      <w:r w:rsidR="004C7218" w:rsidRPr="00833819">
        <w:rPr>
          <w:rFonts w:cs="Times New Roman"/>
          <w:szCs w:val="24"/>
        </w:rPr>
        <w:t xml:space="preserve"> com a internet </w:t>
      </w:r>
      <w:r w:rsidR="00E55F7C">
        <w:rPr>
          <w:rFonts w:cs="Times New Roman"/>
          <w:szCs w:val="24"/>
        </w:rPr>
        <w:t>e as</w:t>
      </w:r>
      <w:r w:rsidR="004C7218" w:rsidRPr="00833819">
        <w:rPr>
          <w:rFonts w:cs="Times New Roman"/>
          <w:szCs w:val="24"/>
        </w:rPr>
        <w:t xml:space="preserve"> redes sociais. </w:t>
      </w:r>
      <w:r w:rsidR="0098197D">
        <w:rPr>
          <w:rFonts w:cs="Times New Roman"/>
          <w:szCs w:val="24"/>
        </w:rPr>
        <w:t>Em meio a revolução dos sistemas de informação, a</w:t>
      </w:r>
      <w:r w:rsidR="004C7218" w:rsidRPr="00833819">
        <w:rPr>
          <w:rFonts w:cs="Times New Roman"/>
          <w:szCs w:val="24"/>
        </w:rPr>
        <w:t xml:space="preserve"> divulgação da imagem de uma empresa ou marca fo</w:t>
      </w:r>
      <w:r w:rsidR="0098197D">
        <w:rPr>
          <w:rFonts w:cs="Times New Roman"/>
          <w:szCs w:val="24"/>
        </w:rPr>
        <w:t>ram</w:t>
      </w:r>
      <w:r w:rsidR="004C7218" w:rsidRPr="00833819">
        <w:rPr>
          <w:rFonts w:cs="Times New Roman"/>
          <w:szCs w:val="24"/>
        </w:rPr>
        <w:t xml:space="preserve"> </w:t>
      </w:r>
      <w:r w:rsidR="00E643A3" w:rsidRPr="00833819">
        <w:rPr>
          <w:rFonts w:cs="Times New Roman"/>
          <w:szCs w:val="24"/>
        </w:rPr>
        <w:t>potencializadas</w:t>
      </w:r>
      <w:r w:rsidR="0098197D">
        <w:rPr>
          <w:rFonts w:cs="Times New Roman"/>
          <w:szCs w:val="24"/>
        </w:rPr>
        <w:t xml:space="preserve">, por sua vez, </w:t>
      </w:r>
      <w:r w:rsidR="004C7218" w:rsidRPr="00833819">
        <w:rPr>
          <w:rFonts w:cs="Times New Roman"/>
          <w:szCs w:val="24"/>
        </w:rPr>
        <w:t xml:space="preserve">a manutenção da imagem </w:t>
      </w:r>
      <w:r w:rsidR="00737679">
        <w:rPr>
          <w:rFonts w:cs="Times New Roman"/>
          <w:szCs w:val="24"/>
        </w:rPr>
        <w:t>de uma empresa</w:t>
      </w:r>
      <w:r w:rsidR="004C7218" w:rsidRPr="00833819">
        <w:rPr>
          <w:rFonts w:cs="Times New Roman"/>
          <w:szCs w:val="24"/>
        </w:rPr>
        <w:t xml:space="preserve"> </w:t>
      </w:r>
      <w:r w:rsidR="00E643A3">
        <w:rPr>
          <w:rFonts w:cs="Times New Roman"/>
          <w:szCs w:val="24"/>
        </w:rPr>
        <w:t xml:space="preserve">atualmente </w:t>
      </w:r>
      <w:r w:rsidR="004C7218" w:rsidRPr="00833819">
        <w:rPr>
          <w:rFonts w:cs="Times New Roman"/>
          <w:szCs w:val="24"/>
        </w:rPr>
        <w:t xml:space="preserve">exige </w:t>
      </w:r>
      <w:r w:rsidR="00737679">
        <w:rPr>
          <w:rFonts w:cs="Times New Roman"/>
          <w:szCs w:val="24"/>
        </w:rPr>
        <w:t xml:space="preserve">mais </w:t>
      </w:r>
      <w:r w:rsidR="004C7218" w:rsidRPr="00833819">
        <w:rPr>
          <w:rFonts w:cs="Times New Roman"/>
          <w:szCs w:val="24"/>
        </w:rPr>
        <w:t>cuidados</w:t>
      </w:r>
      <w:r w:rsidR="00E55F7C">
        <w:rPr>
          <w:rFonts w:cs="Times New Roman"/>
          <w:szCs w:val="24"/>
        </w:rPr>
        <w:t xml:space="preserve"> que </w:t>
      </w:r>
      <w:r w:rsidR="00737679">
        <w:rPr>
          <w:rFonts w:cs="Times New Roman"/>
          <w:szCs w:val="24"/>
        </w:rPr>
        <w:t>no passado</w:t>
      </w:r>
      <w:r w:rsidR="00E55F7C">
        <w:rPr>
          <w:rFonts w:cs="Times New Roman"/>
          <w:szCs w:val="24"/>
        </w:rPr>
        <w:t>.</w:t>
      </w:r>
    </w:p>
    <w:p w14:paraId="6F7921B3" w14:textId="046D389E" w:rsidR="00B6341C" w:rsidRDefault="00B6341C" w:rsidP="00777CCA">
      <w:pPr>
        <w:adjustRightInd w:val="0"/>
        <w:spacing w:after="0"/>
        <w:ind w:firstLine="851"/>
        <w:rPr>
          <w:rFonts w:cs="Times New Roman"/>
          <w:szCs w:val="24"/>
        </w:rPr>
      </w:pPr>
    </w:p>
    <w:p w14:paraId="00C1FB13" w14:textId="4C82BA3A" w:rsidR="00FD6573" w:rsidRPr="00833819" w:rsidRDefault="004C1FAD" w:rsidP="00777CCA">
      <w:pPr>
        <w:spacing w:after="0"/>
        <w:jc w:val="center"/>
        <w:rPr>
          <w:rFonts w:cs="Times New Roman"/>
          <w:b/>
          <w:szCs w:val="24"/>
        </w:rPr>
      </w:pPr>
      <w:r w:rsidRPr="00833819">
        <w:rPr>
          <w:rFonts w:cs="Times New Roman"/>
          <w:b/>
          <w:szCs w:val="24"/>
        </w:rPr>
        <w:t>MULTIATORES NO AGRONEGÓCIO BRASILEIRO – GOVERNANÇA TERRITORIAL</w:t>
      </w:r>
    </w:p>
    <w:p w14:paraId="066C5DB7" w14:textId="77777777" w:rsidR="004E0B5C" w:rsidRDefault="004E0B5C" w:rsidP="00777CCA">
      <w:pPr>
        <w:spacing w:after="0"/>
        <w:ind w:firstLine="851"/>
        <w:rPr>
          <w:rFonts w:eastAsiaTheme="majorEastAsia" w:cs="Times New Roman"/>
        </w:rPr>
      </w:pPr>
    </w:p>
    <w:p w14:paraId="284F496B" w14:textId="175C5A7C" w:rsidR="00331230" w:rsidRDefault="00161F2D" w:rsidP="00331230">
      <w:pPr>
        <w:spacing w:after="0"/>
        <w:ind w:firstLine="851"/>
        <w:rPr>
          <w:szCs w:val="24"/>
        </w:rPr>
      </w:pPr>
      <w:r w:rsidRPr="005225BE">
        <w:rPr>
          <w:szCs w:val="24"/>
        </w:rPr>
        <w:t>O agronegócio brasileiro se (Re) produz espacialmente, sobretudo, nas áreas originárias do bioma cerrado. É nesta porção do espaço geográfico que os atores da modernização agrícola se enraizaram com conexões socioeconômicas multiescalares diversas.</w:t>
      </w:r>
      <w:r w:rsidR="00107A82">
        <w:rPr>
          <w:szCs w:val="24"/>
        </w:rPr>
        <w:t xml:space="preserve"> Há décadas a</w:t>
      </w:r>
      <w:r w:rsidR="00107A82" w:rsidRPr="00107A82">
        <w:rPr>
          <w:szCs w:val="24"/>
        </w:rPr>
        <w:t xml:space="preserve">s ações </w:t>
      </w:r>
      <w:r w:rsidR="006B4B75">
        <w:rPr>
          <w:szCs w:val="24"/>
        </w:rPr>
        <w:t xml:space="preserve">demasiadamente públicas e privadas são direcionadas </w:t>
      </w:r>
      <w:r w:rsidR="00107A82" w:rsidRPr="00107A82">
        <w:rPr>
          <w:szCs w:val="24"/>
        </w:rPr>
        <w:t>para com a gestão do território no cerrado</w:t>
      </w:r>
      <w:r w:rsidR="006B4B75">
        <w:rPr>
          <w:szCs w:val="24"/>
        </w:rPr>
        <w:t xml:space="preserve"> para garantir a</w:t>
      </w:r>
      <w:r w:rsidR="00107A82" w:rsidRPr="00107A82">
        <w:rPr>
          <w:szCs w:val="24"/>
        </w:rPr>
        <w:t xml:space="preserve"> competitiv</w:t>
      </w:r>
      <w:r w:rsidR="006B4B75">
        <w:rPr>
          <w:szCs w:val="24"/>
        </w:rPr>
        <w:t>idade do agronegócio</w:t>
      </w:r>
      <w:r w:rsidR="00107A82" w:rsidRPr="00107A82">
        <w:rPr>
          <w:szCs w:val="24"/>
        </w:rPr>
        <w:t>, diante da</w:t>
      </w:r>
      <w:r w:rsidR="006B4B75">
        <w:rPr>
          <w:szCs w:val="24"/>
        </w:rPr>
        <w:t xml:space="preserve"> </w:t>
      </w:r>
      <w:r w:rsidR="00107A82" w:rsidRPr="00107A82">
        <w:rPr>
          <w:szCs w:val="24"/>
        </w:rPr>
        <w:t>globalização</w:t>
      </w:r>
      <w:r w:rsidR="006B4B75">
        <w:rPr>
          <w:szCs w:val="24"/>
        </w:rPr>
        <w:t xml:space="preserve"> econômica</w:t>
      </w:r>
      <w:r w:rsidR="00107A82">
        <w:rPr>
          <w:szCs w:val="24"/>
        </w:rPr>
        <w:t>.</w:t>
      </w:r>
    </w:p>
    <w:p w14:paraId="5409497D" w14:textId="10D7F424" w:rsidR="001D3EC0" w:rsidRDefault="00107A82" w:rsidP="001D3EC0">
      <w:pPr>
        <w:spacing w:after="0"/>
        <w:ind w:firstLine="851"/>
        <w:rPr>
          <w:szCs w:val="24"/>
        </w:rPr>
      </w:pPr>
      <w:r>
        <w:rPr>
          <w:szCs w:val="24"/>
        </w:rPr>
        <w:t>Nesse contexto</w:t>
      </w:r>
      <w:r w:rsidR="006B4B75">
        <w:rPr>
          <w:szCs w:val="24"/>
        </w:rPr>
        <w:t xml:space="preserve"> de modernização da agropecuária brasileira</w:t>
      </w:r>
      <w:r>
        <w:rPr>
          <w:szCs w:val="24"/>
        </w:rPr>
        <w:t xml:space="preserve">, a questão ambiental </w:t>
      </w:r>
      <w:r w:rsidR="00331230">
        <w:rPr>
          <w:szCs w:val="24"/>
        </w:rPr>
        <w:t xml:space="preserve">neste bioma foi por muito tempo relativizada. </w:t>
      </w:r>
      <w:r w:rsidR="001D3EC0">
        <w:rPr>
          <w:szCs w:val="24"/>
        </w:rPr>
        <w:t xml:space="preserve">Os impactos provocados com o desmatamento, a poluição das águas e a degradação do solo, o uso excessivo de agrotóxicos nas plantações, bem como as formas de se produzir no campo brasileiro (como </w:t>
      </w:r>
      <w:r w:rsidR="006B4B75">
        <w:rPr>
          <w:szCs w:val="24"/>
        </w:rPr>
        <w:t>a precarização das</w:t>
      </w:r>
      <w:r w:rsidR="001D3EC0">
        <w:rPr>
          <w:szCs w:val="24"/>
        </w:rPr>
        <w:t xml:space="preserve"> relaç</w:t>
      </w:r>
      <w:r w:rsidR="006B4B75">
        <w:rPr>
          <w:szCs w:val="24"/>
        </w:rPr>
        <w:t xml:space="preserve">ões de trabalho e a relação do grande produtor com as </w:t>
      </w:r>
      <w:r w:rsidR="001D3EC0">
        <w:rPr>
          <w:szCs w:val="24"/>
        </w:rPr>
        <w:t xml:space="preserve">comunidades locais) estão sempre no alarde dos movimentos socioambientais de pressão e da mídia, com mais força na </w:t>
      </w:r>
      <w:r w:rsidR="006B4B75">
        <w:rPr>
          <w:szCs w:val="24"/>
        </w:rPr>
        <w:t xml:space="preserve">meios </w:t>
      </w:r>
      <w:r w:rsidR="001D3EC0">
        <w:rPr>
          <w:szCs w:val="24"/>
        </w:rPr>
        <w:t>alternativ</w:t>
      </w:r>
      <w:r w:rsidR="006B4B75">
        <w:rPr>
          <w:szCs w:val="24"/>
        </w:rPr>
        <w:t>os de comunicação</w:t>
      </w:r>
      <w:r w:rsidR="001D3EC0">
        <w:rPr>
          <w:szCs w:val="24"/>
        </w:rPr>
        <w:t>.</w:t>
      </w:r>
    </w:p>
    <w:p w14:paraId="30DC2E1F" w14:textId="1BCDD210" w:rsidR="00230568" w:rsidRPr="000349AF" w:rsidRDefault="006B4B75" w:rsidP="00230568">
      <w:pPr>
        <w:spacing w:after="0"/>
        <w:ind w:firstLine="851"/>
        <w:rPr>
          <w:rFonts w:ascii="Arial" w:hAnsi="Arial" w:cs="Arial"/>
          <w:szCs w:val="24"/>
        </w:rPr>
      </w:pPr>
      <w:r>
        <w:rPr>
          <w:szCs w:val="24"/>
        </w:rPr>
        <w:lastRenderedPageBreak/>
        <w:t>Nesse sentido, a</w:t>
      </w:r>
      <w:r w:rsidR="00A25143">
        <w:rPr>
          <w:szCs w:val="24"/>
        </w:rPr>
        <w:t xml:space="preserve"> reinvindicação da</w:t>
      </w:r>
      <w:r w:rsidR="001D3EC0">
        <w:rPr>
          <w:szCs w:val="24"/>
        </w:rPr>
        <w:t xml:space="preserve"> produção sustentável</w:t>
      </w:r>
      <w:r>
        <w:rPr>
          <w:szCs w:val="24"/>
        </w:rPr>
        <w:t xml:space="preserve"> por setores da sociedade</w:t>
      </w:r>
      <w:r w:rsidR="00A25143">
        <w:rPr>
          <w:szCs w:val="24"/>
        </w:rPr>
        <w:t>, fomentada pela r</w:t>
      </w:r>
      <w:r w:rsidR="004B641C">
        <w:rPr>
          <w:szCs w:val="24"/>
        </w:rPr>
        <w:t>etórica da sustentabilidade</w:t>
      </w:r>
      <w:r w:rsidR="00A25143">
        <w:rPr>
          <w:szCs w:val="24"/>
        </w:rPr>
        <w:t>,</w:t>
      </w:r>
      <w:r w:rsidR="001D3EC0">
        <w:rPr>
          <w:szCs w:val="24"/>
        </w:rPr>
        <w:t xml:space="preserve"> que ocorre em âmbito global</w:t>
      </w:r>
      <w:r w:rsidR="004B641C">
        <w:rPr>
          <w:szCs w:val="24"/>
        </w:rPr>
        <w:t xml:space="preserve">, vem alterando </w:t>
      </w:r>
      <w:r w:rsidR="001D3EC0">
        <w:rPr>
          <w:szCs w:val="24"/>
        </w:rPr>
        <w:t>a governança territorial no campo brasileir</w:t>
      </w:r>
      <w:r w:rsidR="00A25143">
        <w:rPr>
          <w:szCs w:val="24"/>
        </w:rPr>
        <w:t xml:space="preserve">o. Buscando </w:t>
      </w:r>
      <w:r w:rsidR="00A25143" w:rsidRPr="00A25143">
        <w:rPr>
          <w:szCs w:val="24"/>
        </w:rPr>
        <w:t>r</w:t>
      </w:r>
      <w:r w:rsidR="00107A82" w:rsidRPr="00A25143">
        <w:rPr>
          <w:szCs w:val="24"/>
        </w:rPr>
        <w:t>esponder a demanda global</w:t>
      </w:r>
      <w:r>
        <w:rPr>
          <w:szCs w:val="24"/>
        </w:rPr>
        <w:t xml:space="preserve"> </w:t>
      </w:r>
      <w:r w:rsidR="00107A82" w:rsidRPr="00A25143">
        <w:rPr>
          <w:szCs w:val="24"/>
        </w:rPr>
        <w:t>e local</w:t>
      </w:r>
      <w:r w:rsidR="00A25143" w:rsidRPr="00A25143">
        <w:rPr>
          <w:szCs w:val="24"/>
        </w:rPr>
        <w:t>, as</w:t>
      </w:r>
      <w:r w:rsidR="00107A82" w:rsidRPr="00A25143">
        <w:rPr>
          <w:szCs w:val="24"/>
        </w:rPr>
        <w:t xml:space="preserve"> </w:t>
      </w:r>
      <w:r w:rsidR="00A25143" w:rsidRPr="00A25143">
        <w:rPr>
          <w:szCs w:val="24"/>
        </w:rPr>
        <w:t>redes agroalimentares</w:t>
      </w:r>
      <w:r w:rsidR="00A25143">
        <w:rPr>
          <w:szCs w:val="24"/>
        </w:rPr>
        <w:t xml:space="preserve"> </w:t>
      </w:r>
      <w:r w:rsidR="00A25143" w:rsidRPr="00A25143">
        <w:rPr>
          <w:szCs w:val="24"/>
        </w:rPr>
        <w:t>dispõe</w:t>
      </w:r>
      <w:r w:rsidR="00A25143">
        <w:rPr>
          <w:szCs w:val="24"/>
        </w:rPr>
        <w:t>m</w:t>
      </w:r>
      <w:r w:rsidR="00A25143" w:rsidRPr="00A25143">
        <w:rPr>
          <w:szCs w:val="24"/>
        </w:rPr>
        <w:t xml:space="preserve"> </w:t>
      </w:r>
      <w:r w:rsidR="00107A82" w:rsidRPr="00A25143">
        <w:rPr>
          <w:szCs w:val="24"/>
        </w:rPr>
        <w:t>de iniciativas nacionais</w:t>
      </w:r>
      <w:r w:rsidR="00A25143" w:rsidRPr="00A25143">
        <w:rPr>
          <w:szCs w:val="24"/>
        </w:rPr>
        <w:t xml:space="preserve"> e internacionais</w:t>
      </w:r>
      <w:r w:rsidR="00107A82" w:rsidRPr="00A25143">
        <w:rPr>
          <w:szCs w:val="24"/>
        </w:rPr>
        <w:t xml:space="preserve"> para estabelecimentos de padrões </w:t>
      </w:r>
      <w:r>
        <w:rPr>
          <w:szCs w:val="24"/>
        </w:rPr>
        <w:t xml:space="preserve">socioambientais </w:t>
      </w:r>
      <w:r w:rsidR="00A25143" w:rsidRPr="00A25143">
        <w:rPr>
          <w:szCs w:val="24"/>
        </w:rPr>
        <w:t>na produção de</w:t>
      </w:r>
      <w:r w:rsidR="00107A82" w:rsidRPr="00A25143">
        <w:rPr>
          <w:szCs w:val="24"/>
        </w:rPr>
        <w:t xml:space="preserve"> orgânicos, cafeicultura, silvicultura, carnes, cotonicultura, sojicultura e outros</w:t>
      </w:r>
      <w:r w:rsidR="00A25143" w:rsidRPr="00A25143">
        <w:rPr>
          <w:szCs w:val="24"/>
        </w:rPr>
        <w:t>.</w:t>
      </w:r>
      <w:r w:rsidR="00A25143">
        <w:rPr>
          <w:szCs w:val="24"/>
        </w:rPr>
        <w:t xml:space="preserve"> </w:t>
      </w:r>
      <w:r w:rsidR="00230568">
        <w:rPr>
          <w:szCs w:val="24"/>
        </w:rPr>
        <w:t>O</w:t>
      </w:r>
      <w:r w:rsidR="00230568" w:rsidRPr="00230568">
        <w:rPr>
          <w:szCs w:val="24"/>
        </w:rPr>
        <w:t>s países voltados para a produção agrícola, assim como o Brasil:</w:t>
      </w:r>
    </w:p>
    <w:p w14:paraId="42FCDC12" w14:textId="2A6960CD" w:rsidR="00230568" w:rsidRDefault="00230568" w:rsidP="00230568">
      <w:pPr>
        <w:spacing w:after="0" w:line="240" w:lineRule="auto"/>
        <w:ind w:firstLine="851"/>
        <w:rPr>
          <w:szCs w:val="24"/>
        </w:rPr>
      </w:pPr>
    </w:p>
    <w:p w14:paraId="27B36F51" w14:textId="77777777" w:rsidR="00230568" w:rsidRPr="00230568" w:rsidRDefault="00230568" w:rsidP="00230568">
      <w:pPr>
        <w:spacing w:after="0" w:line="240" w:lineRule="auto"/>
        <w:ind w:firstLine="851"/>
        <w:rPr>
          <w:szCs w:val="24"/>
        </w:rPr>
      </w:pPr>
    </w:p>
    <w:p w14:paraId="799372AE" w14:textId="77777777" w:rsidR="00230568" w:rsidRPr="00230568" w:rsidRDefault="00230568" w:rsidP="00230568">
      <w:pPr>
        <w:adjustRightInd w:val="0"/>
        <w:spacing w:after="0" w:line="240" w:lineRule="auto"/>
        <w:ind w:left="2268"/>
        <w:rPr>
          <w:rFonts w:cs="Times New Roman"/>
          <w:sz w:val="20"/>
          <w:szCs w:val="20"/>
        </w:rPr>
      </w:pPr>
      <w:r w:rsidRPr="00230568">
        <w:rPr>
          <w:rFonts w:cs="Times New Roman"/>
          <w:sz w:val="20"/>
          <w:szCs w:val="20"/>
        </w:rPr>
        <w:t>Está buscando diferenciar seus produtos no mercado, oferecendo maior qualidade e segurança dos mesmos aos consumidores. Tal anseio é devido ao desenvolvimento em direção à proteção de seus alimentos, seus conhecimentos e habilidades (know-how) e devido à necessidade e demanda mundial de produtos mais saudáveis, ecologicamente corretos, rastreáveis, dentre outros (SILVA; PALLET; BRABET, p. 4, 2002).</w:t>
      </w:r>
    </w:p>
    <w:p w14:paraId="6C9BD235" w14:textId="4B7EE593" w:rsidR="00230568" w:rsidRDefault="00230568" w:rsidP="00230568">
      <w:pPr>
        <w:spacing w:after="0" w:line="240" w:lineRule="auto"/>
        <w:ind w:firstLine="851"/>
        <w:rPr>
          <w:szCs w:val="24"/>
        </w:rPr>
      </w:pPr>
    </w:p>
    <w:p w14:paraId="5E3A2306" w14:textId="77777777" w:rsidR="00230568" w:rsidRDefault="00230568" w:rsidP="00230568">
      <w:pPr>
        <w:spacing w:after="0" w:line="240" w:lineRule="auto"/>
        <w:ind w:firstLine="851"/>
        <w:rPr>
          <w:szCs w:val="24"/>
        </w:rPr>
      </w:pPr>
    </w:p>
    <w:p w14:paraId="2510F0E0" w14:textId="3628BDFD" w:rsidR="00107A82" w:rsidRDefault="00A75F91" w:rsidP="00A25143">
      <w:pPr>
        <w:spacing w:after="0"/>
        <w:ind w:firstLine="851"/>
        <w:rPr>
          <w:szCs w:val="24"/>
        </w:rPr>
      </w:pPr>
      <w:r>
        <w:rPr>
          <w:szCs w:val="24"/>
        </w:rPr>
        <w:t xml:space="preserve">Nas duas últimas décadas </w:t>
      </w:r>
      <w:r w:rsidR="006B4B75">
        <w:rPr>
          <w:szCs w:val="24"/>
        </w:rPr>
        <w:t>n</w:t>
      </w:r>
      <w:r w:rsidR="00A25143">
        <w:rPr>
          <w:szCs w:val="24"/>
        </w:rPr>
        <w:t>ovos arranjos institucionais emergiram</w:t>
      </w:r>
      <w:r w:rsidR="009A4861">
        <w:rPr>
          <w:szCs w:val="24"/>
        </w:rPr>
        <w:t>,</w:t>
      </w:r>
      <w:r w:rsidR="006B4B75">
        <w:rPr>
          <w:szCs w:val="24"/>
        </w:rPr>
        <w:t xml:space="preserve"> de caráter privado ou público/privado,</w:t>
      </w:r>
      <w:r w:rsidR="009A4861">
        <w:rPr>
          <w:szCs w:val="24"/>
        </w:rPr>
        <w:t xml:space="preserve"> sobretudo</w:t>
      </w:r>
      <w:r w:rsidR="006B4B75">
        <w:rPr>
          <w:szCs w:val="24"/>
        </w:rPr>
        <w:t xml:space="preserve"> aqueles</w:t>
      </w:r>
      <w:r w:rsidR="009A4861">
        <w:rPr>
          <w:szCs w:val="24"/>
        </w:rPr>
        <w:t xml:space="preserve"> envolvido</w:t>
      </w:r>
      <w:r w:rsidR="006B4B75">
        <w:rPr>
          <w:szCs w:val="24"/>
        </w:rPr>
        <w:t>s</w:t>
      </w:r>
      <w:r w:rsidR="009A4861">
        <w:rPr>
          <w:szCs w:val="24"/>
        </w:rPr>
        <w:t xml:space="preserve"> com a </w:t>
      </w:r>
      <w:r>
        <w:rPr>
          <w:szCs w:val="24"/>
        </w:rPr>
        <w:t>garantia da qualidade</w:t>
      </w:r>
      <w:r w:rsidR="009A4861">
        <w:rPr>
          <w:szCs w:val="24"/>
        </w:rPr>
        <w:t xml:space="preserve"> socioambiental,</w:t>
      </w:r>
      <w:r w:rsidR="00A25143">
        <w:rPr>
          <w:szCs w:val="24"/>
        </w:rPr>
        <w:t xml:space="preserve"> </w:t>
      </w:r>
      <w:r>
        <w:rPr>
          <w:szCs w:val="24"/>
        </w:rPr>
        <w:t xml:space="preserve">e para representar </w:t>
      </w:r>
      <w:r w:rsidR="006B4B75">
        <w:rPr>
          <w:szCs w:val="24"/>
        </w:rPr>
        <w:t>tod</w:t>
      </w:r>
      <w:r w:rsidR="00A25143">
        <w:rPr>
          <w:szCs w:val="24"/>
        </w:rPr>
        <w:t xml:space="preserve">as </w:t>
      </w:r>
      <w:r w:rsidR="006B4B75">
        <w:rPr>
          <w:szCs w:val="24"/>
        </w:rPr>
        <w:t xml:space="preserve">as </w:t>
      </w:r>
      <w:r w:rsidR="00A25143">
        <w:rPr>
          <w:szCs w:val="24"/>
        </w:rPr>
        <w:t>partes interessadas nas redes de produção global de alimentos</w:t>
      </w:r>
      <w:r>
        <w:rPr>
          <w:szCs w:val="24"/>
        </w:rPr>
        <w:t>.</w:t>
      </w:r>
      <w:r w:rsidR="00887F66">
        <w:rPr>
          <w:szCs w:val="24"/>
        </w:rPr>
        <w:t xml:space="preserve"> Estas iniciativas compreendem novas práticas de governança no território.</w:t>
      </w:r>
    </w:p>
    <w:p w14:paraId="3536235E" w14:textId="682DA8F3" w:rsidR="00C447CB" w:rsidRPr="00C447CB" w:rsidRDefault="00C447CB" w:rsidP="004C3593">
      <w:pPr>
        <w:spacing w:after="0"/>
        <w:ind w:firstLine="851"/>
        <w:rPr>
          <w:szCs w:val="24"/>
        </w:rPr>
      </w:pPr>
      <w:r w:rsidRPr="00C447CB">
        <w:rPr>
          <w:szCs w:val="24"/>
        </w:rPr>
        <w:t>Trazendo um panorama da certificação orgânica no Brasil, em outrora o movimento teve início a partir do trabalho informal de ONGs, associações e cooperativas de produtores e consumidores, que estabeleciam normas internas genuínas. O primeiro órgão de certificação de orgânicos do país foi a Cooperativa de Consumidores no Rio Grande do Sul (COOLMÉIA) em 1978. Mas com o surgimento da necessidade de reconhecimento internacional, visando a exportação, logo se buscou os padrões internacionais como referência.</w:t>
      </w:r>
    </w:p>
    <w:p w14:paraId="3AB76897" w14:textId="60C34570" w:rsidR="00C447CB" w:rsidRPr="00C447CB" w:rsidRDefault="00C447CB" w:rsidP="004C3593">
      <w:pPr>
        <w:spacing w:after="0"/>
        <w:ind w:firstLine="851"/>
        <w:rPr>
          <w:szCs w:val="24"/>
        </w:rPr>
      </w:pPr>
      <w:r w:rsidRPr="00C447CB">
        <w:rPr>
          <w:szCs w:val="24"/>
        </w:rPr>
        <w:t xml:space="preserve">Um exemplo interessante de certificação para produtos agroecológicos e de nova governança no Brasil, ainda a área de atuação seja fora do cerrado brasileiro, é a certificadora da Rede </w:t>
      </w:r>
      <w:proofErr w:type="spellStart"/>
      <w:r w:rsidRPr="00C447CB">
        <w:rPr>
          <w:szCs w:val="24"/>
        </w:rPr>
        <w:t>Ecovida</w:t>
      </w:r>
      <w:proofErr w:type="spellEnd"/>
      <w:r w:rsidRPr="00C447CB">
        <w:rPr>
          <w:szCs w:val="24"/>
        </w:rPr>
        <w:t xml:space="preserve">. Criada em 1998 com iniciativas de ONGs e organizações de agricultores do Sul do Brasil, a Rede </w:t>
      </w:r>
      <w:proofErr w:type="spellStart"/>
      <w:r w:rsidRPr="00C447CB">
        <w:rPr>
          <w:szCs w:val="24"/>
        </w:rPr>
        <w:t>Ecovida</w:t>
      </w:r>
      <w:proofErr w:type="spellEnd"/>
      <w:r w:rsidRPr="00C447CB">
        <w:rPr>
          <w:szCs w:val="24"/>
        </w:rPr>
        <w:t xml:space="preserve"> possuí uma estrutura de governança diferenciada, uma vez que se coloca como uma rede horizontal e descentralizada, sendo organizada por grupos informais de agricultores, associações e cooperativas. “Estas organizações se articulam com associações ou cooperativas de consumidores de consumidores, ONGs e outras instituições e formam um Núcleo Regional, circunscrito a determinada área geográfica (Rede </w:t>
      </w:r>
      <w:proofErr w:type="spellStart"/>
      <w:r w:rsidRPr="00C447CB">
        <w:rPr>
          <w:szCs w:val="24"/>
        </w:rPr>
        <w:t>Ecovida</w:t>
      </w:r>
      <w:proofErr w:type="spellEnd"/>
      <w:r w:rsidRPr="00C447CB">
        <w:rPr>
          <w:szCs w:val="24"/>
        </w:rPr>
        <w:t>, 2019).”</w:t>
      </w:r>
    </w:p>
    <w:p w14:paraId="3E4BCC41" w14:textId="3022F601" w:rsidR="00C447CB" w:rsidRDefault="00C447CB" w:rsidP="00887F66">
      <w:pPr>
        <w:adjustRightInd w:val="0"/>
        <w:spacing w:after="0"/>
        <w:ind w:firstLine="851"/>
        <w:rPr>
          <w:szCs w:val="24"/>
        </w:rPr>
      </w:pPr>
      <w:r w:rsidRPr="00C447CB">
        <w:rPr>
          <w:szCs w:val="24"/>
        </w:rPr>
        <w:t xml:space="preserve">No setor do café, a Origem Região do Cerrado Minero é a iniciativa mais conhecida de denominação de origem, sendo ela gerida pela Federação dos Cafeicultores do Cerrado Mineiro. O processo de certificação de origem e avaliação sensorial de qualidade de café do </w:t>
      </w:r>
      <w:r w:rsidRPr="00C447CB">
        <w:rPr>
          <w:szCs w:val="24"/>
        </w:rPr>
        <w:lastRenderedPageBreak/>
        <w:t xml:space="preserve">Cerrado Mineiro segue um protocolo da associação americana de cafés, havendo garantia através de um sistema de rastreabilidade dos grãos e normas internas que regulam a denominação de origem do Cerrado Mineiro. Contudo, a </w:t>
      </w:r>
      <w:bookmarkStart w:id="0" w:name="_Hlk15894586"/>
      <w:r w:rsidRPr="00C447CB">
        <w:rPr>
          <w:szCs w:val="24"/>
        </w:rPr>
        <w:t xml:space="preserve">Associação Brasileira da Indústria de Café </w:t>
      </w:r>
      <w:bookmarkEnd w:id="0"/>
      <w:r w:rsidRPr="00C447CB">
        <w:rPr>
          <w:szCs w:val="24"/>
        </w:rPr>
        <w:t>(ABIC) possui programas de certificação desde 1989, contendo atualmente cinco tipos de selos para produtores e inclusive cafeterias.</w:t>
      </w:r>
    </w:p>
    <w:p w14:paraId="259B1935" w14:textId="0B9A4BFB" w:rsidR="004C3593" w:rsidRDefault="0027629A" w:rsidP="004C3593">
      <w:pPr>
        <w:spacing w:after="0"/>
        <w:ind w:firstLine="851"/>
        <w:rPr>
          <w:szCs w:val="24"/>
        </w:rPr>
      </w:pPr>
      <w:r>
        <w:rPr>
          <w:szCs w:val="24"/>
        </w:rPr>
        <w:t xml:space="preserve">Como exemplo empírico </w:t>
      </w:r>
      <w:r w:rsidR="004C3593">
        <w:rPr>
          <w:szCs w:val="24"/>
        </w:rPr>
        <w:t>n</w:t>
      </w:r>
      <w:r w:rsidR="004C3593" w:rsidRPr="004C3593">
        <w:rPr>
          <w:szCs w:val="24"/>
        </w:rPr>
        <w:t xml:space="preserve">a cotonicultura brasileira, o Instituto Social do Algodão (IAS), entidade sem fins lucrativos, foi criada em 2005 pela Associação Mato-grossense dos Produtores de Algodão (AMPA), com o propósito de orientar os cotonicultores do estado sobre a legislação trabalhista e ambiental. O IAS foi pioneiro para com as iniciativas socioambientais no Brasil, ao lançar em 2007 o programa "Algodão Socialmente Correto" em parceria com a ABNT – o selo era destinado aos produtores que seguiam às normas trabalhistas e ambientais no estado. </w:t>
      </w:r>
    </w:p>
    <w:p w14:paraId="28F63739" w14:textId="0E7B2730" w:rsidR="004C3593" w:rsidRPr="004C3593" w:rsidRDefault="004C3593" w:rsidP="004C3593">
      <w:pPr>
        <w:spacing w:after="0"/>
        <w:ind w:firstLine="851"/>
        <w:rPr>
          <w:szCs w:val="24"/>
        </w:rPr>
      </w:pPr>
      <w:r w:rsidRPr="004C3593">
        <w:rPr>
          <w:szCs w:val="24"/>
        </w:rPr>
        <w:t>Com base nessa iniciativa a Associação Brasileira dos Produtores de Algodão criou em 2009 o Programa Socioambiental da Produção de Algodão (PSOAL) (IAS, 2012). Conforme Veiga &amp; Rodrigues (2010), o IAS foi criado por pressão política local dos órgãos de fiscalização Minis</w:t>
      </w:r>
      <w:r w:rsidRPr="004C3593">
        <w:rPr>
          <w:szCs w:val="24"/>
        </w:rPr>
        <w:softHyphen/>
        <w:t>tério Público Federal do Trabalho e do Emprego do Brasil (MTE), ao focar na questão do trabalho escravo no MT ao incluir produtores do estado na lista de trabalho escravo, ou seja, nesse caso não foi criado para responder ás pressões internacionais. E outra consideração a respeito do IAS, é que naquele período o instituto não havia incluído o conteúdo normativo do BCI no que se refere a redução ou proibição de agrotóxicos em seu programa socioambiental.</w:t>
      </w:r>
    </w:p>
    <w:p w14:paraId="6F72FA38" w14:textId="08B1495F" w:rsidR="004C3593" w:rsidRDefault="004C3593" w:rsidP="004C3593">
      <w:pPr>
        <w:spacing w:after="0"/>
        <w:ind w:firstLine="851"/>
        <w:rPr>
          <w:szCs w:val="24"/>
        </w:rPr>
      </w:pPr>
      <w:r w:rsidRPr="004C3593">
        <w:rPr>
          <w:szCs w:val="24"/>
        </w:rPr>
        <w:t>Em 2012 a ABRAPA unificou as normas dos programas do IAS e PSOAL e lançou o programa de certificação Algodão Brasileiro Responsável (ABR). O programa ABR tem como fundamento o incremento progressivo das boas práticas sociais, ambientais e econômicas nas fazendas produtoras de algodão. O processo de certificação ABR e licenciamento BCI é centralizado no programa ABR, de maneira que o produtor possa optar pelo licenciamento da organização internacional no momento da solicitação no programa da ABR. uma auditoria externa avalia oito critérios contidos no programa ABR nas unidades produtoras: (1) contrato de trabalho; (2) proibição de trabalho infantil; (3) proibição de trabalho análogo a escravo ou em condições degradantes ou indignas; (4) liberdade de associação sindical; (5) proibição de discriminação de pessoas; (6) segurança, saúde ocupacional e meio ambiente do trabalho; (7) desempenho ambiental; (8) boas práticas agrícolas (ABRAPA, 2016).</w:t>
      </w:r>
    </w:p>
    <w:p w14:paraId="59EBCEFF" w14:textId="45087205" w:rsidR="0031466C" w:rsidRDefault="0031466C" w:rsidP="00A25143">
      <w:pPr>
        <w:spacing w:after="0"/>
        <w:ind w:firstLine="851"/>
        <w:rPr>
          <w:szCs w:val="24"/>
        </w:rPr>
      </w:pPr>
      <w:r>
        <w:rPr>
          <w:szCs w:val="24"/>
        </w:rPr>
        <w:t xml:space="preserve">Como exemplo empírico na sojicultura brasileira, </w:t>
      </w:r>
      <w:r w:rsidR="00230568">
        <w:rPr>
          <w:szCs w:val="24"/>
        </w:rPr>
        <w:t xml:space="preserve">e que influenciou diretamente na expansão da soja no cerrado brasileiro, foi o pacto da Moratória da Soja para o bioma </w:t>
      </w:r>
      <w:r w:rsidR="00230568">
        <w:rPr>
          <w:szCs w:val="24"/>
        </w:rPr>
        <w:lastRenderedPageBreak/>
        <w:t xml:space="preserve">amazônico. </w:t>
      </w:r>
      <w:r w:rsidR="00B140FC">
        <w:rPr>
          <w:szCs w:val="24"/>
        </w:rPr>
        <w:t>O acordo ocorreu</w:t>
      </w:r>
      <w:r w:rsidR="00B140FC" w:rsidRPr="0064371B">
        <w:rPr>
          <w:szCs w:val="24"/>
        </w:rPr>
        <w:t xml:space="preserve"> em 2006 entre a Associação Brasileira das Indústrias de Óleos Vegetais (ABIOVE), Associação Brasileira dos Exportadores de Cereais (ANEC), governo e organizações da sociedade civil foi uma tentativa de resposta à pressão internacional que a rede de produção da soja brasileira (e também outros países produtores) estava recebendo acerca dos problemas ambientais que a oleaginosa traria ao avançar para o bioma da floresta amazônica.</w:t>
      </w:r>
    </w:p>
    <w:p w14:paraId="2E641B04" w14:textId="77777777" w:rsidR="00C447CB" w:rsidRDefault="0064371B" w:rsidP="00D33920">
      <w:pPr>
        <w:adjustRightInd w:val="0"/>
        <w:spacing w:after="0"/>
        <w:ind w:firstLine="851"/>
        <w:rPr>
          <w:szCs w:val="24"/>
        </w:rPr>
      </w:pPr>
      <w:r w:rsidRPr="0064371B">
        <w:rPr>
          <w:szCs w:val="24"/>
        </w:rPr>
        <w:t xml:space="preserve">O acordo consistiu no compromisso das empresas esmagadoras de soja (Cargill, ADM, Amaggi, Bunge etc.) a não adquirir soja de áreas desmatadas da Amazônia Legal pós-moratória. “Como se trata de um arranjo privado e voluntário, é preciso desenvolver mecanismos transparentes de monitoramento e verificação (VEIGA; RODRIGUES, 2010, p. 17).” Nesse sentido, o envolvimento de atores como o INPE e o PRODES que realizam o monitoramento e análise das imagens, bem como dados das instituições </w:t>
      </w:r>
      <w:proofErr w:type="spellStart"/>
      <w:r w:rsidRPr="0064371B">
        <w:rPr>
          <w:szCs w:val="24"/>
        </w:rPr>
        <w:t>Agrosatélite</w:t>
      </w:r>
      <w:proofErr w:type="spellEnd"/>
      <w:r w:rsidRPr="0064371B">
        <w:rPr>
          <w:szCs w:val="24"/>
        </w:rPr>
        <w:t xml:space="preserve">, Fundação Nacional do Índio (FUNAI), Ministério do Meio Ambiente (MMA), Instituto Brasileiro de Geografia e Estatística (IBGE) e Instituto Nacional de Colonização e Reforma Agrária (INCRA), assim como a publicação de relatórios anuais, garantem o reconhecimento internacional do Programa. “A governança e a operação da Moratória são de responsabilidade do Grupo de Trabalho da Soja (GTS), constituído pelas empresas associadas à ABIOVE e à ANEC, por organizações da sociedade civil, pelo Ministério do Meio Ambiente e pelo Banco do Brasil (ABIOVE, 2019).” </w:t>
      </w:r>
    </w:p>
    <w:p w14:paraId="18600363" w14:textId="06BB436B" w:rsidR="00D33920" w:rsidRDefault="0064371B" w:rsidP="00C447CB">
      <w:pPr>
        <w:adjustRightInd w:val="0"/>
        <w:spacing w:after="0"/>
        <w:ind w:firstLine="851"/>
        <w:rPr>
          <w:szCs w:val="24"/>
        </w:rPr>
      </w:pPr>
      <w:r w:rsidRPr="0064371B">
        <w:rPr>
          <w:szCs w:val="24"/>
        </w:rPr>
        <w:t>A participação de ONGs como a WWF e Greenpeace, associações como o Sindicato dos Trabalhadores Rurais de Santarém (STTR), além de órgãos estatais que defendem interesse público, conota o GTS, a Moratória, como um espaço de equilíbrio de interesses entre as partes envolvidas.</w:t>
      </w:r>
      <w:r w:rsidR="00C447CB">
        <w:rPr>
          <w:szCs w:val="24"/>
        </w:rPr>
        <w:t xml:space="preserve"> </w:t>
      </w:r>
      <w:r w:rsidR="00D33920" w:rsidRPr="00D33920">
        <w:rPr>
          <w:szCs w:val="24"/>
        </w:rPr>
        <w:t>Os resultados positivos pós marco regulatório da soja na Amazônia são devidamente reconhecidos internacionalmente por organizações e pesquisadores ambientais, e aproveitando esse caso exitoso, foi instituído um Grupo de Trabalho do Cerrado (GTC) desde 2017 (MMA/BRASIL, 2018), havendo por parte de ambientalistas e atores civis a defesa da extensão da Moratória para o bioma cerrado. Esse debate é atual, e o posicionamento divergente dos multi-stakeholder revela resistências por parte dos produtores e empresas processadoras.</w:t>
      </w:r>
    </w:p>
    <w:p w14:paraId="6A8A5E2E" w14:textId="3987185E" w:rsidR="00F13113" w:rsidRPr="00F13113" w:rsidRDefault="00F13113" w:rsidP="00887F66">
      <w:pPr>
        <w:adjustRightInd w:val="0"/>
        <w:spacing w:after="0"/>
        <w:ind w:firstLine="851"/>
        <w:rPr>
          <w:szCs w:val="24"/>
        </w:rPr>
      </w:pPr>
      <w:r w:rsidRPr="00F13113">
        <w:rPr>
          <w:szCs w:val="24"/>
        </w:rPr>
        <w:t>Como assinalado por Veiga &amp; Rodrigues (2010, p. 16) “existe hoje uma demanda transnacional para a certificação da soja sustentável, através da mesa redonda RTRS, que coloca o Brasil em evidência devido ao fato de ser o segundo maior produtor e exportador de soja e derivados.” Desde 2006 arranjos privados surgiram para responder as implicações socioambientais, como a mesa redonda global de soja sustentável, por sua vez:</w:t>
      </w:r>
    </w:p>
    <w:p w14:paraId="5260264E" w14:textId="59160363" w:rsidR="00F13113" w:rsidRDefault="00F13113" w:rsidP="00F13113">
      <w:pPr>
        <w:adjustRightInd w:val="0"/>
        <w:spacing w:after="0" w:line="240" w:lineRule="auto"/>
        <w:jc w:val="left"/>
        <w:rPr>
          <w:szCs w:val="24"/>
        </w:rPr>
      </w:pPr>
    </w:p>
    <w:p w14:paraId="3C8CCA8D" w14:textId="0043580C" w:rsidR="00C447CB" w:rsidRDefault="00C447CB" w:rsidP="00F13113">
      <w:pPr>
        <w:adjustRightInd w:val="0"/>
        <w:spacing w:after="0" w:line="240" w:lineRule="auto"/>
        <w:jc w:val="left"/>
        <w:rPr>
          <w:szCs w:val="24"/>
        </w:rPr>
      </w:pPr>
    </w:p>
    <w:p w14:paraId="32956926" w14:textId="28EFB7C4" w:rsidR="00C447CB" w:rsidRDefault="00C447CB" w:rsidP="00F13113">
      <w:pPr>
        <w:adjustRightInd w:val="0"/>
        <w:spacing w:after="0" w:line="240" w:lineRule="auto"/>
        <w:jc w:val="left"/>
        <w:rPr>
          <w:szCs w:val="24"/>
        </w:rPr>
      </w:pPr>
    </w:p>
    <w:p w14:paraId="0F699DB8" w14:textId="77777777" w:rsidR="00C447CB" w:rsidRDefault="00C447CB" w:rsidP="00F13113">
      <w:pPr>
        <w:adjustRightInd w:val="0"/>
        <w:spacing w:after="0" w:line="240" w:lineRule="auto"/>
        <w:jc w:val="left"/>
        <w:rPr>
          <w:szCs w:val="24"/>
        </w:rPr>
      </w:pPr>
    </w:p>
    <w:p w14:paraId="013EC82F" w14:textId="77777777" w:rsidR="00F13113" w:rsidRPr="00F13113" w:rsidRDefault="00F13113" w:rsidP="00F13113">
      <w:pPr>
        <w:adjustRightInd w:val="0"/>
        <w:spacing w:after="0" w:line="240" w:lineRule="auto"/>
        <w:jc w:val="left"/>
        <w:rPr>
          <w:szCs w:val="24"/>
        </w:rPr>
      </w:pPr>
    </w:p>
    <w:p w14:paraId="4DAA5507" w14:textId="77777777" w:rsidR="00F13113" w:rsidRPr="00F13113" w:rsidRDefault="00F13113" w:rsidP="00F13113">
      <w:pPr>
        <w:adjustRightInd w:val="0"/>
        <w:spacing w:after="0" w:line="240" w:lineRule="auto"/>
        <w:ind w:left="2268"/>
        <w:rPr>
          <w:sz w:val="20"/>
          <w:szCs w:val="20"/>
        </w:rPr>
      </w:pPr>
      <w:r w:rsidRPr="00F13113">
        <w:rPr>
          <w:sz w:val="20"/>
          <w:szCs w:val="20"/>
        </w:rPr>
        <w:t>O amadurecimento da cooperação em torno da Moratória da Soja abriu o caminho para o adensamento institucional e a criação de instrumentos de certificação, um resultado natural da cooperação privada e voluntária. Aqui entra o segundo nível. As associações de classe no Brasil (</w:t>
      </w:r>
      <w:proofErr w:type="spellStart"/>
      <w:r w:rsidRPr="00F13113">
        <w:rPr>
          <w:sz w:val="20"/>
          <w:szCs w:val="20"/>
        </w:rPr>
        <w:t>Abiove</w:t>
      </w:r>
      <w:proofErr w:type="spellEnd"/>
      <w:r w:rsidRPr="00F13113">
        <w:rPr>
          <w:sz w:val="20"/>
          <w:szCs w:val="20"/>
        </w:rPr>
        <w:t xml:space="preserve"> e </w:t>
      </w:r>
      <w:proofErr w:type="spellStart"/>
      <w:r w:rsidRPr="00F13113">
        <w:rPr>
          <w:sz w:val="20"/>
          <w:szCs w:val="20"/>
        </w:rPr>
        <w:t>Aprosoja</w:t>
      </w:r>
      <w:proofErr w:type="spellEnd"/>
      <w:r w:rsidRPr="00F13113">
        <w:rPr>
          <w:sz w:val="20"/>
          <w:szCs w:val="20"/>
        </w:rPr>
        <w:t>) romperam com o RTRS e criaram um standard nacional para a soja denominado Soja Plus (VEIGA; RODRIGUES, 2010, p. 18).</w:t>
      </w:r>
    </w:p>
    <w:p w14:paraId="7A71A942" w14:textId="79CF075E" w:rsidR="00F13113" w:rsidRDefault="00F13113" w:rsidP="00F13113">
      <w:pPr>
        <w:adjustRightInd w:val="0"/>
        <w:spacing w:after="0" w:line="240" w:lineRule="auto"/>
        <w:ind w:firstLine="851"/>
        <w:rPr>
          <w:szCs w:val="24"/>
        </w:rPr>
      </w:pPr>
    </w:p>
    <w:p w14:paraId="165A8CD3" w14:textId="77777777" w:rsidR="00F13113" w:rsidRDefault="00F13113" w:rsidP="00F13113">
      <w:pPr>
        <w:adjustRightInd w:val="0"/>
        <w:spacing w:after="0" w:line="240" w:lineRule="auto"/>
        <w:ind w:firstLine="851"/>
        <w:rPr>
          <w:szCs w:val="24"/>
        </w:rPr>
      </w:pPr>
    </w:p>
    <w:p w14:paraId="26FCC518" w14:textId="77777777" w:rsidR="00C447CB" w:rsidRDefault="00F13113" w:rsidP="00F13113">
      <w:pPr>
        <w:adjustRightInd w:val="0"/>
        <w:spacing w:after="0"/>
        <w:ind w:firstLine="851"/>
        <w:rPr>
          <w:szCs w:val="24"/>
        </w:rPr>
      </w:pPr>
      <w:r w:rsidRPr="00F13113">
        <w:rPr>
          <w:szCs w:val="24"/>
        </w:rPr>
        <w:t xml:space="preserve">Em 2011 a Associação dos Produtores de Soja e Milho do Estado de Mato Grosso (APROSOJA) juntamente com a Associação Brasileira das Indústrias de Óleos Vegetais (ABIOVE) lançaram o programa Soja Plus. Atualmente a Federação da Agricultura e Pecuária Mato Grosso do Sul (FAMASUL), a Associação de Agricultores e Irrigantes da Bahia (AIBA), o Sistema de Aprendizagem Rural (SENAR) e a Universidade Federal de Viçosa são organizadoras. O Soja Plus é um programa de gestão econômica, social e ambiental da propriedade rural brasileira. </w:t>
      </w:r>
    </w:p>
    <w:p w14:paraId="2DF5F3F7" w14:textId="61D44235" w:rsidR="00F13113" w:rsidRPr="00F13113" w:rsidRDefault="00F13113" w:rsidP="00F13113">
      <w:pPr>
        <w:adjustRightInd w:val="0"/>
        <w:spacing w:after="0"/>
        <w:ind w:firstLine="851"/>
        <w:rPr>
          <w:szCs w:val="24"/>
        </w:rPr>
      </w:pPr>
      <w:r w:rsidRPr="00F13113">
        <w:rPr>
          <w:szCs w:val="24"/>
        </w:rPr>
        <w:t>O programa oferece de forma gratuita aos produtores oficinas e assistência técnica para melhor a gestão da fazenda com a distribuição de materiais, promoção de cursos sobre saúde e segurança no trabalho, adequação de construções rurais, regularização ambiental etc. Os princípios do Soja Plus prezam por melhoria das práticas agrícolas com o intuito de implementar o código florestal brasileiro - com os seus instrumentos fundamentais, o Registro Ambiental Rural (CAR) e o Programa de Regularização Ambiental (PRA); podendo alinhar os desafios da sustentabilidade e viabilidade econômico (APROSOJA, 2019).</w:t>
      </w:r>
    </w:p>
    <w:p w14:paraId="4F9D10F0" w14:textId="77777777" w:rsidR="00F13113" w:rsidRPr="00F13113" w:rsidRDefault="00F13113" w:rsidP="00F13113">
      <w:pPr>
        <w:adjustRightInd w:val="0"/>
        <w:spacing w:after="0"/>
        <w:ind w:firstLine="851"/>
        <w:rPr>
          <w:szCs w:val="24"/>
        </w:rPr>
      </w:pPr>
      <w:r w:rsidRPr="00F13113">
        <w:rPr>
          <w:szCs w:val="24"/>
        </w:rPr>
        <w:t xml:space="preserve">O Soja Plus visa atender às demandas de produtos sustentáveis, por meio das seguintes linhas de ação: I) Qualidade de vida no trabalho; II) Melhores práticas de produção agrícola; III) Viabilidade financeira e econômica; IV) Qualidade do produto; V) Responsabilidade social. Segundo o programa, as ações são feitas por meio parcerias com os produtores rurais, governos estaduais e municipais, sociedade civil, comércio e instituições de ensino, pesquisa e extensão. O programa está implantado nos estados da Bahia, Mato Grosso, Mato Grosso do sul, Minas Gerais, e em 2018 foi expandido para Goiás. Conforme o relatório de 2017 do Soja Plus 1.322 fazendas receberam assistência técnica entre 2011 e 2017. As fazendas inscritas até então produziram 7,15 milhões de toneladas de soja, abrangendo 2,4 milhões de hectares. No período foram investidos pelo programa 15 milhões de reais. </w:t>
      </w:r>
    </w:p>
    <w:p w14:paraId="387F1507" w14:textId="77777777" w:rsidR="00533513" w:rsidRDefault="00F13113" w:rsidP="00F13113">
      <w:pPr>
        <w:adjustRightInd w:val="0"/>
        <w:spacing w:after="0"/>
        <w:ind w:firstLine="851"/>
        <w:rPr>
          <w:szCs w:val="24"/>
        </w:rPr>
      </w:pPr>
      <w:r w:rsidRPr="00F13113">
        <w:rPr>
          <w:szCs w:val="24"/>
        </w:rPr>
        <w:t xml:space="preserve">O que difere o Soja Plus da RTRS é que o programa é “de participação voluntária adequado à realidade do produtor nacional e com todas as ações de capacitação, materiais e assistência técnica oferecidas gratuitamente para os produtores participantes (ABIOVE, 2019).” </w:t>
      </w:r>
      <w:r w:rsidRPr="00F13113">
        <w:rPr>
          <w:szCs w:val="24"/>
        </w:rPr>
        <w:lastRenderedPageBreak/>
        <w:t xml:space="preserve">Uma das críticas dos produtores à certificação da RTRS, sobretudo para os que não objetivam a exportação, é o elevado custo do processo de certificação e o nível de exigência do </w:t>
      </w:r>
      <w:r w:rsidRPr="0027629A">
        <w:rPr>
          <w:i/>
          <w:iCs/>
          <w:szCs w:val="24"/>
        </w:rPr>
        <w:t>standard</w:t>
      </w:r>
      <w:r w:rsidRPr="00F13113">
        <w:rPr>
          <w:szCs w:val="24"/>
        </w:rPr>
        <w:t>.</w:t>
      </w:r>
    </w:p>
    <w:p w14:paraId="6946F3D1" w14:textId="20166349" w:rsidR="0085075B" w:rsidRPr="005225BE" w:rsidRDefault="0085075B" w:rsidP="0085075B">
      <w:pPr>
        <w:spacing w:after="0"/>
        <w:ind w:firstLine="851"/>
        <w:rPr>
          <w:szCs w:val="24"/>
        </w:rPr>
      </w:pPr>
      <w:r w:rsidRPr="005225BE">
        <w:rPr>
          <w:szCs w:val="24"/>
        </w:rPr>
        <w:t xml:space="preserve">Dentre as </w:t>
      </w:r>
      <w:r w:rsidR="00887F66">
        <w:rPr>
          <w:szCs w:val="24"/>
        </w:rPr>
        <w:t>o</w:t>
      </w:r>
      <w:r w:rsidRPr="005225BE">
        <w:rPr>
          <w:szCs w:val="24"/>
        </w:rPr>
        <w:t>rganizações da sociedade civil, a Rede Cerrado congrega mais de 300 organizações que se identificam com a causa socioambiental do bioma, trabalhando para a promoção da sustentabilidade, em defesa da conservação do Cerrado e dos seus povos tradicionais (Quilombolas, indígenas, agricultores familiares). Em 2018 a organização juntamente, com ONG</w:t>
      </w:r>
      <w:r>
        <w:rPr>
          <w:szCs w:val="24"/>
        </w:rPr>
        <w:t>s</w:t>
      </w:r>
      <w:r w:rsidRPr="005225BE">
        <w:rPr>
          <w:szCs w:val="24"/>
        </w:rPr>
        <w:t xml:space="preserve">, lançou no Congresso Nacional brasileiro um documento com recomendações em defesa do bioma. </w:t>
      </w:r>
    </w:p>
    <w:p w14:paraId="33C91044" w14:textId="77777777" w:rsidR="0085075B" w:rsidRDefault="0085075B" w:rsidP="00F13113">
      <w:pPr>
        <w:adjustRightInd w:val="0"/>
        <w:spacing w:after="0"/>
        <w:ind w:firstLine="851"/>
        <w:rPr>
          <w:szCs w:val="24"/>
        </w:rPr>
      </w:pPr>
    </w:p>
    <w:p w14:paraId="678FF954" w14:textId="542D911B" w:rsidR="0085075B" w:rsidRDefault="0085075B" w:rsidP="0085075B">
      <w:pPr>
        <w:adjustRightInd w:val="0"/>
        <w:spacing w:after="0"/>
        <w:jc w:val="center"/>
        <w:rPr>
          <w:szCs w:val="24"/>
        </w:rPr>
      </w:pPr>
      <w:r>
        <w:rPr>
          <w:rFonts w:cs="Times New Roman"/>
          <w:b/>
          <w:szCs w:val="24"/>
        </w:rPr>
        <w:t>À GUISA DE CONCLUSÃO</w:t>
      </w:r>
    </w:p>
    <w:p w14:paraId="3504FD9C" w14:textId="77777777" w:rsidR="00523AA2" w:rsidRDefault="00523AA2" w:rsidP="00523AA2">
      <w:pPr>
        <w:adjustRightInd w:val="0"/>
        <w:spacing w:after="0"/>
        <w:ind w:firstLine="709"/>
        <w:rPr>
          <w:szCs w:val="24"/>
        </w:rPr>
      </w:pPr>
    </w:p>
    <w:p w14:paraId="54B9CF2E" w14:textId="4CFA2FB4" w:rsidR="00523AA2" w:rsidRPr="00523AA2" w:rsidRDefault="004F6F94" w:rsidP="00523AA2">
      <w:pPr>
        <w:adjustRightInd w:val="0"/>
        <w:spacing w:after="0"/>
        <w:ind w:firstLine="709"/>
        <w:rPr>
          <w:szCs w:val="24"/>
        </w:rPr>
      </w:pPr>
      <w:r w:rsidRPr="00523AA2">
        <w:rPr>
          <w:szCs w:val="24"/>
        </w:rPr>
        <w:t xml:space="preserve">Nota-se que a </w:t>
      </w:r>
      <w:r w:rsidR="00887F66" w:rsidRPr="00523AA2">
        <w:rPr>
          <w:szCs w:val="24"/>
        </w:rPr>
        <w:t>estes arranjos institucionais identificados,</w:t>
      </w:r>
      <w:r w:rsidRPr="00523AA2">
        <w:rPr>
          <w:szCs w:val="24"/>
        </w:rPr>
        <w:t xml:space="preserve"> por meio de seus </w:t>
      </w:r>
      <w:r w:rsidR="00887F66" w:rsidRPr="00523AA2">
        <w:rPr>
          <w:szCs w:val="24"/>
        </w:rPr>
        <w:t xml:space="preserve">objetivos enquanto organização, </w:t>
      </w:r>
      <w:r w:rsidRPr="00523AA2">
        <w:rPr>
          <w:szCs w:val="24"/>
        </w:rPr>
        <w:t>altera</w:t>
      </w:r>
      <w:r w:rsidR="00887F66" w:rsidRPr="00523AA2">
        <w:rPr>
          <w:szCs w:val="24"/>
        </w:rPr>
        <w:t>m</w:t>
      </w:r>
      <w:r w:rsidRPr="00523AA2">
        <w:rPr>
          <w:szCs w:val="24"/>
        </w:rPr>
        <w:t xml:space="preserve"> as formas de produção dos produtores, </w:t>
      </w:r>
      <w:r w:rsidR="00887F66" w:rsidRPr="00523AA2">
        <w:rPr>
          <w:szCs w:val="24"/>
        </w:rPr>
        <w:t xml:space="preserve">e as </w:t>
      </w:r>
      <w:r w:rsidR="00523AA2" w:rsidRPr="00523AA2">
        <w:rPr>
          <w:szCs w:val="24"/>
        </w:rPr>
        <w:t>práticas de</w:t>
      </w:r>
      <w:r w:rsidRPr="00523AA2">
        <w:rPr>
          <w:szCs w:val="24"/>
        </w:rPr>
        <w:t xml:space="preserve"> governanç</w:t>
      </w:r>
      <w:r w:rsidR="00523AA2" w:rsidRPr="00523AA2">
        <w:rPr>
          <w:szCs w:val="24"/>
        </w:rPr>
        <w:t>a, que já não são</w:t>
      </w:r>
      <w:r w:rsidRPr="00523AA2">
        <w:rPr>
          <w:szCs w:val="24"/>
        </w:rPr>
        <w:t xml:space="preserve"> </w:t>
      </w:r>
      <w:r w:rsidR="00523AA2" w:rsidRPr="00523AA2">
        <w:rPr>
          <w:szCs w:val="24"/>
        </w:rPr>
        <w:t>mais restringidas as ações</w:t>
      </w:r>
      <w:r w:rsidRPr="00523AA2">
        <w:rPr>
          <w:szCs w:val="24"/>
        </w:rPr>
        <w:t xml:space="preserve"> governamentais/estatai</w:t>
      </w:r>
      <w:r w:rsidR="00523AA2" w:rsidRPr="00523AA2">
        <w:rPr>
          <w:szCs w:val="24"/>
        </w:rPr>
        <w:t xml:space="preserve">s. As redes agroalimentares </w:t>
      </w:r>
      <w:r w:rsidRPr="00523AA2">
        <w:rPr>
          <w:szCs w:val="24"/>
        </w:rPr>
        <w:t>compreende</w:t>
      </w:r>
      <w:r w:rsidR="00523AA2" w:rsidRPr="00523AA2">
        <w:rPr>
          <w:szCs w:val="24"/>
        </w:rPr>
        <w:t>m</w:t>
      </w:r>
      <w:r w:rsidRPr="00523AA2">
        <w:rPr>
          <w:szCs w:val="24"/>
        </w:rPr>
        <w:t xml:space="preserve"> uma pluralidade de atores </w:t>
      </w:r>
      <w:r w:rsidR="00523AA2" w:rsidRPr="00523AA2">
        <w:rPr>
          <w:szCs w:val="24"/>
        </w:rPr>
        <w:t>sobretudo</w:t>
      </w:r>
      <w:r w:rsidRPr="00523AA2">
        <w:rPr>
          <w:szCs w:val="24"/>
        </w:rPr>
        <w:t xml:space="preserve"> não-governamentais,</w:t>
      </w:r>
      <w:r w:rsidR="00523AA2" w:rsidRPr="00523AA2">
        <w:rPr>
          <w:szCs w:val="24"/>
        </w:rPr>
        <w:t xml:space="preserve"> mas</w:t>
      </w:r>
      <w:r w:rsidRPr="00523AA2">
        <w:rPr>
          <w:szCs w:val="24"/>
        </w:rPr>
        <w:t xml:space="preserve"> </w:t>
      </w:r>
      <w:r w:rsidR="00523AA2" w:rsidRPr="00523AA2">
        <w:rPr>
          <w:szCs w:val="24"/>
        </w:rPr>
        <w:t xml:space="preserve">ainda mantendo </w:t>
      </w:r>
      <w:r w:rsidRPr="00523AA2">
        <w:rPr>
          <w:szCs w:val="24"/>
        </w:rPr>
        <w:t xml:space="preserve">elos institucionais, em escalas espaciais diversas. Conclui-se </w:t>
      </w:r>
      <w:r w:rsidR="00887F66" w:rsidRPr="00523AA2">
        <w:rPr>
          <w:szCs w:val="24"/>
        </w:rPr>
        <w:t xml:space="preserve">que estes arranjos </w:t>
      </w:r>
      <w:r w:rsidRPr="00523AA2">
        <w:rPr>
          <w:szCs w:val="24"/>
        </w:rPr>
        <w:t>cria</w:t>
      </w:r>
      <w:r w:rsidR="00887F66" w:rsidRPr="00523AA2">
        <w:rPr>
          <w:szCs w:val="24"/>
        </w:rPr>
        <w:t>m “governanças”</w:t>
      </w:r>
      <w:r w:rsidRPr="00523AA2">
        <w:rPr>
          <w:szCs w:val="24"/>
        </w:rPr>
        <w:t xml:space="preserve"> </w:t>
      </w:r>
      <w:r w:rsidR="00887F66" w:rsidRPr="00523AA2">
        <w:rPr>
          <w:szCs w:val="24"/>
        </w:rPr>
        <w:t>que geram impactos</w:t>
      </w:r>
      <w:r w:rsidRPr="00523AA2">
        <w:rPr>
          <w:szCs w:val="24"/>
        </w:rPr>
        <w:t xml:space="preserve"> espaciais </w:t>
      </w:r>
      <w:r w:rsidR="00887F66" w:rsidRPr="00523AA2">
        <w:rPr>
          <w:szCs w:val="24"/>
        </w:rPr>
        <w:t>nos territórios urbano e rural</w:t>
      </w:r>
      <w:r w:rsidRPr="00523AA2">
        <w:rPr>
          <w:szCs w:val="24"/>
        </w:rPr>
        <w:t xml:space="preserve">. </w:t>
      </w:r>
    </w:p>
    <w:p w14:paraId="579FA898" w14:textId="5C555CA7" w:rsidR="00F13113" w:rsidRDefault="00523AA2" w:rsidP="00523AA2">
      <w:pPr>
        <w:adjustRightInd w:val="0"/>
        <w:ind w:firstLine="709"/>
        <w:rPr>
          <w:szCs w:val="24"/>
        </w:rPr>
      </w:pPr>
      <w:r>
        <w:rPr>
          <w:szCs w:val="24"/>
        </w:rPr>
        <w:t>Em síntese, o surgimento de arranjos institucionais</w:t>
      </w:r>
      <w:r w:rsidR="00887F66" w:rsidRPr="00523AA2">
        <w:rPr>
          <w:szCs w:val="24"/>
        </w:rPr>
        <w:t xml:space="preserve"> </w:t>
      </w:r>
      <w:r>
        <w:rPr>
          <w:szCs w:val="24"/>
        </w:rPr>
        <w:t>que</w:t>
      </w:r>
      <w:r w:rsidR="00887F66" w:rsidRPr="00523AA2">
        <w:rPr>
          <w:szCs w:val="24"/>
        </w:rPr>
        <w:t xml:space="preserve"> descentraliza</w:t>
      </w:r>
      <w:r>
        <w:rPr>
          <w:szCs w:val="24"/>
        </w:rPr>
        <w:t>m</w:t>
      </w:r>
      <w:r w:rsidR="00887F66" w:rsidRPr="00523AA2">
        <w:rPr>
          <w:szCs w:val="24"/>
        </w:rPr>
        <w:t xml:space="preserve"> o poder corporativo e estatal (poder brando), </w:t>
      </w:r>
      <w:r>
        <w:rPr>
          <w:szCs w:val="24"/>
        </w:rPr>
        <w:t>se organizam através de atores que precisam estar representados nas esferas das decisões, ou sejam nas estruturas de poder.</w:t>
      </w:r>
    </w:p>
    <w:p w14:paraId="51D04CBB" w14:textId="77777777" w:rsidR="00523AA2" w:rsidRDefault="00523AA2" w:rsidP="00523AA2">
      <w:pPr>
        <w:adjustRightInd w:val="0"/>
        <w:spacing w:after="0"/>
        <w:ind w:firstLine="709"/>
        <w:rPr>
          <w:szCs w:val="24"/>
        </w:rPr>
      </w:pPr>
    </w:p>
    <w:p w14:paraId="0A42C750" w14:textId="78A7E364" w:rsidR="002A4FD7" w:rsidRDefault="00523AA2" w:rsidP="00523AA2">
      <w:pPr>
        <w:autoSpaceDE w:val="0"/>
        <w:autoSpaceDN w:val="0"/>
        <w:adjustRightInd w:val="0"/>
        <w:spacing w:after="0"/>
        <w:rPr>
          <w:rFonts w:cs="Times New Roman"/>
          <w:b/>
          <w:szCs w:val="24"/>
        </w:rPr>
      </w:pPr>
      <w:r>
        <w:rPr>
          <w:rFonts w:cs="Times New Roman"/>
          <w:b/>
          <w:szCs w:val="24"/>
        </w:rPr>
        <w:t>BIBLIOGRAFIA</w:t>
      </w:r>
    </w:p>
    <w:p w14:paraId="5BCB7660" w14:textId="55CC425F" w:rsidR="00437704" w:rsidRPr="00B50CCA" w:rsidRDefault="00437704" w:rsidP="00B50CCA">
      <w:pPr>
        <w:tabs>
          <w:tab w:val="left" w:pos="1170"/>
        </w:tabs>
        <w:spacing w:after="0" w:line="240" w:lineRule="auto"/>
        <w:rPr>
          <w:rFonts w:cs="Times New Roman"/>
          <w:sz w:val="20"/>
          <w:szCs w:val="20"/>
        </w:rPr>
      </w:pPr>
      <w:r w:rsidRPr="00B50CCA">
        <w:rPr>
          <w:rFonts w:cs="Times New Roman"/>
          <w:sz w:val="20"/>
          <w:szCs w:val="20"/>
        </w:rPr>
        <w:tab/>
      </w:r>
    </w:p>
    <w:p w14:paraId="47A7E4F1" w14:textId="77777777" w:rsidR="00437704" w:rsidRPr="00437704" w:rsidRDefault="00437704" w:rsidP="00B50CCA">
      <w:pPr>
        <w:autoSpaceDE w:val="0"/>
        <w:autoSpaceDN w:val="0"/>
        <w:adjustRightInd w:val="0"/>
        <w:spacing w:before="240" w:after="0" w:line="240" w:lineRule="auto"/>
        <w:rPr>
          <w:rFonts w:eastAsia="Times New Roman" w:cs="Times New Roman"/>
          <w:bCs/>
          <w:color w:val="auto"/>
          <w:szCs w:val="24"/>
          <w:lang w:eastAsia="pt-PT" w:bidi="pt-PT"/>
        </w:rPr>
      </w:pPr>
      <w:r w:rsidRPr="00437704">
        <w:rPr>
          <w:rFonts w:eastAsia="Times New Roman" w:cs="Times New Roman"/>
          <w:color w:val="auto"/>
          <w:szCs w:val="24"/>
          <w:lang w:eastAsia="pt-PT" w:bidi="pt-PT"/>
        </w:rPr>
        <w:t>ASSOCIAÇÃO BRASILEIRA DA INDÚSTRIA DE CAFÉ, ABIC</w:t>
      </w:r>
      <w:r w:rsidRPr="00437704">
        <w:rPr>
          <w:rFonts w:eastAsia="Times New Roman" w:cs="Times New Roman"/>
          <w:bCs/>
          <w:color w:val="auto"/>
          <w:szCs w:val="24"/>
          <w:lang w:eastAsia="pt-PT" w:bidi="pt-PT"/>
        </w:rPr>
        <w:t>. Certificação. Disponível em: &lt;</w:t>
      </w:r>
      <w:r w:rsidRPr="00437704">
        <w:rPr>
          <w:rFonts w:eastAsia="Times New Roman" w:cs="Times New Roman"/>
          <w:color w:val="auto"/>
          <w:szCs w:val="24"/>
          <w:lang w:eastAsia="pt-PT" w:bidi="pt-PT"/>
        </w:rPr>
        <w:t xml:space="preserve"> </w:t>
      </w:r>
      <w:hyperlink r:id="rId7" w:history="1">
        <w:r w:rsidRPr="00437704">
          <w:rPr>
            <w:rFonts w:eastAsia="Times New Roman" w:cs="Times New Roman"/>
            <w:color w:val="auto"/>
            <w:szCs w:val="24"/>
            <w:lang w:eastAsia="pt-PT" w:bidi="pt-PT"/>
          </w:rPr>
          <w:t>http://abic.com.br/certificacao/</w:t>
        </w:r>
      </w:hyperlink>
      <w:r w:rsidRPr="00437704">
        <w:rPr>
          <w:rFonts w:eastAsia="Times New Roman" w:cs="Times New Roman"/>
          <w:bCs/>
          <w:color w:val="auto"/>
          <w:szCs w:val="24"/>
          <w:lang w:eastAsia="pt-PT" w:bidi="pt-PT"/>
        </w:rPr>
        <w:t>&gt;. Acesso em: 25 de junho de 2019.</w:t>
      </w:r>
    </w:p>
    <w:p w14:paraId="0F06D715" w14:textId="77777777" w:rsidR="00437704" w:rsidRPr="00437704" w:rsidRDefault="00437704" w:rsidP="00B50CCA">
      <w:pPr>
        <w:autoSpaceDE w:val="0"/>
        <w:autoSpaceDN w:val="0"/>
        <w:adjustRightInd w:val="0"/>
        <w:spacing w:before="240" w:after="0" w:line="240" w:lineRule="auto"/>
        <w:rPr>
          <w:rFonts w:eastAsia="Times New Roman" w:cs="Times New Roman"/>
          <w:bCs/>
          <w:color w:val="auto"/>
          <w:szCs w:val="24"/>
          <w:lang w:eastAsia="pt-PT" w:bidi="pt-PT"/>
        </w:rPr>
      </w:pPr>
      <w:r w:rsidRPr="00437704">
        <w:rPr>
          <w:rFonts w:eastAsia="Times New Roman" w:cs="Times New Roman"/>
          <w:bCs/>
          <w:color w:val="auto"/>
          <w:szCs w:val="24"/>
          <w:lang w:eastAsia="pt-PT" w:bidi="pt-PT"/>
        </w:rPr>
        <w:t>ASSOCIAÇÃO BRASILEIRA DAS INDÚSTRIAS DE ÓLEOS VEGETAIS, ABIOVE. Sustentabilidade. Disponível em: &lt;</w:t>
      </w:r>
      <w:hyperlink r:id="rId8" w:history="1">
        <w:r w:rsidRPr="00437704">
          <w:rPr>
            <w:rFonts w:eastAsia="Times New Roman" w:cs="Times New Roman"/>
            <w:color w:val="auto"/>
            <w:szCs w:val="24"/>
            <w:lang w:eastAsia="pt-PT" w:bidi="pt-PT"/>
          </w:rPr>
          <w:t>http://abiove.org.br/sustentabilidade/</w:t>
        </w:r>
      </w:hyperlink>
      <w:r w:rsidRPr="00437704">
        <w:rPr>
          <w:rFonts w:eastAsia="Times New Roman" w:cs="Times New Roman"/>
          <w:bCs/>
          <w:color w:val="auto"/>
          <w:szCs w:val="24"/>
          <w:lang w:eastAsia="pt-PT" w:bidi="pt-PT"/>
        </w:rPr>
        <w:t>&gt;. Acesso em: 25 de junho de 2019.</w:t>
      </w:r>
    </w:p>
    <w:p w14:paraId="1475F8D4" w14:textId="77777777" w:rsidR="00437704" w:rsidRPr="00437704" w:rsidRDefault="00437704" w:rsidP="00B50CCA">
      <w:pPr>
        <w:autoSpaceDE w:val="0"/>
        <w:autoSpaceDN w:val="0"/>
        <w:adjustRightInd w:val="0"/>
        <w:spacing w:before="240" w:after="0" w:line="240" w:lineRule="auto"/>
        <w:rPr>
          <w:rFonts w:eastAsia="Times New Roman" w:cs="Times New Roman"/>
          <w:bCs/>
          <w:color w:val="auto"/>
          <w:szCs w:val="24"/>
          <w:lang w:eastAsia="pt-PT" w:bidi="pt-PT"/>
        </w:rPr>
      </w:pPr>
      <w:r w:rsidRPr="00437704">
        <w:rPr>
          <w:rFonts w:eastAsia="Times New Roman" w:cs="Times New Roman"/>
          <w:bCs/>
          <w:color w:val="auto"/>
          <w:szCs w:val="24"/>
          <w:lang w:eastAsia="pt-PT" w:bidi="pt-PT"/>
        </w:rPr>
        <w:t>ASSOCIAÇÃO BRASILEIRA DOS PRODUTORES DE ALGODÃO, ABRAPA. Algodão Brasileiro Responsável. Disponível em: &lt;</w:t>
      </w:r>
      <w:hyperlink r:id="rId9" w:history="1">
        <w:r w:rsidRPr="00437704">
          <w:rPr>
            <w:rFonts w:eastAsia="Times New Roman" w:cs="Times New Roman"/>
            <w:color w:val="auto"/>
            <w:szCs w:val="24"/>
            <w:lang w:eastAsia="pt-PT" w:bidi="pt-PT"/>
          </w:rPr>
          <w:t>https://www.abrapa.com.br/Paginas/sustentabilidade/algodao-brasileiro-responsavel.aspx</w:t>
        </w:r>
      </w:hyperlink>
      <w:r w:rsidRPr="00437704">
        <w:rPr>
          <w:rFonts w:eastAsia="Times New Roman" w:cs="Times New Roman"/>
          <w:bCs/>
          <w:color w:val="auto"/>
          <w:szCs w:val="24"/>
          <w:lang w:eastAsia="pt-PT" w:bidi="pt-PT"/>
        </w:rPr>
        <w:t>&gt;. Acesso em: 25 de junho de 2019.</w:t>
      </w:r>
    </w:p>
    <w:p w14:paraId="0CD79956" w14:textId="77777777" w:rsidR="00437704" w:rsidRPr="00437704" w:rsidRDefault="00437704" w:rsidP="00B50CCA">
      <w:pPr>
        <w:autoSpaceDE w:val="0"/>
        <w:autoSpaceDN w:val="0"/>
        <w:adjustRightInd w:val="0"/>
        <w:spacing w:before="240" w:after="0" w:line="240" w:lineRule="auto"/>
        <w:rPr>
          <w:rFonts w:eastAsia="Times New Roman" w:cs="Times New Roman"/>
          <w:bCs/>
          <w:color w:val="auto"/>
          <w:szCs w:val="24"/>
          <w:lang w:eastAsia="pt-PT" w:bidi="pt-PT"/>
        </w:rPr>
      </w:pPr>
      <w:r w:rsidRPr="00437704">
        <w:rPr>
          <w:rFonts w:eastAsia="Times New Roman" w:cs="Times New Roman"/>
          <w:color w:val="auto"/>
          <w:szCs w:val="24"/>
          <w:lang w:eastAsia="pt-BR"/>
        </w:rPr>
        <w:t>ASSOCIAÇÃO BRASILEIRA DOS PRODUTORES DE SOJA E MILHO DE MATO GROSSO, APROSOJA</w:t>
      </w:r>
      <w:r w:rsidRPr="00437704">
        <w:rPr>
          <w:rFonts w:eastAsia="Times New Roman" w:cs="Times New Roman"/>
          <w:bCs/>
          <w:color w:val="auto"/>
          <w:szCs w:val="24"/>
          <w:lang w:eastAsia="pt-PT" w:bidi="pt-PT"/>
        </w:rPr>
        <w:t>. Sustentabilidade. Disponível em: &lt;</w:t>
      </w:r>
      <w:hyperlink r:id="rId10" w:history="1">
        <w:r w:rsidRPr="00437704">
          <w:rPr>
            <w:rFonts w:eastAsia="Times New Roman" w:cs="Times New Roman"/>
            <w:color w:val="auto"/>
            <w:szCs w:val="24"/>
            <w:lang w:eastAsia="pt-PT" w:bidi="pt-PT"/>
          </w:rPr>
          <w:t>http://www.aprosoja.com.br/comissao/sustentabilidade</w:t>
        </w:r>
      </w:hyperlink>
      <w:r w:rsidRPr="00437704">
        <w:rPr>
          <w:rFonts w:eastAsia="Times New Roman" w:cs="Times New Roman"/>
          <w:bCs/>
          <w:color w:val="auto"/>
          <w:szCs w:val="24"/>
          <w:lang w:eastAsia="pt-PT" w:bidi="pt-PT"/>
        </w:rPr>
        <w:t>&gt;. Acesso em: 25 de junho de 2019.</w:t>
      </w:r>
    </w:p>
    <w:p w14:paraId="4622342F" w14:textId="77777777" w:rsidR="00437704" w:rsidRPr="00437704" w:rsidRDefault="00437704" w:rsidP="00B50CCA">
      <w:pPr>
        <w:widowControl w:val="0"/>
        <w:autoSpaceDE w:val="0"/>
        <w:autoSpaceDN w:val="0"/>
        <w:spacing w:before="240" w:after="0" w:line="240" w:lineRule="auto"/>
        <w:rPr>
          <w:rFonts w:eastAsia="Times New Roman" w:cs="Times New Roman"/>
          <w:color w:val="auto"/>
          <w:szCs w:val="24"/>
          <w:lang w:eastAsia="pt-PT" w:bidi="pt-PT"/>
        </w:rPr>
      </w:pPr>
      <w:r w:rsidRPr="00437704">
        <w:rPr>
          <w:rFonts w:eastAsia="Times New Roman" w:cs="Times New Roman"/>
          <w:color w:val="auto"/>
          <w:szCs w:val="24"/>
          <w:lang w:eastAsia="pt-PT" w:bidi="pt-PT"/>
        </w:rPr>
        <w:lastRenderedPageBreak/>
        <w:t xml:space="preserve">BAUMAN, </w:t>
      </w:r>
      <w:proofErr w:type="spellStart"/>
      <w:r w:rsidRPr="00437704">
        <w:rPr>
          <w:rFonts w:eastAsia="Times New Roman" w:cs="Times New Roman"/>
          <w:color w:val="auto"/>
          <w:szCs w:val="24"/>
          <w:lang w:eastAsia="pt-PT" w:bidi="pt-PT"/>
        </w:rPr>
        <w:t>Zygmunt</w:t>
      </w:r>
      <w:proofErr w:type="spellEnd"/>
      <w:r w:rsidRPr="00437704">
        <w:rPr>
          <w:rFonts w:eastAsia="Times New Roman" w:cs="Times New Roman"/>
          <w:color w:val="auto"/>
          <w:szCs w:val="24"/>
          <w:lang w:eastAsia="pt-PT" w:bidi="pt-PT"/>
        </w:rPr>
        <w:t xml:space="preserve">. </w:t>
      </w:r>
      <w:r w:rsidRPr="00437704">
        <w:rPr>
          <w:rFonts w:eastAsia="Times New Roman" w:cs="Times New Roman"/>
          <w:b/>
          <w:bCs/>
          <w:color w:val="auto"/>
          <w:szCs w:val="24"/>
          <w:lang w:eastAsia="pt-PT" w:bidi="pt-PT"/>
        </w:rPr>
        <w:t>Vida para o consumo</w:t>
      </w:r>
      <w:r w:rsidRPr="00437704">
        <w:rPr>
          <w:rFonts w:eastAsia="Times New Roman" w:cs="Times New Roman"/>
          <w:color w:val="auto"/>
          <w:szCs w:val="24"/>
          <w:lang w:eastAsia="pt-PT" w:bidi="pt-PT"/>
        </w:rPr>
        <w:t>: a transformação das pessoas em mercadoria. Rio de Janeiro: Jorge Zahar, 2008.</w:t>
      </w:r>
    </w:p>
    <w:p w14:paraId="4FF3D03F" w14:textId="481A33B6" w:rsidR="00437704" w:rsidRPr="00437704" w:rsidRDefault="00437704" w:rsidP="00B50CCA">
      <w:pPr>
        <w:widowControl w:val="0"/>
        <w:autoSpaceDE w:val="0"/>
        <w:autoSpaceDN w:val="0"/>
        <w:adjustRightInd w:val="0"/>
        <w:spacing w:before="240" w:after="0" w:line="240" w:lineRule="auto"/>
        <w:rPr>
          <w:rFonts w:eastAsia="Times New Roman" w:cs="Times New Roman"/>
          <w:color w:val="auto"/>
          <w:szCs w:val="24"/>
          <w:lang w:eastAsia="pt-PT" w:bidi="pt-PT"/>
        </w:rPr>
      </w:pPr>
      <w:r w:rsidRPr="00437704">
        <w:rPr>
          <w:rFonts w:eastAsia="Times New Roman" w:cs="Times New Roman"/>
          <w:color w:val="auto"/>
          <w:szCs w:val="24"/>
          <w:lang w:eastAsia="pt-PT" w:bidi="pt-PT"/>
        </w:rPr>
        <w:t>BEZERRA, Juscelino E. A fruticultura no Nordeste semiárido: internacionalização, conflitos territoriais e a precarização do trabalho. Doutorado (Tese) – Pós-Graduação em Geografia, UNESP, 2012.</w:t>
      </w:r>
    </w:p>
    <w:p w14:paraId="0F9FE24A" w14:textId="77777777" w:rsidR="00437704" w:rsidRPr="00B50CCA" w:rsidRDefault="00437704" w:rsidP="00B50CCA">
      <w:pPr>
        <w:tabs>
          <w:tab w:val="left" w:pos="2115"/>
        </w:tabs>
        <w:spacing w:before="240" w:after="0" w:line="240" w:lineRule="auto"/>
        <w:rPr>
          <w:rFonts w:cs="Times New Roman"/>
          <w:bCs/>
          <w:szCs w:val="24"/>
        </w:rPr>
      </w:pPr>
      <w:r w:rsidRPr="00B50CCA">
        <w:rPr>
          <w:rFonts w:cs="Times New Roman"/>
          <w:szCs w:val="24"/>
        </w:rPr>
        <w:t>CAFÉ DO CERRADO</w:t>
      </w:r>
      <w:r w:rsidRPr="00B50CCA">
        <w:rPr>
          <w:rFonts w:cs="Times New Roman"/>
          <w:bCs/>
          <w:szCs w:val="24"/>
        </w:rPr>
        <w:t>. Denominação de origem. Disponível em: &lt;</w:t>
      </w:r>
      <w:hyperlink r:id="rId11" w:history="1">
        <w:r w:rsidRPr="00B50CCA">
          <w:rPr>
            <w:rFonts w:cs="Times New Roman"/>
            <w:szCs w:val="24"/>
          </w:rPr>
          <w:t>https://www.cafedocerrado.org/</w:t>
        </w:r>
      </w:hyperlink>
      <w:r w:rsidRPr="00B50CCA">
        <w:rPr>
          <w:rFonts w:cs="Times New Roman"/>
          <w:bCs/>
          <w:szCs w:val="24"/>
        </w:rPr>
        <w:t>&gt;. Acesso em: 25 de junho de 2019.</w:t>
      </w:r>
    </w:p>
    <w:p w14:paraId="3BC60456" w14:textId="798D6A64" w:rsidR="00437704" w:rsidRPr="00437704" w:rsidRDefault="00437704" w:rsidP="00B50CCA">
      <w:pPr>
        <w:widowControl w:val="0"/>
        <w:tabs>
          <w:tab w:val="left" w:pos="2115"/>
        </w:tabs>
        <w:autoSpaceDE w:val="0"/>
        <w:autoSpaceDN w:val="0"/>
        <w:spacing w:before="240" w:after="0" w:line="240" w:lineRule="auto"/>
        <w:rPr>
          <w:rFonts w:eastAsia="Times New Roman" w:cs="Times New Roman"/>
          <w:color w:val="auto"/>
          <w:szCs w:val="24"/>
          <w:lang w:val="en-US" w:eastAsia="pt-PT" w:bidi="pt-PT"/>
        </w:rPr>
      </w:pPr>
      <w:r w:rsidRPr="00437704">
        <w:rPr>
          <w:rFonts w:eastAsia="Times New Roman" w:cs="Times New Roman"/>
          <w:color w:val="auto"/>
          <w:szCs w:val="24"/>
          <w:lang w:eastAsia="pt-PT" w:bidi="pt-PT"/>
        </w:rPr>
        <w:t xml:space="preserve">COE, N.; DICKEN, P; HESS, </w:t>
      </w:r>
      <w:proofErr w:type="gramStart"/>
      <w:r w:rsidRPr="00437704">
        <w:rPr>
          <w:rFonts w:eastAsia="Times New Roman" w:cs="Times New Roman"/>
          <w:color w:val="auto"/>
          <w:szCs w:val="24"/>
          <w:lang w:eastAsia="pt-PT" w:bidi="pt-PT"/>
        </w:rPr>
        <w:t>M..</w:t>
      </w:r>
      <w:proofErr w:type="gramEnd"/>
      <w:r w:rsidRPr="00437704">
        <w:rPr>
          <w:rFonts w:eastAsia="Times New Roman" w:cs="Times New Roman"/>
          <w:color w:val="auto"/>
          <w:szCs w:val="24"/>
          <w:lang w:eastAsia="pt-PT" w:bidi="pt-PT"/>
        </w:rPr>
        <w:t xml:space="preserve"> </w:t>
      </w:r>
      <w:r w:rsidRPr="00437704">
        <w:rPr>
          <w:rFonts w:eastAsia="Times New Roman" w:cs="Times New Roman"/>
          <w:color w:val="auto"/>
          <w:szCs w:val="24"/>
          <w:lang w:val="en-US" w:eastAsia="pt-PT" w:bidi="pt-PT"/>
        </w:rPr>
        <w:t xml:space="preserve">Global Production Networks: Realizing the Potential. </w:t>
      </w:r>
      <w:r w:rsidRPr="00437704">
        <w:rPr>
          <w:rFonts w:eastAsia="Times New Roman" w:cs="Times New Roman"/>
          <w:b/>
          <w:bCs/>
          <w:color w:val="auto"/>
          <w:szCs w:val="24"/>
          <w:lang w:val="en-US" w:eastAsia="pt-PT" w:bidi="pt-PT"/>
        </w:rPr>
        <w:t>Journal of Economic Geography</w:t>
      </w:r>
      <w:r w:rsidRPr="00437704">
        <w:rPr>
          <w:rFonts w:eastAsia="Times New Roman" w:cs="Times New Roman"/>
          <w:color w:val="auto"/>
          <w:szCs w:val="24"/>
          <w:lang w:val="en-US" w:eastAsia="pt-PT" w:bidi="pt-PT"/>
        </w:rPr>
        <w:t>. V.8, n.3, p.271-295, 2008.</w:t>
      </w:r>
    </w:p>
    <w:p w14:paraId="36A139A0" w14:textId="77777777" w:rsidR="00437704" w:rsidRPr="00437704" w:rsidRDefault="00437704" w:rsidP="00B50CCA">
      <w:pPr>
        <w:widowControl w:val="0"/>
        <w:tabs>
          <w:tab w:val="left" w:pos="2115"/>
        </w:tabs>
        <w:autoSpaceDE w:val="0"/>
        <w:autoSpaceDN w:val="0"/>
        <w:spacing w:before="240" w:after="0" w:line="240" w:lineRule="auto"/>
        <w:rPr>
          <w:rFonts w:eastAsia="Times New Roman" w:cs="Times New Roman"/>
          <w:color w:val="auto"/>
          <w:szCs w:val="24"/>
          <w:lang w:eastAsia="pt-PT" w:bidi="pt-PT"/>
        </w:rPr>
      </w:pPr>
      <w:r w:rsidRPr="00437704">
        <w:rPr>
          <w:rFonts w:eastAsia="Times New Roman" w:cs="Times New Roman"/>
          <w:color w:val="auto"/>
          <w:szCs w:val="24"/>
          <w:lang w:val="en-US" w:eastAsia="pt-PT" w:bidi="pt-PT"/>
        </w:rPr>
        <w:t xml:space="preserve">DALLABRIDA, V. R.; BECKER, </w:t>
      </w:r>
      <w:proofErr w:type="spellStart"/>
      <w:r w:rsidRPr="00437704">
        <w:rPr>
          <w:rFonts w:eastAsia="Times New Roman" w:cs="Times New Roman"/>
          <w:color w:val="auto"/>
          <w:szCs w:val="24"/>
          <w:lang w:val="en-US" w:eastAsia="pt-PT" w:bidi="pt-PT"/>
        </w:rPr>
        <w:t>Denizar</w:t>
      </w:r>
      <w:proofErr w:type="spellEnd"/>
      <w:r w:rsidRPr="00437704">
        <w:rPr>
          <w:rFonts w:eastAsia="Times New Roman" w:cs="Times New Roman"/>
          <w:color w:val="auto"/>
          <w:szCs w:val="24"/>
          <w:lang w:val="en-US" w:eastAsia="pt-PT" w:bidi="pt-PT"/>
        </w:rPr>
        <w:t xml:space="preserve"> </w:t>
      </w:r>
      <w:proofErr w:type="gramStart"/>
      <w:r w:rsidRPr="00437704">
        <w:rPr>
          <w:rFonts w:eastAsia="Times New Roman" w:cs="Times New Roman"/>
          <w:color w:val="auto"/>
          <w:szCs w:val="24"/>
          <w:lang w:val="en-US" w:eastAsia="pt-PT" w:bidi="pt-PT"/>
        </w:rPr>
        <w:t>F..</w:t>
      </w:r>
      <w:proofErr w:type="gramEnd"/>
      <w:r w:rsidRPr="00437704">
        <w:rPr>
          <w:rFonts w:eastAsia="Times New Roman" w:cs="Times New Roman"/>
          <w:color w:val="auto"/>
          <w:szCs w:val="24"/>
          <w:lang w:val="en-US" w:eastAsia="pt-PT" w:bidi="pt-PT"/>
        </w:rPr>
        <w:t xml:space="preserve"> </w:t>
      </w:r>
      <w:r w:rsidRPr="00437704">
        <w:rPr>
          <w:rFonts w:eastAsia="Times New Roman" w:cs="Times New Roman"/>
          <w:bCs/>
          <w:color w:val="auto"/>
          <w:szCs w:val="24"/>
          <w:lang w:eastAsia="pt-PT" w:bidi="pt-PT"/>
        </w:rPr>
        <w:t>Governança territorial</w:t>
      </w:r>
      <w:r w:rsidRPr="00437704">
        <w:rPr>
          <w:rFonts w:eastAsia="Times New Roman" w:cs="Times New Roman"/>
          <w:color w:val="auto"/>
          <w:szCs w:val="24"/>
          <w:lang w:eastAsia="pt-PT" w:bidi="pt-PT"/>
        </w:rPr>
        <w:t xml:space="preserve">: Um primeiro passo na construção de uma proposta teórico-metodológica. </w:t>
      </w:r>
      <w:r w:rsidRPr="00437704">
        <w:rPr>
          <w:rFonts w:eastAsia="Times New Roman" w:cs="Times New Roman"/>
          <w:b/>
          <w:bCs/>
          <w:color w:val="auto"/>
          <w:szCs w:val="24"/>
          <w:lang w:eastAsia="pt-PT" w:bidi="pt-PT"/>
        </w:rPr>
        <w:t>Desenvolvimento em Questão</w:t>
      </w:r>
      <w:r w:rsidRPr="00437704">
        <w:rPr>
          <w:rFonts w:eastAsia="Times New Roman" w:cs="Times New Roman"/>
          <w:color w:val="auto"/>
          <w:szCs w:val="24"/>
          <w:lang w:eastAsia="pt-PT" w:bidi="pt-PT"/>
        </w:rPr>
        <w:t>. Ijuí, n. 2, v. 1, p. 73-97, 2003.</w:t>
      </w:r>
    </w:p>
    <w:p w14:paraId="75853B20" w14:textId="77777777" w:rsidR="00437704" w:rsidRPr="00437704" w:rsidRDefault="00437704" w:rsidP="00B50CCA">
      <w:pPr>
        <w:widowControl w:val="0"/>
        <w:shd w:val="clear" w:color="auto" w:fill="FFFFFF"/>
        <w:autoSpaceDE w:val="0"/>
        <w:autoSpaceDN w:val="0"/>
        <w:spacing w:before="240" w:after="0" w:line="240" w:lineRule="auto"/>
        <w:rPr>
          <w:rFonts w:eastAsia="Times New Roman" w:cs="Times New Roman"/>
          <w:color w:val="auto"/>
          <w:szCs w:val="24"/>
          <w:lang w:eastAsia="pt-BR" w:bidi="pt-PT"/>
        </w:rPr>
      </w:pPr>
      <w:r w:rsidRPr="00437704">
        <w:rPr>
          <w:rFonts w:eastAsia="Times New Roman" w:cs="Times New Roman"/>
          <w:color w:val="auto"/>
          <w:szCs w:val="24"/>
          <w:lang w:val="en-US" w:eastAsia="pt-PT" w:bidi="pt-PT"/>
        </w:rPr>
        <w:t xml:space="preserve">HATANAKA, Maki. BUSCH, Lawrence. Third-Party Certification in the Global </w:t>
      </w:r>
      <w:proofErr w:type="spellStart"/>
      <w:r w:rsidRPr="00437704">
        <w:rPr>
          <w:rFonts w:eastAsia="Times New Roman" w:cs="Times New Roman"/>
          <w:color w:val="auto"/>
          <w:szCs w:val="24"/>
          <w:lang w:val="en-US" w:eastAsia="pt-PT" w:bidi="pt-PT"/>
        </w:rPr>
        <w:t>Agrifood</w:t>
      </w:r>
      <w:proofErr w:type="spellEnd"/>
      <w:r w:rsidRPr="00437704">
        <w:rPr>
          <w:rFonts w:eastAsia="Times New Roman" w:cs="Times New Roman"/>
          <w:color w:val="auto"/>
          <w:szCs w:val="24"/>
          <w:lang w:val="en-US" w:eastAsia="pt-PT" w:bidi="pt-PT"/>
        </w:rPr>
        <w:t xml:space="preserve"> System. </w:t>
      </w:r>
      <w:r w:rsidRPr="00437704">
        <w:rPr>
          <w:rFonts w:eastAsia="Times New Roman" w:cs="Times New Roman"/>
          <w:b/>
          <w:bCs/>
          <w:color w:val="auto"/>
          <w:szCs w:val="24"/>
          <w:lang w:eastAsia="pt-PT" w:bidi="pt-PT"/>
        </w:rPr>
        <w:t xml:space="preserve">Food </w:t>
      </w:r>
      <w:proofErr w:type="spellStart"/>
      <w:r w:rsidRPr="00437704">
        <w:rPr>
          <w:rFonts w:eastAsia="Times New Roman" w:cs="Times New Roman"/>
          <w:b/>
          <w:bCs/>
          <w:color w:val="auto"/>
          <w:szCs w:val="24"/>
          <w:lang w:eastAsia="pt-PT" w:bidi="pt-PT"/>
        </w:rPr>
        <w:t>Policy</w:t>
      </w:r>
      <w:proofErr w:type="spellEnd"/>
      <w:r w:rsidRPr="00437704">
        <w:rPr>
          <w:rFonts w:eastAsia="Times New Roman" w:cs="Times New Roman"/>
          <w:color w:val="auto"/>
          <w:szCs w:val="24"/>
          <w:lang w:eastAsia="pt-PT" w:bidi="pt-PT"/>
        </w:rPr>
        <w:t>, n. 30, 354-369, 2005.</w:t>
      </w:r>
    </w:p>
    <w:p w14:paraId="133A24F4" w14:textId="77777777" w:rsidR="00437704" w:rsidRPr="00437704" w:rsidRDefault="00437704" w:rsidP="00B50CCA">
      <w:pPr>
        <w:widowControl w:val="0"/>
        <w:autoSpaceDE w:val="0"/>
        <w:autoSpaceDN w:val="0"/>
        <w:spacing w:before="240" w:after="0" w:line="240" w:lineRule="auto"/>
        <w:rPr>
          <w:rFonts w:eastAsia="Times New Roman" w:cs="Times New Roman"/>
          <w:color w:val="auto"/>
          <w:szCs w:val="24"/>
          <w:lang w:eastAsia="pt-PT" w:bidi="pt-PT"/>
        </w:rPr>
      </w:pPr>
      <w:r w:rsidRPr="00437704">
        <w:rPr>
          <w:rFonts w:eastAsia="Times New Roman" w:cs="Times New Roman"/>
          <w:color w:val="auto"/>
          <w:szCs w:val="24"/>
          <w:lang w:eastAsia="pt-PT" w:bidi="pt-PT"/>
        </w:rPr>
        <w:t xml:space="preserve">HENDERSON, Jeffrey et al. (2011). Redes de Produção Globais e a análise do desenvolvimento econômico. </w:t>
      </w:r>
      <w:r w:rsidRPr="00437704">
        <w:rPr>
          <w:rFonts w:eastAsia="Times New Roman" w:cs="Times New Roman"/>
          <w:b/>
          <w:bCs/>
          <w:color w:val="auto"/>
          <w:szCs w:val="24"/>
          <w:lang w:eastAsia="pt-PT" w:bidi="pt-PT"/>
        </w:rPr>
        <w:t>Revista Pós-Ciências Sociais</w:t>
      </w:r>
      <w:r w:rsidRPr="00437704">
        <w:rPr>
          <w:rFonts w:eastAsia="Times New Roman" w:cs="Times New Roman"/>
          <w:color w:val="auto"/>
          <w:szCs w:val="24"/>
          <w:lang w:eastAsia="pt-PT" w:bidi="pt-PT"/>
        </w:rPr>
        <w:t>. v.8, n.15, p. 143-170.</w:t>
      </w:r>
    </w:p>
    <w:p w14:paraId="30A4421C" w14:textId="77777777" w:rsidR="00437704" w:rsidRPr="00437704" w:rsidRDefault="00437704" w:rsidP="00B50CCA">
      <w:pPr>
        <w:widowControl w:val="0"/>
        <w:tabs>
          <w:tab w:val="left" w:pos="2115"/>
        </w:tabs>
        <w:autoSpaceDE w:val="0"/>
        <w:autoSpaceDN w:val="0"/>
        <w:spacing w:before="240" w:after="0" w:line="240" w:lineRule="auto"/>
        <w:rPr>
          <w:rFonts w:eastAsia="Times New Roman" w:cs="Times New Roman"/>
          <w:bCs/>
          <w:color w:val="auto"/>
          <w:szCs w:val="24"/>
          <w:lang w:val="en-US" w:eastAsia="pt-PT" w:bidi="pt-PT"/>
        </w:rPr>
      </w:pPr>
      <w:r w:rsidRPr="00437704">
        <w:rPr>
          <w:rFonts w:eastAsia="Times New Roman" w:cs="Times New Roman"/>
          <w:bCs/>
          <w:color w:val="auto"/>
          <w:szCs w:val="24"/>
          <w:lang w:eastAsia="pt-PT" w:bidi="pt-PT"/>
        </w:rPr>
        <w:t>REDE ECOVIDA. Certificação. 2019. Disponível em: &lt;</w:t>
      </w:r>
      <w:hyperlink r:id="rId12" w:history="1">
        <w:r w:rsidRPr="00437704">
          <w:rPr>
            <w:rFonts w:eastAsia="Times New Roman" w:cs="Times New Roman"/>
            <w:color w:val="auto"/>
            <w:szCs w:val="24"/>
            <w:lang w:eastAsia="pt-PT" w:bidi="pt-PT"/>
          </w:rPr>
          <w:t>http://ecovida.org.br/sobre/</w:t>
        </w:r>
      </w:hyperlink>
      <w:r w:rsidRPr="00437704">
        <w:rPr>
          <w:rFonts w:eastAsia="Times New Roman" w:cs="Times New Roman"/>
          <w:bCs/>
          <w:color w:val="auto"/>
          <w:szCs w:val="24"/>
          <w:lang w:eastAsia="pt-PT" w:bidi="pt-PT"/>
        </w:rPr>
        <w:t xml:space="preserve">&gt;. </w:t>
      </w:r>
      <w:proofErr w:type="spellStart"/>
      <w:r w:rsidRPr="00437704">
        <w:rPr>
          <w:rFonts w:eastAsia="Times New Roman" w:cs="Times New Roman"/>
          <w:bCs/>
          <w:color w:val="auto"/>
          <w:szCs w:val="24"/>
          <w:lang w:val="en-US" w:eastAsia="pt-PT" w:bidi="pt-PT"/>
        </w:rPr>
        <w:t>Acesso</w:t>
      </w:r>
      <w:proofErr w:type="spellEnd"/>
      <w:r w:rsidRPr="00437704">
        <w:rPr>
          <w:rFonts w:eastAsia="Times New Roman" w:cs="Times New Roman"/>
          <w:bCs/>
          <w:color w:val="auto"/>
          <w:szCs w:val="24"/>
          <w:lang w:val="en-US" w:eastAsia="pt-PT" w:bidi="pt-PT"/>
        </w:rPr>
        <w:t xml:space="preserve"> </w:t>
      </w:r>
      <w:proofErr w:type="spellStart"/>
      <w:r w:rsidRPr="00437704">
        <w:rPr>
          <w:rFonts w:eastAsia="Times New Roman" w:cs="Times New Roman"/>
          <w:bCs/>
          <w:color w:val="auto"/>
          <w:szCs w:val="24"/>
          <w:lang w:val="en-US" w:eastAsia="pt-PT" w:bidi="pt-PT"/>
        </w:rPr>
        <w:t>em</w:t>
      </w:r>
      <w:proofErr w:type="spellEnd"/>
      <w:r w:rsidRPr="00437704">
        <w:rPr>
          <w:rFonts w:eastAsia="Times New Roman" w:cs="Times New Roman"/>
          <w:bCs/>
          <w:color w:val="auto"/>
          <w:szCs w:val="24"/>
          <w:lang w:val="en-US" w:eastAsia="pt-PT" w:bidi="pt-PT"/>
        </w:rPr>
        <w:t xml:space="preserve">: 25 de </w:t>
      </w:r>
      <w:proofErr w:type="spellStart"/>
      <w:r w:rsidRPr="00437704">
        <w:rPr>
          <w:rFonts w:eastAsia="Times New Roman" w:cs="Times New Roman"/>
          <w:bCs/>
          <w:color w:val="auto"/>
          <w:szCs w:val="24"/>
          <w:lang w:val="en-US" w:eastAsia="pt-PT" w:bidi="pt-PT"/>
        </w:rPr>
        <w:t>junho</w:t>
      </w:r>
      <w:proofErr w:type="spellEnd"/>
      <w:r w:rsidRPr="00437704">
        <w:rPr>
          <w:rFonts w:eastAsia="Times New Roman" w:cs="Times New Roman"/>
          <w:bCs/>
          <w:color w:val="auto"/>
          <w:szCs w:val="24"/>
          <w:lang w:val="en-US" w:eastAsia="pt-PT" w:bidi="pt-PT"/>
        </w:rPr>
        <w:t xml:space="preserve"> de 2019.</w:t>
      </w:r>
    </w:p>
    <w:p w14:paraId="28890411" w14:textId="77777777" w:rsidR="00437704" w:rsidRPr="00437704" w:rsidRDefault="00437704" w:rsidP="00B50CCA">
      <w:pPr>
        <w:widowControl w:val="0"/>
        <w:autoSpaceDE w:val="0"/>
        <w:autoSpaceDN w:val="0"/>
        <w:spacing w:before="240" w:after="0" w:line="240" w:lineRule="auto"/>
        <w:rPr>
          <w:rFonts w:eastAsia="Times New Roman" w:cs="Times New Roman"/>
          <w:color w:val="auto"/>
          <w:szCs w:val="24"/>
          <w:lang w:eastAsia="pt-PT" w:bidi="pt-PT"/>
        </w:rPr>
      </w:pPr>
      <w:r w:rsidRPr="00437704">
        <w:rPr>
          <w:rFonts w:eastAsia="Times New Roman" w:cs="Times New Roman"/>
          <w:color w:val="auto"/>
          <w:szCs w:val="24"/>
          <w:lang w:val="en-US" w:eastAsia="pt-PT" w:bidi="pt-PT"/>
        </w:rPr>
        <w:t xml:space="preserve">RHODES, R. A. W. </w:t>
      </w:r>
      <w:r w:rsidRPr="00437704">
        <w:rPr>
          <w:rFonts w:eastAsia="Times New Roman" w:cs="Times New Roman"/>
          <w:bCs/>
          <w:color w:val="auto"/>
          <w:szCs w:val="24"/>
          <w:lang w:val="en-US" w:eastAsia="pt-PT" w:bidi="pt-PT"/>
        </w:rPr>
        <w:t>The new governance</w:t>
      </w:r>
      <w:r w:rsidRPr="00437704">
        <w:rPr>
          <w:rFonts w:eastAsia="Times New Roman" w:cs="Times New Roman"/>
          <w:color w:val="auto"/>
          <w:szCs w:val="24"/>
          <w:lang w:val="en-US" w:eastAsia="pt-PT" w:bidi="pt-PT"/>
        </w:rPr>
        <w:t xml:space="preserve">: governing without government. </w:t>
      </w:r>
      <w:proofErr w:type="spellStart"/>
      <w:r w:rsidRPr="00437704">
        <w:rPr>
          <w:rFonts w:eastAsia="Times New Roman" w:cs="Times New Roman"/>
          <w:b/>
          <w:bCs/>
          <w:color w:val="auto"/>
          <w:szCs w:val="24"/>
          <w:lang w:eastAsia="pt-PT" w:bidi="pt-PT"/>
        </w:rPr>
        <w:t>Political</w:t>
      </w:r>
      <w:proofErr w:type="spellEnd"/>
      <w:r w:rsidRPr="00437704">
        <w:rPr>
          <w:rFonts w:eastAsia="Times New Roman" w:cs="Times New Roman"/>
          <w:b/>
          <w:bCs/>
          <w:color w:val="auto"/>
          <w:szCs w:val="24"/>
          <w:lang w:eastAsia="pt-PT" w:bidi="pt-PT"/>
        </w:rPr>
        <w:t xml:space="preserve"> </w:t>
      </w:r>
      <w:proofErr w:type="spellStart"/>
      <w:r w:rsidRPr="00437704">
        <w:rPr>
          <w:rFonts w:eastAsia="Times New Roman" w:cs="Times New Roman"/>
          <w:b/>
          <w:bCs/>
          <w:color w:val="auto"/>
          <w:szCs w:val="24"/>
          <w:lang w:eastAsia="pt-PT" w:bidi="pt-PT"/>
        </w:rPr>
        <w:t>Studies</w:t>
      </w:r>
      <w:proofErr w:type="spellEnd"/>
      <w:r w:rsidRPr="00437704">
        <w:rPr>
          <w:rFonts w:eastAsia="Times New Roman" w:cs="Times New Roman"/>
          <w:color w:val="auto"/>
          <w:szCs w:val="24"/>
          <w:lang w:eastAsia="pt-PT" w:bidi="pt-PT"/>
        </w:rPr>
        <w:t>, 44, p. 652-667, 1996.</w:t>
      </w:r>
    </w:p>
    <w:p w14:paraId="2B6DB620" w14:textId="77777777" w:rsidR="00437704" w:rsidRPr="00437704" w:rsidRDefault="00437704" w:rsidP="00B50CCA">
      <w:pPr>
        <w:widowControl w:val="0"/>
        <w:autoSpaceDE w:val="0"/>
        <w:autoSpaceDN w:val="0"/>
        <w:spacing w:before="240" w:after="0" w:line="240" w:lineRule="auto"/>
        <w:rPr>
          <w:rFonts w:eastAsia="Times New Roman" w:cs="Times New Roman"/>
          <w:color w:val="auto"/>
          <w:szCs w:val="24"/>
          <w:lang w:eastAsia="pt-PT" w:bidi="pt-PT"/>
        </w:rPr>
      </w:pPr>
      <w:r w:rsidRPr="00437704">
        <w:rPr>
          <w:rFonts w:eastAsia="Times New Roman" w:cs="Times New Roman"/>
          <w:color w:val="auto"/>
          <w:szCs w:val="24"/>
          <w:lang w:eastAsia="pt-PT" w:bidi="pt-PT"/>
        </w:rPr>
        <w:t xml:space="preserve">ROSENAU, James </w:t>
      </w:r>
      <w:proofErr w:type="gramStart"/>
      <w:r w:rsidRPr="00437704">
        <w:rPr>
          <w:rFonts w:eastAsia="Times New Roman" w:cs="Times New Roman"/>
          <w:color w:val="auto"/>
          <w:szCs w:val="24"/>
          <w:lang w:eastAsia="pt-PT" w:bidi="pt-PT"/>
        </w:rPr>
        <w:t>N..</w:t>
      </w:r>
      <w:proofErr w:type="gramEnd"/>
      <w:r w:rsidRPr="00437704">
        <w:rPr>
          <w:rFonts w:eastAsia="Times New Roman" w:cs="Times New Roman"/>
          <w:color w:val="auto"/>
          <w:szCs w:val="24"/>
          <w:lang w:eastAsia="pt-PT" w:bidi="pt-PT"/>
        </w:rPr>
        <w:t xml:space="preserve"> Governança, ordem e transformação na política mundial. In: ROSENAU, James N.; CZEMPIEL, Ernst-Otto (</w:t>
      </w:r>
      <w:proofErr w:type="spellStart"/>
      <w:r w:rsidRPr="00437704">
        <w:rPr>
          <w:rFonts w:eastAsia="Times New Roman" w:cs="Times New Roman"/>
          <w:color w:val="auto"/>
          <w:szCs w:val="24"/>
          <w:lang w:eastAsia="pt-PT" w:bidi="pt-PT"/>
        </w:rPr>
        <w:t>Orgs</w:t>
      </w:r>
      <w:proofErr w:type="spellEnd"/>
      <w:r w:rsidRPr="00437704">
        <w:rPr>
          <w:rFonts w:eastAsia="Times New Roman" w:cs="Times New Roman"/>
          <w:color w:val="auto"/>
          <w:szCs w:val="24"/>
          <w:lang w:eastAsia="pt-PT" w:bidi="pt-PT"/>
        </w:rPr>
        <w:t>.). Governança sem governo: ordem e transformação na política mundial. Brasília, Editora UnB, 2000.</w:t>
      </w:r>
    </w:p>
    <w:p w14:paraId="2AF0BB13" w14:textId="77777777" w:rsidR="00437704" w:rsidRPr="00437704" w:rsidRDefault="00437704" w:rsidP="00B50CCA">
      <w:pPr>
        <w:widowControl w:val="0"/>
        <w:tabs>
          <w:tab w:val="left" w:pos="2115"/>
        </w:tabs>
        <w:autoSpaceDE w:val="0"/>
        <w:autoSpaceDN w:val="0"/>
        <w:spacing w:before="240" w:after="0" w:line="240" w:lineRule="auto"/>
        <w:rPr>
          <w:rFonts w:eastAsia="Times New Roman" w:cs="Times New Roman"/>
          <w:bCs/>
          <w:color w:val="auto"/>
          <w:szCs w:val="24"/>
          <w:lang w:eastAsia="pt-PT" w:bidi="pt-PT"/>
        </w:rPr>
      </w:pPr>
      <w:r w:rsidRPr="00437704">
        <w:rPr>
          <w:rFonts w:eastAsia="Times New Roman" w:cs="Times New Roman"/>
          <w:bCs/>
          <w:color w:val="auto"/>
          <w:szCs w:val="24"/>
          <w:lang w:eastAsia="pt-PT" w:bidi="pt-PT"/>
        </w:rPr>
        <w:t>RTRS, Round Table on Responsible Soy. Sobre a RTRS. Disponível em: &lt;</w:t>
      </w:r>
      <w:hyperlink r:id="rId13" w:history="1">
        <w:r w:rsidRPr="00437704">
          <w:rPr>
            <w:rFonts w:eastAsia="Times New Roman" w:cs="Times New Roman"/>
            <w:bCs/>
            <w:color w:val="auto"/>
            <w:szCs w:val="24"/>
            <w:lang w:eastAsia="pt-PT" w:bidi="pt-PT"/>
          </w:rPr>
          <w:t>http://www.responsiblesoy.org/?lang=pt</w:t>
        </w:r>
      </w:hyperlink>
      <w:r w:rsidRPr="00437704">
        <w:rPr>
          <w:rFonts w:eastAsia="Times New Roman" w:cs="Times New Roman"/>
          <w:bCs/>
          <w:color w:val="auto"/>
          <w:szCs w:val="24"/>
          <w:lang w:eastAsia="pt-PT" w:bidi="pt-PT"/>
        </w:rPr>
        <w:t>&gt;. Acesso em: 25 de junho de 2019.</w:t>
      </w:r>
    </w:p>
    <w:p w14:paraId="609CF5D9" w14:textId="77777777" w:rsidR="00B50CCA" w:rsidRPr="00B50CCA" w:rsidRDefault="00B50CCA" w:rsidP="00B50CCA">
      <w:pPr>
        <w:widowControl w:val="0"/>
        <w:autoSpaceDE w:val="0"/>
        <w:autoSpaceDN w:val="0"/>
        <w:adjustRightInd w:val="0"/>
        <w:spacing w:before="240" w:after="0" w:line="240" w:lineRule="auto"/>
        <w:rPr>
          <w:rFonts w:eastAsia="Times New Roman" w:cs="Times New Roman"/>
          <w:b/>
          <w:bCs/>
          <w:color w:val="auto"/>
          <w:szCs w:val="24"/>
          <w:lang w:eastAsia="pt-PT" w:bidi="pt-PT"/>
        </w:rPr>
      </w:pPr>
      <w:r w:rsidRPr="00B50CCA">
        <w:rPr>
          <w:rFonts w:eastAsia="Times New Roman" w:cs="Times New Roman"/>
          <w:color w:val="auto"/>
          <w:szCs w:val="24"/>
          <w:lang w:eastAsia="pt-PT" w:bidi="pt-PT"/>
        </w:rPr>
        <w:t xml:space="preserve">SILVA, Odair Machado da Filho; PALLET, Dominique; BRABET, Catherine. </w:t>
      </w:r>
      <w:r w:rsidRPr="00B50CCA">
        <w:rPr>
          <w:rFonts w:eastAsia="Times New Roman" w:cs="Times New Roman"/>
          <w:b/>
          <w:bCs/>
          <w:color w:val="auto"/>
          <w:szCs w:val="24"/>
          <w:lang w:eastAsia="pt-PT" w:bidi="pt-PT"/>
        </w:rPr>
        <w:t xml:space="preserve">Panorama das Qualificações e Certificações de Produtos Agropecuários no Brasil. </w:t>
      </w:r>
      <w:r w:rsidRPr="00B50CCA">
        <w:rPr>
          <w:rFonts w:eastAsia="Times New Roman" w:cs="Times New Roman"/>
          <w:bCs/>
          <w:color w:val="auto"/>
          <w:szCs w:val="24"/>
          <w:lang w:eastAsia="pt-PT" w:bidi="pt-PT"/>
        </w:rPr>
        <w:t xml:space="preserve">São Paulo: </w:t>
      </w:r>
      <w:proofErr w:type="spellStart"/>
      <w:r w:rsidRPr="00B50CCA">
        <w:rPr>
          <w:rFonts w:eastAsia="Times New Roman" w:cs="Times New Roman"/>
          <w:bCs/>
          <w:color w:val="auto"/>
          <w:szCs w:val="24"/>
          <w:lang w:eastAsia="pt-PT" w:bidi="pt-PT"/>
        </w:rPr>
        <w:t>Prosper</w:t>
      </w:r>
      <w:proofErr w:type="spellEnd"/>
      <w:r w:rsidRPr="00B50CCA">
        <w:rPr>
          <w:rFonts w:eastAsia="Times New Roman" w:cs="Times New Roman"/>
          <w:bCs/>
          <w:color w:val="auto"/>
          <w:szCs w:val="24"/>
          <w:lang w:eastAsia="pt-PT" w:bidi="pt-PT"/>
        </w:rPr>
        <w:t>, 2002.</w:t>
      </w:r>
    </w:p>
    <w:p w14:paraId="56396DD5" w14:textId="3D8241F0" w:rsidR="00437704" w:rsidRPr="00437704" w:rsidRDefault="00437704" w:rsidP="00B50CCA">
      <w:pPr>
        <w:widowControl w:val="0"/>
        <w:tabs>
          <w:tab w:val="left" w:pos="2115"/>
        </w:tabs>
        <w:autoSpaceDE w:val="0"/>
        <w:autoSpaceDN w:val="0"/>
        <w:spacing w:before="240" w:after="0" w:line="240" w:lineRule="auto"/>
        <w:rPr>
          <w:rFonts w:eastAsia="Times New Roman" w:cs="Times New Roman"/>
          <w:bCs/>
          <w:color w:val="auto"/>
          <w:szCs w:val="24"/>
          <w:lang w:eastAsia="pt-PT" w:bidi="pt-PT"/>
        </w:rPr>
      </w:pPr>
      <w:r w:rsidRPr="00437704">
        <w:rPr>
          <w:rFonts w:eastAsia="Times New Roman" w:cs="Times New Roman"/>
          <w:bCs/>
          <w:color w:val="auto"/>
          <w:szCs w:val="24"/>
          <w:lang w:eastAsia="pt-PT" w:bidi="pt-PT"/>
        </w:rPr>
        <w:t>SOJA PLUS. Relatórios. Disponível em: &lt;</w:t>
      </w:r>
      <w:hyperlink r:id="rId14" w:history="1">
        <w:r w:rsidRPr="00437704">
          <w:rPr>
            <w:rFonts w:eastAsia="Times New Roman" w:cs="Times New Roman"/>
            <w:bCs/>
            <w:color w:val="auto"/>
            <w:szCs w:val="24"/>
            <w:lang w:eastAsia="pt-PT" w:bidi="pt-PT"/>
          </w:rPr>
          <w:t>http://www.sojaplus.com.br/storage/site/downloads/documentos_referencia/relatorios_resultados/relatorio-de-realizacoes-20175a0307bb37b6d.pdf</w:t>
        </w:r>
      </w:hyperlink>
      <w:r w:rsidRPr="00437704">
        <w:rPr>
          <w:rFonts w:eastAsia="Times New Roman" w:cs="Times New Roman"/>
          <w:bCs/>
          <w:color w:val="auto"/>
          <w:szCs w:val="24"/>
          <w:lang w:eastAsia="pt-PT" w:bidi="pt-PT"/>
        </w:rPr>
        <w:t xml:space="preserve"> &gt;. Acesso em: 25 de junho de 2019.</w:t>
      </w:r>
    </w:p>
    <w:p w14:paraId="4DA916BC" w14:textId="38118D1B" w:rsidR="00437704" w:rsidRDefault="00437704" w:rsidP="00B50CCA">
      <w:pPr>
        <w:widowControl w:val="0"/>
        <w:tabs>
          <w:tab w:val="left" w:pos="2115"/>
        </w:tabs>
        <w:autoSpaceDE w:val="0"/>
        <w:autoSpaceDN w:val="0"/>
        <w:spacing w:before="240" w:after="0" w:line="240" w:lineRule="auto"/>
        <w:rPr>
          <w:rFonts w:eastAsia="Times New Roman" w:cs="Times New Roman"/>
          <w:bCs/>
          <w:color w:val="auto"/>
          <w:szCs w:val="24"/>
          <w:lang w:eastAsia="pt-PT" w:bidi="pt-PT"/>
        </w:rPr>
      </w:pPr>
      <w:r w:rsidRPr="00437704">
        <w:rPr>
          <w:rFonts w:eastAsia="Times New Roman" w:cs="Times New Roman"/>
          <w:bCs/>
          <w:color w:val="auto"/>
          <w:szCs w:val="24"/>
          <w:lang w:eastAsia="pt-PT" w:bidi="pt-PT"/>
        </w:rPr>
        <w:t xml:space="preserve">VEIGA, João Paulo C.; RODRIGUES, Pietro Carlos. </w:t>
      </w:r>
      <w:r w:rsidRPr="00437704">
        <w:rPr>
          <w:rFonts w:eastAsia="Times New Roman" w:cs="Times New Roman"/>
          <w:color w:val="auto"/>
          <w:szCs w:val="24"/>
          <w:lang w:eastAsia="pt-PT" w:bidi="pt-PT"/>
        </w:rPr>
        <w:t>Certificação social e ambiental: arranjos institucionais e impactos sobre as commodities brasileiras.</w:t>
      </w:r>
      <w:r w:rsidRPr="00437704">
        <w:rPr>
          <w:rFonts w:eastAsia="Times New Roman" w:cs="Times New Roman"/>
          <w:b/>
          <w:bCs/>
          <w:color w:val="auto"/>
          <w:szCs w:val="24"/>
          <w:lang w:eastAsia="pt-PT" w:bidi="pt-PT"/>
        </w:rPr>
        <w:t xml:space="preserve"> </w:t>
      </w:r>
      <w:r w:rsidRPr="00437704">
        <w:rPr>
          <w:rFonts w:eastAsia="Times New Roman" w:cs="Times New Roman"/>
          <w:color w:val="auto"/>
          <w:szCs w:val="24"/>
          <w:lang w:eastAsia="pt-PT" w:bidi="pt-PT"/>
        </w:rPr>
        <w:t>Rio de Janeiro.</w:t>
      </w:r>
      <w:r w:rsidRPr="00437704">
        <w:rPr>
          <w:rFonts w:eastAsia="Times New Roman" w:cs="Times New Roman"/>
          <w:b/>
          <w:bCs/>
          <w:color w:val="auto"/>
          <w:szCs w:val="24"/>
          <w:lang w:eastAsia="pt-PT" w:bidi="pt-PT"/>
        </w:rPr>
        <w:t xml:space="preserve">  </w:t>
      </w:r>
      <w:r w:rsidRPr="00437704">
        <w:rPr>
          <w:rFonts w:eastAsia="Times New Roman" w:cs="Times New Roman"/>
          <w:b/>
          <w:color w:val="auto"/>
          <w:szCs w:val="24"/>
          <w:lang w:eastAsia="pt-PT" w:bidi="pt-PT"/>
        </w:rPr>
        <w:t>Breves Cindes</w:t>
      </w:r>
      <w:r w:rsidRPr="00437704">
        <w:rPr>
          <w:rFonts w:eastAsia="Times New Roman" w:cs="Times New Roman"/>
          <w:bCs/>
          <w:color w:val="auto"/>
          <w:szCs w:val="24"/>
          <w:lang w:eastAsia="pt-PT" w:bidi="pt-PT"/>
        </w:rPr>
        <w:t>, p. 01 - 30, 2010.</w:t>
      </w:r>
    </w:p>
    <w:p w14:paraId="145F16A2" w14:textId="77777777" w:rsidR="00B50CCA" w:rsidRPr="00437704" w:rsidRDefault="00B50CCA" w:rsidP="00B50CCA">
      <w:pPr>
        <w:widowControl w:val="0"/>
        <w:tabs>
          <w:tab w:val="left" w:pos="2115"/>
        </w:tabs>
        <w:autoSpaceDE w:val="0"/>
        <w:autoSpaceDN w:val="0"/>
        <w:spacing w:after="0" w:line="240" w:lineRule="auto"/>
        <w:rPr>
          <w:rFonts w:eastAsia="Times New Roman" w:cs="Times New Roman"/>
          <w:bCs/>
          <w:color w:val="auto"/>
          <w:szCs w:val="24"/>
          <w:lang w:eastAsia="pt-PT" w:bidi="pt-PT"/>
        </w:rPr>
      </w:pPr>
      <w:bookmarkStart w:id="1" w:name="_GoBack"/>
      <w:bookmarkEnd w:id="1"/>
    </w:p>
    <w:p w14:paraId="181B0EDB" w14:textId="6ADA0555" w:rsidR="00437704" w:rsidRPr="00B50CCA" w:rsidRDefault="00437704" w:rsidP="00B50CCA">
      <w:pPr>
        <w:tabs>
          <w:tab w:val="left" w:pos="1170"/>
        </w:tabs>
        <w:spacing w:after="0" w:line="240" w:lineRule="auto"/>
        <w:rPr>
          <w:rFonts w:cs="Times New Roman"/>
          <w:sz w:val="20"/>
          <w:szCs w:val="20"/>
        </w:rPr>
      </w:pPr>
      <w:r w:rsidRPr="00B50CCA">
        <w:rPr>
          <w:rFonts w:eastAsia="Times New Roman" w:cs="Times New Roman"/>
          <w:color w:val="auto"/>
          <w:szCs w:val="24"/>
          <w:lang w:val="en-US" w:eastAsia="pt-PT" w:bidi="pt-PT"/>
        </w:rPr>
        <w:t xml:space="preserve">WINSTON, </w:t>
      </w:r>
      <w:proofErr w:type="gramStart"/>
      <w:r w:rsidRPr="00B50CCA">
        <w:rPr>
          <w:rFonts w:eastAsia="Times New Roman" w:cs="Times New Roman"/>
          <w:color w:val="auto"/>
          <w:szCs w:val="24"/>
          <w:lang w:val="en-US" w:eastAsia="pt-PT" w:bidi="pt-PT"/>
        </w:rPr>
        <w:t>M..</w:t>
      </w:r>
      <w:proofErr w:type="gramEnd"/>
      <w:r w:rsidRPr="00B50CCA">
        <w:rPr>
          <w:rFonts w:eastAsia="Times New Roman" w:cs="Times New Roman"/>
          <w:color w:val="auto"/>
          <w:szCs w:val="24"/>
          <w:lang w:val="en-US" w:eastAsia="pt-PT" w:bidi="pt-PT"/>
        </w:rPr>
        <w:t xml:space="preserve"> NGO strategies for promoting corporate social responsibility. </w:t>
      </w:r>
      <w:r w:rsidRPr="00B50CCA">
        <w:rPr>
          <w:rFonts w:eastAsia="Times New Roman" w:cs="Times New Roman"/>
          <w:b/>
          <w:bCs/>
          <w:color w:val="auto"/>
          <w:szCs w:val="24"/>
          <w:lang w:val="en-US" w:eastAsia="pt-PT" w:bidi="pt-PT"/>
        </w:rPr>
        <w:t>Ethics and International Affairs</w:t>
      </w:r>
      <w:r w:rsidRPr="00B50CCA">
        <w:rPr>
          <w:rFonts w:eastAsia="Times New Roman" w:cs="Times New Roman"/>
          <w:color w:val="auto"/>
          <w:szCs w:val="24"/>
          <w:lang w:val="en-US" w:eastAsia="pt-PT" w:bidi="pt-PT"/>
        </w:rPr>
        <w:t>, n.2, 71–87, 2002.</w:t>
      </w:r>
    </w:p>
    <w:sectPr w:rsidR="00437704" w:rsidRPr="00B50CCA" w:rsidSect="00012589">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D6EE" w14:textId="77777777" w:rsidR="00CB3FA4" w:rsidRDefault="00CB3FA4" w:rsidP="00211202">
      <w:pPr>
        <w:spacing w:after="0" w:line="240" w:lineRule="auto"/>
      </w:pPr>
      <w:r>
        <w:separator/>
      </w:r>
    </w:p>
  </w:endnote>
  <w:endnote w:type="continuationSeparator" w:id="0">
    <w:p w14:paraId="319006F6" w14:textId="77777777" w:rsidR="00CB3FA4" w:rsidRDefault="00CB3FA4" w:rsidP="0021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Yu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47E0" w14:textId="77777777" w:rsidR="00CB3FA4" w:rsidRDefault="00CB3FA4" w:rsidP="00211202">
      <w:pPr>
        <w:spacing w:after="0" w:line="240" w:lineRule="auto"/>
      </w:pPr>
      <w:r>
        <w:separator/>
      </w:r>
    </w:p>
  </w:footnote>
  <w:footnote w:type="continuationSeparator" w:id="0">
    <w:p w14:paraId="5F150AEF" w14:textId="77777777" w:rsidR="00CB3FA4" w:rsidRDefault="00CB3FA4" w:rsidP="00211202">
      <w:pPr>
        <w:spacing w:after="0" w:line="240" w:lineRule="auto"/>
      </w:pPr>
      <w:r>
        <w:continuationSeparator/>
      </w:r>
    </w:p>
  </w:footnote>
  <w:footnote w:id="1">
    <w:p w14:paraId="358E70C3" w14:textId="77777777" w:rsidR="00107A82" w:rsidRPr="006569E2" w:rsidRDefault="00107A82" w:rsidP="006569E2">
      <w:pPr>
        <w:spacing w:after="0" w:line="240" w:lineRule="auto"/>
        <w:rPr>
          <w:rFonts w:eastAsia="Calibri" w:cs="Times New Roman"/>
          <w:color w:val="000000"/>
          <w:sz w:val="20"/>
          <w:szCs w:val="20"/>
        </w:rPr>
      </w:pPr>
      <w:r>
        <w:rPr>
          <w:rStyle w:val="Refdenotaderodap"/>
        </w:rPr>
        <w:footnoteRef/>
      </w:r>
      <w:r>
        <w:t xml:space="preserve"> </w:t>
      </w:r>
      <w:r w:rsidRPr="006569E2">
        <w:rPr>
          <w:rFonts w:eastAsia="Calibri" w:cs="Times New Roman"/>
          <w:color w:val="000000"/>
          <w:sz w:val="20"/>
          <w:szCs w:val="20"/>
        </w:rPr>
        <w:t xml:space="preserve">O conceito de RPG eleva a metáfora “Rede” em detrimento da abordagem Cadeia/Circuito, propondo uma análise totalizante da organização econômica global na contemporaneidade (BEZERRA, 2012). A proposta teórica-conceitual se refere “a natureza e extensão das relações inter-firmas que ligam conjuntos de firmas dentro de agrupamentos econômicos maiores (STURGEON, 2001, p. 10 apud HENDERSON et al, 2011, p. 150).” É possível analisar as RPG por meio de três categorias: Valor, Poder e Enraizamento; com as dimensões de Valor e Estrutura. </w:t>
      </w:r>
      <w:r w:rsidRPr="006569E2">
        <w:rPr>
          <w:rFonts w:eastAsia="Calibri" w:cs="Times New Roman"/>
          <w:color w:val="000000"/>
          <w:sz w:val="20"/>
          <w:szCs w:val="20"/>
          <w:lang w:val="en-US"/>
        </w:rPr>
        <w:t xml:space="preserve">Ver em COE, N. M.; YEUNG, H.W-C. Global production networks: theorizing economic development in an interconnected world. </w:t>
      </w:r>
      <w:r w:rsidRPr="006569E2">
        <w:rPr>
          <w:rFonts w:eastAsia="Calibri" w:cs="Times New Roman"/>
          <w:color w:val="000000"/>
          <w:sz w:val="20"/>
          <w:szCs w:val="20"/>
        </w:rPr>
        <w:t xml:space="preserve">Oxford: Oxford University Press, 2015; e (HENDERSON, Jeffrey, 2011). </w:t>
      </w:r>
    </w:p>
    <w:p w14:paraId="5037DB97" w14:textId="59D5F625" w:rsidR="00107A82" w:rsidRDefault="00107A82">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CB"/>
    <w:rsid w:val="00012589"/>
    <w:rsid w:val="000130FF"/>
    <w:rsid w:val="000615BF"/>
    <w:rsid w:val="00080C15"/>
    <w:rsid w:val="00081531"/>
    <w:rsid w:val="000A13EF"/>
    <w:rsid w:val="000A32D1"/>
    <w:rsid w:val="000B237D"/>
    <w:rsid w:val="00107A82"/>
    <w:rsid w:val="0011287B"/>
    <w:rsid w:val="00113DA0"/>
    <w:rsid w:val="0012742D"/>
    <w:rsid w:val="0013229C"/>
    <w:rsid w:val="001328A9"/>
    <w:rsid w:val="0013545B"/>
    <w:rsid w:val="00137EDA"/>
    <w:rsid w:val="00161F2D"/>
    <w:rsid w:val="00191DB3"/>
    <w:rsid w:val="001A451D"/>
    <w:rsid w:val="001D3EC0"/>
    <w:rsid w:val="00203BDE"/>
    <w:rsid w:val="00211202"/>
    <w:rsid w:val="0021642B"/>
    <w:rsid w:val="00230568"/>
    <w:rsid w:val="00272E0E"/>
    <w:rsid w:val="0027629A"/>
    <w:rsid w:val="00287B92"/>
    <w:rsid w:val="002A4FD7"/>
    <w:rsid w:val="002C3475"/>
    <w:rsid w:val="002E21B7"/>
    <w:rsid w:val="002E2836"/>
    <w:rsid w:val="002E468A"/>
    <w:rsid w:val="002F3D28"/>
    <w:rsid w:val="0030668A"/>
    <w:rsid w:val="0031466C"/>
    <w:rsid w:val="00317619"/>
    <w:rsid w:val="00323388"/>
    <w:rsid w:val="00331230"/>
    <w:rsid w:val="00344332"/>
    <w:rsid w:val="00350DE1"/>
    <w:rsid w:val="00353A71"/>
    <w:rsid w:val="00360957"/>
    <w:rsid w:val="003755BC"/>
    <w:rsid w:val="00376C68"/>
    <w:rsid w:val="0038410D"/>
    <w:rsid w:val="003975F4"/>
    <w:rsid w:val="003A524D"/>
    <w:rsid w:val="003B4482"/>
    <w:rsid w:val="003C2447"/>
    <w:rsid w:val="003F4CAB"/>
    <w:rsid w:val="00403E99"/>
    <w:rsid w:val="00424654"/>
    <w:rsid w:val="00424824"/>
    <w:rsid w:val="0042705C"/>
    <w:rsid w:val="00437704"/>
    <w:rsid w:val="00455CB3"/>
    <w:rsid w:val="00457077"/>
    <w:rsid w:val="004576D4"/>
    <w:rsid w:val="00470563"/>
    <w:rsid w:val="00475522"/>
    <w:rsid w:val="00477763"/>
    <w:rsid w:val="004B4D35"/>
    <w:rsid w:val="004B641C"/>
    <w:rsid w:val="004C1FAD"/>
    <w:rsid w:val="004C3593"/>
    <w:rsid w:val="004C7218"/>
    <w:rsid w:val="004D1E8C"/>
    <w:rsid w:val="004D4149"/>
    <w:rsid w:val="004E0B5C"/>
    <w:rsid w:val="004F6F94"/>
    <w:rsid w:val="00500BA9"/>
    <w:rsid w:val="00501DF3"/>
    <w:rsid w:val="005053FE"/>
    <w:rsid w:val="005225BE"/>
    <w:rsid w:val="00522F11"/>
    <w:rsid w:val="00523AA2"/>
    <w:rsid w:val="005268C3"/>
    <w:rsid w:val="00533513"/>
    <w:rsid w:val="00545B3C"/>
    <w:rsid w:val="00563D9A"/>
    <w:rsid w:val="005676E7"/>
    <w:rsid w:val="00575589"/>
    <w:rsid w:val="0057771D"/>
    <w:rsid w:val="00595ACB"/>
    <w:rsid w:val="00597BB2"/>
    <w:rsid w:val="005B123D"/>
    <w:rsid w:val="005B4D74"/>
    <w:rsid w:val="005C4A9F"/>
    <w:rsid w:val="005D107D"/>
    <w:rsid w:val="005D72E6"/>
    <w:rsid w:val="005E7B20"/>
    <w:rsid w:val="005F10E0"/>
    <w:rsid w:val="0060439D"/>
    <w:rsid w:val="00606073"/>
    <w:rsid w:val="00613E63"/>
    <w:rsid w:val="00616673"/>
    <w:rsid w:val="0064371B"/>
    <w:rsid w:val="006569E2"/>
    <w:rsid w:val="006651B8"/>
    <w:rsid w:val="00673395"/>
    <w:rsid w:val="006765F8"/>
    <w:rsid w:val="0069207B"/>
    <w:rsid w:val="00694C47"/>
    <w:rsid w:val="00697130"/>
    <w:rsid w:val="006A1B01"/>
    <w:rsid w:val="006A3A23"/>
    <w:rsid w:val="006A5E49"/>
    <w:rsid w:val="006A77AE"/>
    <w:rsid w:val="006B4B75"/>
    <w:rsid w:val="006D7950"/>
    <w:rsid w:val="006F206B"/>
    <w:rsid w:val="006F47CA"/>
    <w:rsid w:val="00701C67"/>
    <w:rsid w:val="00716585"/>
    <w:rsid w:val="00731875"/>
    <w:rsid w:val="00737679"/>
    <w:rsid w:val="00761552"/>
    <w:rsid w:val="00777CCA"/>
    <w:rsid w:val="007A0000"/>
    <w:rsid w:val="007F4C20"/>
    <w:rsid w:val="008145F6"/>
    <w:rsid w:val="008155D9"/>
    <w:rsid w:val="00833819"/>
    <w:rsid w:val="0085075B"/>
    <w:rsid w:val="008722C5"/>
    <w:rsid w:val="008737F0"/>
    <w:rsid w:val="00887F66"/>
    <w:rsid w:val="0089256F"/>
    <w:rsid w:val="008C4A98"/>
    <w:rsid w:val="008E4D73"/>
    <w:rsid w:val="00921028"/>
    <w:rsid w:val="009425F9"/>
    <w:rsid w:val="00945225"/>
    <w:rsid w:val="00974D29"/>
    <w:rsid w:val="0098197D"/>
    <w:rsid w:val="00994680"/>
    <w:rsid w:val="00995FC4"/>
    <w:rsid w:val="009A4861"/>
    <w:rsid w:val="009A60F2"/>
    <w:rsid w:val="009D4BAE"/>
    <w:rsid w:val="009E2798"/>
    <w:rsid w:val="009F55F8"/>
    <w:rsid w:val="00A001B0"/>
    <w:rsid w:val="00A02F23"/>
    <w:rsid w:val="00A25143"/>
    <w:rsid w:val="00A45046"/>
    <w:rsid w:val="00A475EA"/>
    <w:rsid w:val="00A61A81"/>
    <w:rsid w:val="00A75F91"/>
    <w:rsid w:val="00A800D9"/>
    <w:rsid w:val="00AA17F3"/>
    <w:rsid w:val="00AA5B80"/>
    <w:rsid w:val="00AB1C68"/>
    <w:rsid w:val="00AB5960"/>
    <w:rsid w:val="00B02B26"/>
    <w:rsid w:val="00B140FC"/>
    <w:rsid w:val="00B26814"/>
    <w:rsid w:val="00B349AB"/>
    <w:rsid w:val="00B505CB"/>
    <w:rsid w:val="00B50CCA"/>
    <w:rsid w:val="00B57130"/>
    <w:rsid w:val="00B6341C"/>
    <w:rsid w:val="00B813C1"/>
    <w:rsid w:val="00B81992"/>
    <w:rsid w:val="00B83E69"/>
    <w:rsid w:val="00B9532E"/>
    <w:rsid w:val="00BA5D5E"/>
    <w:rsid w:val="00BB6D1C"/>
    <w:rsid w:val="00BC37E8"/>
    <w:rsid w:val="00BC5893"/>
    <w:rsid w:val="00BC7285"/>
    <w:rsid w:val="00BF431A"/>
    <w:rsid w:val="00C03E2C"/>
    <w:rsid w:val="00C25F46"/>
    <w:rsid w:val="00C32199"/>
    <w:rsid w:val="00C447CB"/>
    <w:rsid w:val="00C459E3"/>
    <w:rsid w:val="00C46C7D"/>
    <w:rsid w:val="00C46E68"/>
    <w:rsid w:val="00C47AD8"/>
    <w:rsid w:val="00C816D9"/>
    <w:rsid w:val="00CB3FA4"/>
    <w:rsid w:val="00CB6A56"/>
    <w:rsid w:val="00CE76CA"/>
    <w:rsid w:val="00CF388B"/>
    <w:rsid w:val="00CF65EA"/>
    <w:rsid w:val="00D00BE4"/>
    <w:rsid w:val="00D04A3C"/>
    <w:rsid w:val="00D15D7C"/>
    <w:rsid w:val="00D33920"/>
    <w:rsid w:val="00D5138A"/>
    <w:rsid w:val="00D77C77"/>
    <w:rsid w:val="00DA0F3E"/>
    <w:rsid w:val="00DB21E1"/>
    <w:rsid w:val="00DC3429"/>
    <w:rsid w:val="00E13E69"/>
    <w:rsid w:val="00E27F92"/>
    <w:rsid w:val="00E324B6"/>
    <w:rsid w:val="00E41111"/>
    <w:rsid w:val="00E441C5"/>
    <w:rsid w:val="00E47F8C"/>
    <w:rsid w:val="00E55F7C"/>
    <w:rsid w:val="00E643A3"/>
    <w:rsid w:val="00E8069E"/>
    <w:rsid w:val="00E8772C"/>
    <w:rsid w:val="00E933EE"/>
    <w:rsid w:val="00EA3655"/>
    <w:rsid w:val="00EA57F9"/>
    <w:rsid w:val="00EA7B16"/>
    <w:rsid w:val="00EE4A0B"/>
    <w:rsid w:val="00F13113"/>
    <w:rsid w:val="00F238C6"/>
    <w:rsid w:val="00F25851"/>
    <w:rsid w:val="00F50483"/>
    <w:rsid w:val="00F5307A"/>
    <w:rsid w:val="00F56333"/>
    <w:rsid w:val="00F97C14"/>
    <w:rsid w:val="00FC62E3"/>
    <w:rsid w:val="00FD6573"/>
    <w:rsid w:val="00FD739A"/>
    <w:rsid w:val="00FF4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B29A"/>
  <w15:chartTrackingRefBased/>
  <w15:docId w15:val="{D2D3FE5E-A2CA-4690-ACBA-E177359C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CB"/>
    <w:pPr>
      <w:spacing w:after="200" w:line="360" w:lineRule="auto"/>
      <w:jc w:val="both"/>
    </w:pPr>
  </w:style>
  <w:style w:type="paragraph" w:styleId="Ttulo1">
    <w:name w:val="heading 1"/>
    <w:basedOn w:val="Normal"/>
    <w:next w:val="Normal"/>
    <w:link w:val="Ttulo1Char"/>
    <w:autoRedefine/>
    <w:uiPriority w:val="9"/>
    <w:qFormat/>
    <w:rsid w:val="005B123D"/>
    <w:pPr>
      <w:keepNext/>
      <w:spacing w:before="240" w:after="60" w:line="240" w:lineRule="auto"/>
      <w:outlineLvl w:val="0"/>
    </w:pPr>
    <w:rPr>
      <w:rFonts w:ascii="Arial" w:eastAsiaTheme="majorEastAsia" w:hAnsi="Arial" w:cstheme="majorBidi"/>
      <w:b/>
      <w:bCs/>
      <w:kern w:val="32"/>
      <w:sz w:val="28"/>
      <w:szCs w:val="32"/>
    </w:rPr>
  </w:style>
  <w:style w:type="paragraph" w:styleId="Ttulo2">
    <w:name w:val="heading 2"/>
    <w:basedOn w:val="Normal"/>
    <w:next w:val="Normal"/>
    <w:link w:val="Ttulo2Char"/>
    <w:autoRedefine/>
    <w:uiPriority w:val="9"/>
    <w:unhideWhenUsed/>
    <w:qFormat/>
    <w:rsid w:val="005B123D"/>
    <w:pPr>
      <w:keepNext/>
      <w:spacing w:before="240" w:after="60" w:line="240" w:lineRule="auto"/>
      <w:outlineLvl w:val="1"/>
    </w:pPr>
    <w:rPr>
      <w:rFonts w:ascii="Arial" w:eastAsiaTheme="majorEastAsia" w:hAnsi="Arial" w:cstheme="majorBidi"/>
      <w:b/>
      <w:bCs/>
      <w:i/>
      <w:iCs/>
      <w:szCs w:val="28"/>
    </w:rPr>
  </w:style>
  <w:style w:type="paragraph" w:styleId="Ttulo3">
    <w:name w:val="heading 3"/>
    <w:basedOn w:val="Normal"/>
    <w:link w:val="Ttulo3Char"/>
    <w:autoRedefine/>
    <w:uiPriority w:val="9"/>
    <w:qFormat/>
    <w:rsid w:val="00BC5893"/>
    <w:pPr>
      <w:spacing w:before="100" w:beforeAutospacing="1" w:after="100" w:afterAutospacing="1" w:line="240" w:lineRule="auto"/>
      <w:outlineLvl w:val="2"/>
    </w:pPr>
    <w:rPr>
      <w:rFonts w:eastAsia="Times New Roman" w:cs="Times New Roman"/>
      <w:b/>
      <w:bCs/>
      <w:szCs w:val="27"/>
      <w:lang w:eastAsia="pt-BR"/>
    </w:rPr>
  </w:style>
  <w:style w:type="paragraph" w:styleId="Ttulo4">
    <w:name w:val="heading 4"/>
    <w:basedOn w:val="Normal"/>
    <w:next w:val="Normal"/>
    <w:link w:val="Ttulo4Char"/>
    <w:autoRedefine/>
    <w:uiPriority w:val="9"/>
    <w:unhideWhenUsed/>
    <w:qFormat/>
    <w:rsid w:val="00F238C6"/>
    <w:pPr>
      <w:keepNext/>
      <w:keepLines/>
      <w:spacing w:before="40" w:after="0" w:line="276" w:lineRule="auto"/>
      <w:outlineLvl w:val="3"/>
    </w:pPr>
    <w:rPr>
      <w:rFonts w:eastAsiaTheme="majorEastAsia" w:cstheme="majorBid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123D"/>
    <w:rPr>
      <w:rFonts w:ascii="Arial" w:eastAsiaTheme="majorEastAsia" w:hAnsi="Arial" w:cstheme="majorBidi"/>
      <w:b/>
      <w:bCs/>
      <w:kern w:val="32"/>
      <w:sz w:val="28"/>
      <w:szCs w:val="32"/>
    </w:rPr>
  </w:style>
  <w:style w:type="character" w:customStyle="1" w:styleId="Ttulo2Char">
    <w:name w:val="Título 2 Char"/>
    <w:basedOn w:val="Fontepargpadro"/>
    <w:link w:val="Ttulo2"/>
    <w:uiPriority w:val="9"/>
    <w:rsid w:val="005B123D"/>
    <w:rPr>
      <w:rFonts w:ascii="Arial" w:eastAsiaTheme="majorEastAsia" w:hAnsi="Arial" w:cstheme="majorBidi"/>
      <w:b/>
      <w:bCs/>
      <w:i/>
      <w:iCs/>
      <w:szCs w:val="28"/>
    </w:rPr>
  </w:style>
  <w:style w:type="character" w:customStyle="1" w:styleId="Ttulo3Char">
    <w:name w:val="Título 3 Char"/>
    <w:basedOn w:val="Fontepargpadro"/>
    <w:link w:val="Ttulo3"/>
    <w:uiPriority w:val="9"/>
    <w:rsid w:val="00BC5893"/>
    <w:rPr>
      <w:rFonts w:eastAsia="Times New Roman" w:cs="Times New Roman"/>
      <w:b/>
      <w:bCs/>
      <w:szCs w:val="27"/>
      <w:lang w:eastAsia="pt-BR"/>
    </w:rPr>
  </w:style>
  <w:style w:type="character" w:customStyle="1" w:styleId="Ttulo4Char">
    <w:name w:val="Título 4 Char"/>
    <w:basedOn w:val="Fontepargpadro"/>
    <w:link w:val="Ttulo4"/>
    <w:uiPriority w:val="9"/>
    <w:rsid w:val="00F238C6"/>
    <w:rPr>
      <w:rFonts w:eastAsiaTheme="majorEastAsia" w:cstheme="majorBidi"/>
      <w:iCs/>
    </w:rPr>
  </w:style>
  <w:style w:type="paragraph" w:styleId="Textodebalo">
    <w:name w:val="Balloon Text"/>
    <w:basedOn w:val="Normal"/>
    <w:link w:val="TextodebaloChar"/>
    <w:uiPriority w:val="99"/>
    <w:semiHidden/>
    <w:unhideWhenUsed/>
    <w:rsid w:val="003975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75F4"/>
    <w:rPr>
      <w:rFonts w:ascii="Segoe UI" w:hAnsi="Segoe UI" w:cs="Segoe UI"/>
      <w:sz w:val="18"/>
      <w:szCs w:val="18"/>
    </w:rPr>
  </w:style>
  <w:style w:type="character" w:styleId="Refdenotaderodap">
    <w:name w:val="footnote reference"/>
    <w:basedOn w:val="Fontepargpadro"/>
    <w:uiPriority w:val="99"/>
    <w:semiHidden/>
    <w:unhideWhenUsed/>
    <w:rsid w:val="00211202"/>
    <w:rPr>
      <w:vertAlign w:val="superscript"/>
    </w:rPr>
  </w:style>
  <w:style w:type="paragraph" w:styleId="Textodenotaderodap">
    <w:name w:val="footnote text"/>
    <w:basedOn w:val="Normal"/>
    <w:link w:val="TextodenotaderodapChar"/>
    <w:uiPriority w:val="99"/>
    <w:semiHidden/>
    <w:unhideWhenUsed/>
    <w:rsid w:val="006569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69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iove.org.br/sustentabilidade/" TargetMode="External"/><Relationship Id="rId13" Type="http://schemas.openxmlformats.org/officeDocument/2006/relationships/hyperlink" Target="http://www.responsiblesoy.org/?lang=pt" TargetMode="External"/><Relationship Id="rId3" Type="http://schemas.openxmlformats.org/officeDocument/2006/relationships/settings" Target="settings.xml"/><Relationship Id="rId7" Type="http://schemas.openxmlformats.org/officeDocument/2006/relationships/hyperlink" Target="http://abic.com.br/certificacao/" TargetMode="External"/><Relationship Id="rId12" Type="http://schemas.openxmlformats.org/officeDocument/2006/relationships/hyperlink" Target="http://ecovida.org.br/sob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fedocerrad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prosoja.com.br/comissao/sustentabilidade" TargetMode="External"/><Relationship Id="rId4" Type="http://schemas.openxmlformats.org/officeDocument/2006/relationships/webSettings" Target="webSettings.xml"/><Relationship Id="rId9" Type="http://schemas.openxmlformats.org/officeDocument/2006/relationships/hyperlink" Target="https://www.abrapa.com.br/Paginas/sustentabilidade/algodao-brasileiro-responsavel.aspx" TargetMode="External"/><Relationship Id="rId14" Type="http://schemas.openxmlformats.org/officeDocument/2006/relationships/hyperlink" Target="http://www.sojaplus.com.br/storage/site/downloads/documentos_referencia/relatorios_resultados/relatorio-de-realizacoes-20175a0307bb37b6d.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33EA-B03A-4A2B-9349-456BBDDC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13</Pages>
  <Words>5462</Words>
  <Characters>29495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werlen Raasch</dc:creator>
  <cp:keywords/>
  <dc:description/>
  <cp:lastModifiedBy>werlen Raasch</cp:lastModifiedBy>
  <cp:revision>172</cp:revision>
  <dcterms:created xsi:type="dcterms:W3CDTF">2019-04-29T20:47:00Z</dcterms:created>
  <dcterms:modified xsi:type="dcterms:W3CDTF">2019-08-26T02:59:00Z</dcterms:modified>
</cp:coreProperties>
</file>