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FA243" w14:textId="77777777" w:rsidR="008330E0" w:rsidRPr="00CE20A6" w:rsidRDefault="008330E0" w:rsidP="008330E0">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Análisis de l</w:t>
      </w:r>
      <w:r w:rsidRPr="00CE20A6">
        <w:rPr>
          <w:rFonts w:ascii="Times New Roman" w:hAnsi="Times New Roman"/>
          <w:b/>
          <w:sz w:val="24"/>
          <w:szCs w:val="24"/>
        </w:rPr>
        <w:t xml:space="preserve">a cadena de la soja en Argentina.  </w:t>
      </w:r>
    </w:p>
    <w:p w14:paraId="2880D748" w14:textId="77777777" w:rsidR="008330E0" w:rsidRPr="00CE20A6" w:rsidRDefault="008330E0" w:rsidP="008330E0">
      <w:pPr>
        <w:spacing w:after="0" w:line="240" w:lineRule="auto"/>
        <w:jc w:val="center"/>
        <w:rPr>
          <w:rFonts w:ascii="Times New Roman" w:hAnsi="Times New Roman"/>
          <w:sz w:val="24"/>
          <w:szCs w:val="24"/>
        </w:rPr>
      </w:pPr>
    </w:p>
    <w:p w14:paraId="71CFB10E" w14:textId="77777777" w:rsidR="008330E0" w:rsidRPr="00CE20A6" w:rsidRDefault="008330E0" w:rsidP="008330E0">
      <w:pPr>
        <w:spacing w:after="0" w:line="240" w:lineRule="auto"/>
        <w:jc w:val="center"/>
        <w:rPr>
          <w:rFonts w:ascii="Times New Roman" w:hAnsi="Times New Roman"/>
          <w:sz w:val="24"/>
          <w:szCs w:val="24"/>
        </w:rPr>
      </w:pPr>
      <w:r w:rsidRPr="00CE20A6">
        <w:rPr>
          <w:rFonts w:ascii="Times New Roman" w:hAnsi="Times New Roman"/>
          <w:sz w:val="24"/>
          <w:szCs w:val="24"/>
        </w:rPr>
        <w:t>Asis, Inés del Valle</w:t>
      </w:r>
      <w:r>
        <w:rPr>
          <w:rFonts w:ascii="Times New Roman" w:hAnsi="Times New Roman"/>
          <w:sz w:val="24"/>
          <w:szCs w:val="24"/>
        </w:rPr>
        <w:t xml:space="preserve"> - </w:t>
      </w:r>
      <w:r w:rsidRPr="00CE20A6">
        <w:rPr>
          <w:rFonts w:ascii="Times New Roman" w:hAnsi="Times New Roman"/>
          <w:sz w:val="24"/>
          <w:szCs w:val="24"/>
        </w:rPr>
        <w:t>Sattler Silvana Andrea</w:t>
      </w:r>
      <w:r>
        <w:rPr>
          <w:rFonts w:ascii="Times New Roman" w:hAnsi="Times New Roman"/>
          <w:sz w:val="24"/>
          <w:szCs w:val="24"/>
        </w:rPr>
        <w:t xml:space="preserve"> - </w:t>
      </w:r>
      <w:r w:rsidRPr="00CE20A6">
        <w:rPr>
          <w:rFonts w:ascii="Times New Roman" w:hAnsi="Times New Roman"/>
          <w:sz w:val="24"/>
          <w:szCs w:val="24"/>
        </w:rPr>
        <w:t xml:space="preserve">Castro </w:t>
      </w:r>
      <w:proofErr w:type="spellStart"/>
      <w:r w:rsidRPr="00CE20A6">
        <w:rPr>
          <w:rFonts w:ascii="Times New Roman" w:hAnsi="Times New Roman"/>
          <w:sz w:val="24"/>
          <w:szCs w:val="24"/>
        </w:rPr>
        <w:t>Gonzalez</w:t>
      </w:r>
      <w:proofErr w:type="spellEnd"/>
      <w:r w:rsidRPr="00CE20A6">
        <w:rPr>
          <w:rFonts w:ascii="Times New Roman" w:hAnsi="Times New Roman"/>
          <w:sz w:val="24"/>
          <w:szCs w:val="24"/>
        </w:rPr>
        <w:t xml:space="preserve"> Enrique Leopoldo</w:t>
      </w:r>
    </w:p>
    <w:p w14:paraId="47C8665D" w14:textId="1EA31BE3" w:rsidR="008330E0" w:rsidRPr="008330E0" w:rsidRDefault="008330E0" w:rsidP="008330E0">
      <w:pPr>
        <w:pStyle w:val="Textonotapie"/>
        <w:rPr>
          <w:rFonts w:ascii="Times New Roman" w:hAnsi="Times New Roman"/>
          <w:sz w:val="22"/>
          <w:szCs w:val="22"/>
          <w:shd w:val="clear" w:color="auto" w:fill="FFFFFF"/>
        </w:rPr>
      </w:pPr>
      <w:r w:rsidRPr="008330E0">
        <w:rPr>
          <w:rStyle w:val="Hipervnculo"/>
          <w:rFonts w:ascii="Times New Roman" w:hAnsi="Times New Roman"/>
          <w:color w:val="auto"/>
          <w:sz w:val="22"/>
          <w:szCs w:val="22"/>
          <w:u w:val="none"/>
          <w:shd w:val="clear" w:color="auto" w:fill="FFFFFF"/>
        </w:rPr>
        <w:t xml:space="preserve">            </w:t>
      </w:r>
      <w:hyperlink r:id="rId9" w:history="1">
        <w:r w:rsidRPr="008330E0">
          <w:rPr>
            <w:rStyle w:val="Hipervnculo"/>
            <w:rFonts w:ascii="Times New Roman" w:hAnsi="Times New Roman"/>
            <w:color w:val="auto"/>
            <w:sz w:val="22"/>
            <w:szCs w:val="22"/>
            <w:u w:val="none"/>
            <w:shd w:val="clear" w:color="auto" w:fill="FFFFFF"/>
          </w:rPr>
          <w:t>iasisfa@hotmail.com</w:t>
        </w:r>
      </w:hyperlink>
      <w:r w:rsidRPr="008330E0">
        <w:rPr>
          <w:rStyle w:val="Hipervnculo"/>
          <w:rFonts w:ascii="Times New Roman" w:hAnsi="Times New Roman"/>
          <w:color w:val="auto"/>
          <w:sz w:val="22"/>
          <w:szCs w:val="22"/>
          <w:u w:val="none"/>
          <w:shd w:val="clear" w:color="auto" w:fill="FFFFFF"/>
        </w:rPr>
        <w:t xml:space="preserve">      </w:t>
      </w:r>
      <w:hyperlink r:id="rId10" w:history="1">
        <w:r w:rsidRPr="008330E0">
          <w:rPr>
            <w:rStyle w:val="Hipervnculo"/>
            <w:rFonts w:ascii="Times New Roman" w:hAnsi="Times New Roman"/>
            <w:color w:val="auto"/>
            <w:sz w:val="22"/>
            <w:szCs w:val="22"/>
            <w:u w:val="none"/>
            <w:shd w:val="clear" w:color="auto" w:fill="FFFFFF"/>
          </w:rPr>
          <w:t>silsattler@gmail.com</w:t>
        </w:r>
      </w:hyperlink>
      <w:r w:rsidRPr="008330E0">
        <w:rPr>
          <w:rStyle w:val="Hipervnculo"/>
          <w:rFonts w:ascii="Times New Roman" w:hAnsi="Times New Roman"/>
          <w:color w:val="auto"/>
          <w:sz w:val="22"/>
          <w:szCs w:val="22"/>
          <w:u w:val="none"/>
          <w:shd w:val="clear" w:color="auto" w:fill="FFFFFF"/>
        </w:rPr>
        <w:t xml:space="preserve">         </w:t>
      </w:r>
      <w:hyperlink r:id="rId11" w:history="1">
        <w:r w:rsidRPr="008330E0">
          <w:rPr>
            <w:rStyle w:val="Hipervnculo"/>
            <w:rFonts w:ascii="Times New Roman" w:hAnsi="Times New Roman"/>
            <w:color w:val="auto"/>
            <w:sz w:val="22"/>
            <w:szCs w:val="22"/>
            <w:u w:val="none"/>
            <w:shd w:val="clear" w:color="auto" w:fill="FFFFFF"/>
          </w:rPr>
          <w:t>castrogonzalez2003@gmail.com</w:t>
        </w:r>
      </w:hyperlink>
    </w:p>
    <w:p w14:paraId="5010D632" w14:textId="77777777" w:rsidR="008330E0" w:rsidRPr="00AD71C8" w:rsidRDefault="008330E0" w:rsidP="008330E0">
      <w:pPr>
        <w:pStyle w:val="Textonotapie"/>
        <w:spacing w:line="180" w:lineRule="atLeast"/>
        <w:jc w:val="center"/>
        <w:rPr>
          <w:rFonts w:ascii="Times New Roman" w:hAnsi="Times New Roman"/>
          <w:i/>
          <w:sz w:val="24"/>
          <w:szCs w:val="24"/>
        </w:rPr>
      </w:pPr>
      <w:r w:rsidRPr="00AD71C8">
        <w:rPr>
          <w:rFonts w:ascii="Times New Roman" w:hAnsi="Times New Roman"/>
          <w:i/>
          <w:sz w:val="24"/>
          <w:szCs w:val="24"/>
        </w:rPr>
        <w:t>Instituto de Economía y Finanzas-Facultad de Ciencias Económicas</w:t>
      </w:r>
    </w:p>
    <w:p w14:paraId="30F60B5D" w14:textId="77777777" w:rsidR="008330E0" w:rsidRPr="00AD71C8" w:rsidRDefault="008330E0" w:rsidP="008330E0">
      <w:pPr>
        <w:pStyle w:val="Textonotapie"/>
        <w:spacing w:line="180" w:lineRule="atLeast"/>
        <w:jc w:val="center"/>
        <w:rPr>
          <w:rFonts w:ascii="Times New Roman" w:hAnsi="Times New Roman"/>
          <w:i/>
          <w:sz w:val="24"/>
          <w:szCs w:val="24"/>
        </w:rPr>
      </w:pPr>
      <w:r w:rsidRPr="00AD71C8">
        <w:rPr>
          <w:rFonts w:ascii="Times New Roman" w:hAnsi="Times New Roman"/>
          <w:i/>
          <w:sz w:val="24"/>
          <w:szCs w:val="24"/>
        </w:rPr>
        <w:t>Universidad Nacional de Córdoba</w:t>
      </w:r>
    </w:p>
    <w:p w14:paraId="6E0BD66C" w14:textId="77777777" w:rsidR="008330E0" w:rsidRPr="00CE20A6" w:rsidRDefault="008330E0" w:rsidP="008330E0">
      <w:pPr>
        <w:spacing w:after="0" w:line="240" w:lineRule="auto"/>
        <w:ind w:left="360"/>
        <w:jc w:val="both"/>
        <w:rPr>
          <w:rFonts w:ascii="Times New Roman" w:hAnsi="Times New Roman"/>
          <w:color w:val="222222"/>
          <w:sz w:val="24"/>
          <w:szCs w:val="24"/>
          <w:shd w:val="clear" w:color="auto" w:fill="FFFFFF"/>
        </w:rPr>
      </w:pPr>
    </w:p>
    <w:p w14:paraId="028AA153" w14:textId="77777777" w:rsidR="00221A1D" w:rsidRPr="001E5CE2" w:rsidRDefault="00221A1D" w:rsidP="001E5CE2">
      <w:pPr>
        <w:spacing w:after="0" w:line="360" w:lineRule="auto"/>
        <w:ind w:left="357"/>
        <w:jc w:val="both"/>
        <w:rPr>
          <w:rFonts w:ascii="Times New Roman" w:hAnsi="Times New Roman"/>
          <w:color w:val="222222"/>
          <w:sz w:val="24"/>
          <w:szCs w:val="24"/>
          <w:shd w:val="clear" w:color="auto" w:fill="FFFFFF"/>
          <w:lang w:val="es-ES"/>
        </w:rPr>
      </w:pPr>
      <w:r w:rsidRPr="001E5CE2">
        <w:rPr>
          <w:rFonts w:ascii="Times New Roman" w:hAnsi="Times New Roman"/>
          <w:b/>
          <w:i/>
          <w:color w:val="222222"/>
          <w:sz w:val="24"/>
          <w:szCs w:val="24"/>
          <w:shd w:val="clear" w:color="auto" w:fill="FFFFFF"/>
          <w:lang w:val="es-ES"/>
        </w:rPr>
        <w:t>Eje temático 12</w:t>
      </w:r>
      <w:r w:rsidRPr="001E5CE2">
        <w:rPr>
          <w:rFonts w:ascii="Times New Roman" w:hAnsi="Times New Roman"/>
          <w:b/>
          <w:color w:val="222222"/>
          <w:sz w:val="24"/>
          <w:szCs w:val="24"/>
          <w:shd w:val="clear" w:color="auto" w:fill="FFFFFF"/>
          <w:lang w:val="es-ES"/>
        </w:rPr>
        <w:t>:</w:t>
      </w:r>
      <w:r w:rsidRPr="001E5CE2">
        <w:rPr>
          <w:rFonts w:ascii="Times New Roman" w:hAnsi="Times New Roman"/>
          <w:color w:val="222222"/>
          <w:sz w:val="24"/>
          <w:szCs w:val="24"/>
          <w:shd w:val="clear" w:color="auto" w:fill="FFFFFF"/>
          <w:lang w:val="es-ES"/>
        </w:rPr>
        <w:t xml:space="preserve"> Cadenas agroindustriales y relaciones intersectoriales. Concentración y transnacionalización agroalimentaria. Mercados y comercialización. Análisis de empresas agroindustriales. Aceite, biocombustibles y otras producciones agroindustriales.</w:t>
      </w:r>
    </w:p>
    <w:p w14:paraId="1B5B9E88" w14:textId="77777777" w:rsidR="00221A1D" w:rsidRPr="001E5CE2" w:rsidRDefault="00221A1D" w:rsidP="001E5CE2">
      <w:pPr>
        <w:spacing w:after="0" w:line="360" w:lineRule="auto"/>
        <w:ind w:left="357"/>
        <w:jc w:val="both"/>
        <w:rPr>
          <w:rFonts w:ascii="Times New Roman" w:hAnsi="Times New Roman"/>
          <w:color w:val="222222"/>
          <w:sz w:val="24"/>
          <w:szCs w:val="24"/>
          <w:shd w:val="clear" w:color="auto" w:fill="FFFFFF"/>
          <w:lang w:val="es-ES"/>
        </w:rPr>
      </w:pPr>
    </w:p>
    <w:p w14:paraId="58AC2F1C" w14:textId="77777777" w:rsidR="008330E0" w:rsidRDefault="008330E0" w:rsidP="001E5CE2">
      <w:pPr>
        <w:spacing w:after="0" w:line="360" w:lineRule="auto"/>
        <w:ind w:left="357"/>
        <w:jc w:val="center"/>
        <w:rPr>
          <w:rFonts w:ascii="Times New Roman" w:hAnsi="Times New Roman"/>
          <w:b/>
          <w:i/>
          <w:color w:val="222222"/>
          <w:sz w:val="24"/>
          <w:szCs w:val="24"/>
          <w:shd w:val="clear" w:color="auto" w:fill="FFFFFF"/>
          <w:lang w:val="es-ES"/>
        </w:rPr>
      </w:pPr>
    </w:p>
    <w:p w14:paraId="24DD95C9" w14:textId="77777777" w:rsidR="00221A1D" w:rsidRPr="001E5CE2" w:rsidRDefault="00221A1D" w:rsidP="001E5CE2">
      <w:pPr>
        <w:spacing w:after="0" w:line="360" w:lineRule="auto"/>
        <w:ind w:left="357"/>
        <w:jc w:val="center"/>
        <w:rPr>
          <w:rFonts w:ascii="Times New Roman" w:hAnsi="Times New Roman"/>
          <w:b/>
          <w:i/>
          <w:color w:val="222222"/>
          <w:sz w:val="24"/>
          <w:szCs w:val="24"/>
          <w:shd w:val="clear" w:color="auto" w:fill="FFFFFF"/>
          <w:lang w:val="es-ES"/>
        </w:rPr>
      </w:pPr>
      <w:r w:rsidRPr="001E5CE2">
        <w:rPr>
          <w:rFonts w:ascii="Times New Roman" w:hAnsi="Times New Roman"/>
          <w:b/>
          <w:i/>
          <w:color w:val="222222"/>
          <w:sz w:val="24"/>
          <w:szCs w:val="24"/>
          <w:shd w:val="clear" w:color="auto" w:fill="FFFFFF"/>
          <w:lang w:val="es-ES"/>
        </w:rPr>
        <w:t>Resumen</w:t>
      </w:r>
    </w:p>
    <w:p w14:paraId="63C80A59" w14:textId="77777777" w:rsidR="00221A1D" w:rsidRPr="001E5CE2" w:rsidRDefault="00221A1D" w:rsidP="001E5CE2">
      <w:pPr>
        <w:spacing w:after="0" w:line="360" w:lineRule="auto"/>
        <w:ind w:left="357"/>
        <w:jc w:val="center"/>
        <w:rPr>
          <w:rFonts w:ascii="Times New Roman" w:hAnsi="Times New Roman"/>
          <w:b/>
          <w:i/>
          <w:color w:val="222222"/>
          <w:sz w:val="24"/>
          <w:szCs w:val="24"/>
          <w:shd w:val="clear" w:color="auto" w:fill="FFFFFF"/>
          <w:lang w:val="es-ES"/>
        </w:rPr>
      </w:pPr>
    </w:p>
    <w:p w14:paraId="0C41D95E" w14:textId="46636DD7" w:rsidR="00221A1D" w:rsidRPr="001E5CE2" w:rsidRDefault="00221A1D" w:rsidP="001E5CE2">
      <w:pPr>
        <w:spacing w:after="0" w:line="360" w:lineRule="auto"/>
        <w:ind w:left="357"/>
        <w:jc w:val="both"/>
        <w:rPr>
          <w:rFonts w:ascii="Times New Roman" w:hAnsi="Times New Roman"/>
          <w:color w:val="222222"/>
          <w:sz w:val="24"/>
          <w:szCs w:val="24"/>
          <w:shd w:val="clear" w:color="auto" w:fill="FFFFFF"/>
          <w:lang w:val="es-ES"/>
        </w:rPr>
      </w:pPr>
      <w:r w:rsidRPr="001E5CE2">
        <w:rPr>
          <w:rFonts w:ascii="Times New Roman" w:hAnsi="Times New Roman"/>
          <w:color w:val="222222"/>
          <w:sz w:val="24"/>
          <w:szCs w:val="24"/>
          <w:shd w:val="clear" w:color="auto" w:fill="FFFFFF"/>
          <w:lang w:val="es-ES"/>
        </w:rPr>
        <w:tab/>
        <w:t xml:space="preserve">La aparición de los biocombustibles en Argentina, como alternativa de la producción agrícola y sus derivados tradicionales, ha llevado a la competencia por el uso del suelo entre la producción de biocombustibles y las fibras, </w:t>
      </w:r>
      <w:r w:rsidR="008330E0">
        <w:rPr>
          <w:rFonts w:ascii="Times New Roman" w:hAnsi="Times New Roman"/>
          <w:color w:val="222222"/>
          <w:sz w:val="24"/>
          <w:szCs w:val="24"/>
          <w:shd w:val="clear" w:color="auto" w:fill="FFFFFF"/>
          <w:lang w:val="es-ES"/>
        </w:rPr>
        <w:t xml:space="preserve">los </w:t>
      </w:r>
      <w:r w:rsidRPr="001E5CE2">
        <w:rPr>
          <w:rFonts w:ascii="Times New Roman" w:hAnsi="Times New Roman"/>
          <w:color w:val="222222"/>
          <w:sz w:val="24"/>
          <w:szCs w:val="24"/>
          <w:shd w:val="clear" w:color="auto" w:fill="FFFFFF"/>
          <w:lang w:val="es-ES"/>
        </w:rPr>
        <w:t xml:space="preserve">alimentos y </w:t>
      </w:r>
      <w:r w:rsidR="008330E0">
        <w:rPr>
          <w:rFonts w:ascii="Times New Roman" w:hAnsi="Times New Roman"/>
          <w:color w:val="222222"/>
          <w:sz w:val="24"/>
          <w:szCs w:val="24"/>
          <w:shd w:val="clear" w:color="auto" w:fill="FFFFFF"/>
          <w:lang w:val="es-ES"/>
        </w:rPr>
        <w:t xml:space="preserve">las </w:t>
      </w:r>
      <w:r w:rsidRPr="001E5CE2">
        <w:rPr>
          <w:rFonts w:ascii="Times New Roman" w:hAnsi="Times New Roman"/>
          <w:color w:val="222222"/>
          <w:sz w:val="24"/>
          <w:szCs w:val="24"/>
          <w:shd w:val="clear" w:color="auto" w:fill="FFFFFF"/>
          <w:lang w:val="es-ES"/>
        </w:rPr>
        <w:t>materias primas para la cría de animales, entre otros. En los últimos años, la industria de biocombustibles ha presentado un comportamiento estrechamente ligado a cuestiones relacionadas con las políticas gubernamentales del país, por un lado, y las políticas de comercio internacional, por el otro. La historia de la producción de biocombustibles en Argentina, desde sus inicios en la década anterior, y el panorama actual, brindan evidencias de una evolución industrial de comportamiento cíclico, con altibajos que parecen responder a esos cambios de políticas interna y externa.</w:t>
      </w:r>
    </w:p>
    <w:p w14:paraId="12E8C2ED" w14:textId="1C3D7F6E" w:rsidR="00221A1D" w:rsidRPr="001E5CE2" w:rsidRDefault="00221A1D" w:rsidP="001E5CE2">
      <w:pPr>
        <w:spacing w:after="0" w:line="360" w:lineRule="auto"/>
        <w:ind w:left="357"/>
        <w:jc w:val="both"/>
        <w:rPr>
          <w:rFonts w:ascii="Times New Roman" w:hAnsi="Times New Roman"/>
          <w:color w:val="222222"/>
          <w:sz w:val="24"/>
          <w:szCs w:val="24"/>
          <w:u w:val="single"/>
          <w:shd w:val="clear" w:color="auto" w:fill="FFFFFF"/>
        </w:rPr>
      </w:pPr>
      <w:r w:rsidRPr="001E5CE2">
        <w:rPr>
          <w:rFonts w:ascii="Times New Roman" w:hAnsi="Times New Roman"/>
          <w:color w:val="222222"/>
          <w:sz w:val="24"/>
          <w:szCs w:val="24"/>
          <w:shd w:val="clear" w:color="auto" w:fill="FFFFFF"/>
          <w:lang w:val="es-ES"/>
        </w:rPr>
        <w:tab/>
        <w:t xml:space="preserve">En este trabajo se plantea como objetivo analizar la cadena de valor de la industria de la soja y estudiar la manera en que los cambios en la industria del biodiesel impactan en el resto de la cadena productiva. </w:t>
      </w:r>
      <w:r w:rsidR="008330E0">
        <w:rPr>
          <w:rFonts w:ascii="Times New Roman" w:hAnsi="Times New Roman"/>
          <w:color w:val="222222"/>
          <w:sz w:val="24"/>
          <w:szCs w:val="24"/>
          <w:shd w:val="clear" w:color="auto" w:fill="FFFFFF"/>
          <w:lang w:val="es-ES"/>
        </w:rPr>
        <w:t>A partir de allí, se</w:t>
      </w:r>
      <w:r w:rsidRPr="001E5CE2">
        <w:rPr>
          <w:rFonts w:ascii="Times New Roman" w:hAnsi="Times New Roman"/>
          <w:color w:val="222222"/>
          <w:sz w:val="24"/>
          <w:szCs w:val="24"/>
          <w:shd w:val="clear" w:color="auto" w:fill="FFFFFF"/>
          <w:lang w:val="es-ES"/>
        </w:rPr>
        <w:t xml:space="preserve"> propon</w:t>
      </w:r>
      <w:r w:rsidR="008330E0">
        <w:rPr>
          <w:rFonts w:ascii="Times New Roman" w:hAnsi="Times New Roman"/>
          <w:color w:val="222222"/>
          <w:sz w:val="24"/>
          <w:szCs w:val="24"/>
          <w:shd w:val="clear" w:color="auto" w:fill="FFFFFF"/>
          <w:lang w:val="es-ES"/>
        </w:rPr>
        <w:t>drán</w:t>
      </w:r>
      <w:r w:rsidRPr="001E5CE2">
        <w:rPr>
          <w:rFonts w:ascii="Times New Roman" w:hAnsi="Times New Roman"/>
          <w:color w:val="222222"/>
          <w:sz w:val="24"/>
          <w:szCs w:val="24"/>
          <w:shd w:val="clear" w:color="auto" w:fill="FFFFFF"/>
          <w:lang w:val="es-ES"/>
        </w:rPr>
        <w:t xml:space="preserve"> recomendaciones de política </w:t>
      </w:r>
      <w:r w:rsidR="008330E0">
        <w:rPr>
          <w:rFonts w:ascii="Times New Roman" w:hAnsi="Times New Roman"/>
          <w:color w:val="222222"/>
          <w:sz w:val="24"/>
          <w:szCs w:val="24"/>
          <w:shd w:val="clear" w:color="auto" w:fill="FFFFFF"/>
          <w:lang w:val="es-ES"/>
        </w:rPr>
        <w:t xml:space="preserve">económica </w:t>
      </w:r>
      <w:r w:rsidRPr="001E5CE2">
        <w:rPr>
          <w:rFonts w:ascii="Times New Roman" w:hAnsi="Times New Roman"/>
          <w:color w:val="222222"/>
          <w:sz w:val="24"/>
          <w:szCs w:val="24"/>
          <w:shd w:val="clear" w:color="auto" w:fill="FFFFFF"/>
          <w:lang w:val="es-ES"/>
        </w:rPr>
        <w:t xml:space="preserve">que </w:t>
      </w:r>
      <w:r w:rsidR="008330E0">
        <w:rPr>
          <w:rFonts w:ascii="Times New Roman" w:hAnsi="Times New Roman"/>
          <w:color w:val="222222"/>
          <w:sz w:val="24"/>
          <w:szCs w:val="24"/>
          <w:shd w:val="clear" w:color="auto" w:fill="FFFFFF"/>
          <w:lang w:val="es-ES"/>
        </w:rPr>
        <w:t>permitan</w:t>
      </w:r>
      <w:r w:rsidRPr="001E5CE2">
        <w:rPr>
          <w:rFonts w:ascii="Times New Roman" w:hAnsi="Times New Roman"/>
          <w:color w:val="222222"/>
          <w:sz w:val="24"/>
          <w:szCs w:val="24"/>
          <w:shd w:val="clear" w:color="auto" w:fill="FFFFFF"/>
          <w:lang w:val="es-ES"/>
        </w:rPr>
        <w:t xml:space="preserve"> una tendencia definida</w:t>
      </w:r>
      <w:r w:rsidR="008330E0">
        <w:rPr>
          <w:rFonts w:ascii="Times New Roman" w:hAnsi="Times New Roman"/>
          <w:color w:val="222222"/>
          <w:sz w:val="24"/>
          <w:szCs w:val="24"/>
          <w:shd w:val="clear" w:color="auto" w:fill="FFFFFF"/>
          <w:lang w:val="es-ES"/>
        </w:rPr>
        <w:t>,</w:t>
      </w:r>
      <w:r w:rsidRPr="001E5CE2">
        <w:rPr>
          <w:rFonts w:ascii="Times New Roman" w:hAnsi="Times New Roman"/>
          <w:color w:val="222222"/>
          <w:sz w:val="24"/>
          <w:szCs w:val="24"/>
          <w:shd w:val="clear" w:color="auto" w:fill="FFFFFF"/>
          <w:lang w:val="es-ES"/>
        </w:rPr>
        <w:t xml:space="preserve"> con mayor estabilidad de la producción industrial de biocombustibles</w:t>
      </w:r>
      <w:r w:rsidR="008330E0">
        <w:rPr>
          <w:rFonts w:ascii="Times New Roman" w:hAnsi="Times New Roman"/>
          <w:color w:val="222222"/>
          <w:sz w:val="24"/>
          <w:szCs w:val="24"/>
          <w:shd w:val="clear" w:color="auto" w:fill="FFFFFF"/>
          <w:lang w:val="es-ES"/>
        </w:rPr>
        <w:t xml:space="preserve"> y</w:t>
      </w:r>
      <w:r w:rsidRPr="001E5CE2">
        <w:rPr>
          <w:rFonts w:ascii="Times New Roman" w:hAnsi="Times New Roman"/>
          <w:color w:val="222222"/>
          <w:sz w:val="24"/>
          <w:szCs w:val="24"/>
          <w:shd w:val="clear" w:color="auto" w:fill="FFFFFF"/>
          <w:lang w:val="es-ES"/>
        </w:rPr>
        <w:t xml:space="preserve"> las consecuentes mejoras en toda la cadena de valor. </w:t>
      </w:r>
    </w:p>
    <w:p w14:paraId="068AC9EE" w14:textId="77777777" w:rsidR="00CB2A13" w:rsidRPr="001E5CE2" w:rsidRDefault="00CB2A13" w:rsidP="001E5CE2">
      <w:pPr>
        <w:spacing w:after="0" w:line="360" w:lineRule="auto"/>
        <w:jc w:val="both"/>
        <w:rPr>
          <w:rFonts w:ascii="Times New Roman" w:hAnsi="Times New Roman"/>
          <w:b/>
          <w:sz w:val="24"/>
          <w:szCs w:val="24"/>
        </w:rPr>
      </w:pPr>
    </w:p>
    <w:p w14:paraId="15715C0C" w14:textId="77777777" w:rsidR="00D04932" w:rsidRDefault="00D04932" w:rsidP="001E5CE2">
      <w:pPr>
        <w:spacing w:after="0" w:line="360" w:lineRule="auto"/>
        <w:rPr>
          <w:rFonts w:ascii="Times New Roman" w:hAnsi="Times New Roman"/>
          <w:b/>
          <w:sz w:val="24"/>
          <w:szCs w:val="24"/>
        </w:rPr>
      </w:pPr>
    </w:p>
    <w:p w14:paraId="4F036C63" w14:textId="77777777" w:rsidR="008330E0" w:rsidRDefault="008330E0" w:rsidP="001E5CE2">
      <w:pPr>
        <w:spacing w:after="0" w:line="360" w:lineRule="auto"/>
        <w:rPr>
          <w:rFonts w:ascii="Times New Roman" w:hAnsi="Times New Roman"/>
          <w:b/>
          <w:sz w:val="24"/>
          <w:szCs w:val="24"/>
        </w:rPr>
      </w:pPr>
    </w:p>
    <w:p w14:paraId="5161F039" w14:textId="77777777" w:rsidR="008330E0" w:rsidRDefault="008330E0" w:rsidP="001E5CE2">
      <w:pPr>
        <w:spacing w:after="0" w:line="360" w:lineRule="auto"/>
        <w:rPr>
          <w:rFonts w:ascii="Times New Roman" w:hAnsi="Times New Roman"/>
          <w:b/>
          <w:sz w:val="24"/>
          <w:szCs w:val="24"/>
        </w:rPr>
      </w:pPr>
    </w:p>
    <w:p w14:paraId="3549A7E1" w14:textId="77777777" w:rsidR="008330E0" w:rsidRDefault="008330E0" w:rsidP="001E5CE2">
      <w:pPr>
        <w:spacing w:after="0" w:line="360" w:lineRule="auto"/>
        <w:rPr>
          <w:rFonts w:ascii="Times New Roman" w:hAnsi="Times New Roman"/>
          <w:b/>
          <w:sz w:val="24"/>
          <w:szCs w:val="24"/>
        </w:rPr>
      </w:pPr>
    </w:p>
    <w:p w14:paraId="65BA2F2A" w14:textId="77777777" w:rsidR="008330E0" w:rsidRPr="001E5CE2" w:rsidRDefault="008330E0" w:rsidP="001E5CE2">
      <w:pPr>
        <w:spacing w:after="0" w:line="360" w:lineRule="auto"/>
        <w:rPr>
          <w:rFonts w:ascii="Times New Roman" w:hAnsi="Times New Roman"/>
          <w:b/>
          <w:sz w:val="24"/>
          <w:szCs w:val="24"/>
        </w:rPr>
      </w:pPr>
    </w:p>
    <w:p w14:paraId="38E4EEC2" w14:textId="77777777" w:rsidR="001E5CE2" w:rsidRPr="001E5CE2" w:rsidRDefault="001E5CE2" w:rsidP="001E5CE2">
      <w:pPr>
        <w:spacing w:after="0" w:line="360" w:lineRule="auto"/>
        <w:jc w:val="center"/>
        <w:rPr>
          <w:rFonts w:ascii="Times New Roman" w:hAnsi="Times New Roman"/>
          <w:b/>
          <w:sz w:val="24"/>
          <w:szCs w:val="24"/>
        </w:rPr>
      </w:pPr>
      <w:r w:rsidRPr="001E5CE2">
        <w:rPr>
          <w:rFonts w:ascii="Times New Roman" w:hAnsi="Times New Roman"/>
          <w:b/>
          <w:sz w:val="24"/>
          <w:szCs w:val="24"/>
        </w:rPr>
        <w:lastRenderedPageBreak/>
        <w:t xml:space="preserve">Análisis de la cadena de la soja en Argentina.  </w:t>
      </w:r>
    </w:p>
    <w:p w14:paraId="41A85D5F" w14:textId="77777777" w:rsidR="001E5CE2" w:rsidRPr="001E5CE2" w:rsidRDefault="001E5CE2" w:rsidP="001E5CE2">
      <w:pPr>
        <w:spacing w:after="0" w:line="360" w:lineRule="auto"/>
        <w:jc w:val="center"/>
        <w:rPr>
          <w:rFonts w:ascii="Times New Roman" w:hAnsi="Times New Roman"/>
          <w:sz w:val="24"/>
          <w:szCs w:val="24"/>
        </w:rPr>
      </w:pPr>
    </w:p>
    <w:p w14:paraId="7312D7A1" w14:textId="77777777" w:rsidR="001E5CE2" w:rsidRPr="001E5CE2" w:rsidRDefault="001E5CE2" w:rsidP="001E5CE2">
      <w:pPr>
        <w:spacing w:after="0" w:line="360" w:lineRule="auto"/>
        <w:jc w:val="center"/>
        <w:rPr>
          <w:rFonts w:ascii="Times New Roman" w:hAnsi="Times New Roman"/>
          <w:sz w:val="24"/>
          <w:szCs w:val="24"/>
        </w:rPr>
      </w:pPr>
      <w:r w:rsidRPr="001E5CE2">
        <w:rPr>
          <w:rFonts w:ascii="Times New Roman" w:hAnsi="Times New Roman"/>
          <w:sz w:val="24"/>
          <w:szCs w:val="24"/>
        </w:rPr>
        <w:t xml:space="preserve">Asis, Inés del Valle - Sattler Silvana Andrea - Castro </w:t>
      </w:r>
      <w:proofErr w:type="spellStart"/>
      <w:r w:rsidRPr="001E5CE2">
        <w:rPr>
          <w:rFonts w:ascii="Times New Roman" w:hAnsi="Times New Roman"/>
          <w:sz w:val="24"/>
          <w:szCs w:val="24"/>
        </w:rPr>
        <w:t>Gonzalez</w:t>
      </w:r>
      <w:proofErr w:type="spellEnd"/>
      <w:r w:rsidRPr="001E5CE2">
        <w:rPr>
          <w:rFonts w:ascii="Times New Roman" w:hAnsi="Times New Roman"/>
          <w:sz w:val="24"/>
          <w:szCs w:val="24"/>
        </w:rPr>
        <w:t xml:space="preserve"> Enrique Leopoldo</w:t>
      </w:r>
    </w:p>
    <w:p w14:paraId="34E73EB0" w14:textId="77777777" w:rsidR="001E5CE2" w:rsidRPr="001E5CE2" w:rsidRDefault="001E5CE2" w:rsidP="001E5CE2">
      <w:pPr>
        <w:pStyle w:val="Textonotapie"/>
        <w:spacing w:after="0" w:line="360" w:lineRule="auto"/>
        <w:jc w:val="center"/>
        <w:rPr>
          <w:rFonts w:ascii="Times New Roman" w:hAnsi="Times New Roman"/>
          <w:i/>
          <w:sz w:val="24"/>
          <w:szCs w:val="24"/>
        </w:rPr>
      </w:pPr>
      <w:r w:rsidRPr="001E5CE2">
        <w:rPr>
          <w:rFonts w:ascii="Times New Roman" w:hAnsi="Times New Roman"/>
          <w:i/>
          <w:sz w:val="24"/>
          <w:szCs w:val="24"/>
        </w:rPr>
        <w:t>Instituto de Economía y Finanzas-Facultad de Ciencias Económicas</w:t>
      </w:r>
    </w:p>
    <w:p w14:paraId="265CC1E0" w14:textId="77777777" w:rsidR="001E5CE2" w:rsidRPr="001E5CE2" w:rsidRDefault="001E5CE2" w:rsidP="001E5CE2">
      <w:pPr>
        <w:pStyle w:val="Textonotapie"/>
        <w:spacing w:after="0" w:line="360" w:lineRule="auto"/>
        <w:jc w:val="center"/>
        <w:rPr>
          <w:rFonts w:ascii="Times New Roman" w:hAnsi="Times New Roman"/>
          <w:i/>
          <w:sz w:val="24"/>
          <w:szCs w:val="24"/>
        </w:rPr>
      </w:pPr>
      <w:r w:rsidRPr="001E5CE2">
        <w:rPr>
          <w:rFonts w:ascii="Times New Roman" w:hAnsi="Times New Roman"/>
          <w:i/>
          <w:sz w:val="24"/>
          <w:szCs w:val="24"/>
        </w:rPr>
        <w:t>Universidad Nacional de Córdoba</w:t>
      </w:r>
    </w:p>
    <w:p w14:paraId="4F868358" w14:textId="77777777" w:rsidR="001E5CE2" w:rsidRDefault="001E5CE2" w:rsidP="001E5CE2">
      <w:pPr>
        <w:spacing w:after="0" w:line="360" w:lineRule="auto"/>
        <w:ind w:left="720"/>
        <w:jc w:val="both"/>
        <w:rPr>
          <w:rFonts w:ascii="Times New Roman" w:hAnsi="Times New Roman"/>
          <w:b/>
          <w:color w:val="222222"/>
          <w:sz w:val="24"/>
          <w:szCs w:val="24"/>
          <w:shd w:val="clear" w:color="auto" w:fill="FFFFFF"/>
          <w:lang w:val="es-ES"/>
        </w:rPr>
      </w:pPr>
    </w:p>
    <w:p w14:paraId="7669A00E" w14:textId="77777777" w:rsidR="00427DFB" w:rsidRPr="001E5CE2" w:rsidRDefault="00427DFB" w:rsidP="00EA1600">
      <w:pPr>
        <w:numPr>
          <w:ilvl w:val="0"/>
          <w:numId w:val="1"/>
        </w:numPr>
        <w:spacing w:after="0" w:line="360" w:lineRule="auto"/>
        <w:ind w:left="0" w:firstLine="0"/>
        <w:jc w:val="both"/>
        <w:rPr>
          <w:rFonts w:ascii="Times New Roman" w:hAnsi="Times New Roman"/>
          <w:b/>
          <w:color w:val="222222"/>
          <w:sz w:val="24"/>
          <w:szCs w:val="24"/>
          <w:shd w:val="clear" w:color="auto" w:fill="FFFFFF"/>
          <w:lang w:val="es-ES"/>
        </w:rPr>
      </w:pPr>
      <w:r w:rsidRPr="001E5CE2">
        <w:rPr>
          <w:rFonts w:ascii="Times New Roman" w:hAnsi="Times New Roman"/>
          <w:b/>
          <w:color w:val="222222"/>
          <w:sz w:val="24"/>
          <w:szCs w:val="24"/>
          <w:shd w:val="clear" w:color="auto" w:fill="FFFFFF"/>
          <w:lang w:val="es-ES"/>
        </w:rPr>
        <w:t>Introducción</w:t>
      </w:r>
    </w:p>
    <w:p w14:paraId="4D2E382A" w14:textId="4F2093FE" w:rsidR="008A1661" w:rsidRPr="001E5CE2" w:rsidRDefault="008A1661" w:rsidP="001E5CE2">
      <w:pPr>
        <w:spacing w:after="0" w:line="360" w:lineRule="auto"/>
        <w:jc w:val="both"/>
        <w:rPr>
          <w:rFonts w:ascii="Times New Roman" w:hAnsi="Times New Roman"/>
          <w:color w:val="222222"/>
          <w:sz w:val="24"/>
          <w:szCs w:val="24"/>
          <w:shd w:val="clear" w:color="auto" w:fill="FFFFFF"/>
          <w:lang w:val="es-ES"/>
        </w:rPr>
      </w:pPr>
      <w:r w:rsidRPr="001E5CE2">
        <w:rPr>
          <w:rFonts w:ascii="Times New Roman" w:hAnsi="Times New Roman"/>
          <w:color w:val="222222"/>
          <w:sz w:val="24"/>
          <w:szCs w:val="24"/>
          <w:shd w:val="clear" w:color="auto" w:fill="FFFFFF"/>
          <w:lang w:val="es-ES"/>
        </w:rPr>
        <w:t>La aparición de los biocombustibles, como aplicación alternativa a la producción agrícola, ha llevado a la competencia por el uso de</w:t>
      </w:r>
      <w:r w:rsidR="008330E0">
        <w:rPr>
          <w:rFonts w:ascii="Times New Roman" w:hAnsi="Times New Roman"/>
          <w:color w:val="222222"/>
          <w:sz w:val="24"/>
          <w:szCs w:val="24"/>
          <w:shd w:val="clear" w:color="auto" w:fill="FFFFFF"/>
          <w:lang w:val="es-ES"/>
        </w:rPr>
        <w:t xml:space="preserve"> la tierra</w:t>
      </w:r>
      <w:r w:rsidRPr="001E5CE2">
        <w:rPr>
          <w:rFonts w:ascii="Times New Roman" w:hAnsi="Times New Roman"/>
          <w:color w:val="222222"/>
          <w:sz w:val="24"/>
          <w:szCs w:val="24"/>
          <w:shd w:val="clear" w:color="auto" w:fill="FFFFFF"/>
          <w:lang w:val="es-ES"/>
        </w:rPr>
        <w:t xml:space="preserve"> entre la producción de estos combustibles, </w:t>
      </w:r>
      <w:r w:rsidR="008330E0">
        <w:rPr>
          <w:rFonts w:ascii="Times New Roman" w:hAnsi="Times New Roman"/>
          <w:color w:val="222222"/>
          <w:sz w:val="24"/>
          <w:szCs w:val="24"/>
          <w:shd w:val="clear" w:color="auto" w:fill="FFFFFF"/>
          <w:lang w:val="es-ES"/>
        </w:rPr>
        <w:t xml:space="preserve">las </w:t>
      </w:r>
      <w:r w:rsidRPr="001E5CE2">
        <w:rPr>
          <w:rFonts w:ascii="Times New Roman" w:hAnsi="Times New Roman"/>
          <w:color w:val="222222"/>
          <w:sz w:val="24"/>
          <w:szCs w:val="24"/>
          <w:shd w:val="clear" w:color="auto" w:fill="FFFFFF"/>
          <w:lang w:val="es-ES"/>
        </w:rPr>
        <w:t xml:space="preserve">fibras, </w:t>
      </w:r>
      <w:r w:rsidR="008330E0">
        <w:rPr>
          <w:rFonts w:ascii="Times New Roman" w:hAnsi="Times New Roman"/>
          <w:color w:val="222222"/>
          <w:sz w:val="24"/>
          <w:szCs w:val="24"/>
          <w:shd w:val="clear" w:color="auto" w:fill="FFFFFF"/>
          <w:lang w:val="es-ES"/>
        </w:rPr>
        <w:t xml:space="preserve">los </w:t>
      </w:r>
      <w:r w:rsidRPr="001E5CE2">
        <w:rPr>
          <w:rFonts w:ascii="Times New Roman" w:hAnsi="Times New Roman"/>
          <w:color w:val="222222"/>
          <w:sz w:val="24"/>
          <w:szCs w:val="24"/>
          <w:shd w:val="clear" w:color="auto" w:fill="FFFFFF"/>
          <w:lang w:val="es-ES"/>
        </w:rPr>
        <w:t xml:space="preserve">alimentos y </w:t>
      </w:r>
      <w:r w:rsidR="008330E0">
        <w:rPr>
          <w:rFonts w:ascii="Times New Roman" w:hAnsi="Times New Roman"/>
          <w:color w:val="222222"/>
          <w:sz w:val="24"/>
          <w:szCs w:val="24"/>
          <w:shd w:val="clear" w:color="auto" w:fill="FFFFFF"/>
          <w:lang w:val="es-ES"/>
        </w:rPr>
        <w:t xml:space="preserve">las </w:t>
      </w:r>
      <w:r w:rsidRPr="001E5CE2">
        <w:rPr>
          <w:rFonts w:ascii="Times New Roman" w:hAnsi="Times New Roman"/>
          <w:color w:val="222222"/>
          <w:sz w:val="24"/>
          <w:szCs w:val="24"/>
          <w:shd w:val="clear" w:color="auto" w:fill="FFFFFF"/>
          <w:lang w:val="es-ES"/>
        </w:rPr>
        <w:t xml:space="preserve">materias primas para la cría de animales. </w:t>
      </w:r>
      <w:r w:rsidR="008330E0">
        <w:rPr>
          <w:rFonts w:ascii="Times New Roman" w:hAnsi="Times New Roman"/>
          <w:color w:val="222222"/>
          <w:sz w:val="24"/>
          <w:szCs w:val="24"/>
          <w:shd w:val="clear" w:color="auto" w:fill="FFFFFF"/>
          <w:lang w:val="es-ES"/>
        </w:rPr>
        <w:t>L</w:t>
      </w:r>
      <w:r w:rsidRPr="001E5CE2">
        <w:rPr>
          <w:rFonts w:ascii="Times New Roman" w:hAnsi="Times New Roman"/>
          <w:color w:val="222222"/>
          <w:sz w:val="24"/>
          <w:szCs w:val="24"/>
          <w:shd w:val="clear" w:color="auto" w:fill="FFFFFF"/>
          <w:lang w:val="es-ES"/>
        </w:rPr>
        <w:t xml:space="preserve">a </w:t>
      </w:r>
      <w:r w:rsidR="008330E0">
        <w:rPr>
          <w:rFonts w:ascii="Times New Roman" w:hAnsi="Times New Roman"/>
          <w:color w:val="222222"/>
          <w:sz w:val="24"/>
          <w:szCs w:val="24"/>
          <w:shd w:val="clear" w:color="auto" w:fill="FFFFFF"/>
          <w:lang w:val="es-ES"/>
        </w:rPr>
        <w:t xml:space="preserve">performance de la </w:t>
      </w:r>
      <w:r w:rsidRPr="001E5CE2">
        <w:rPr>
          <w:rFonts w:ascii="Times New Roman" w:hAnsi="Times New Roman"/>
          <w:color w:val="222222"/>
          <w:sz w:val="24"/>
          <w:szCs w:val="24"/>
          <w:shd w:val="clear" w:color="auto" w:fill="FFFFFF"/>
          <w:lang w:val="es-ES"/>
        </w:rPr>
        <w:t>industria de biocombustibles</w:t>
      </w:r>
      <w:r w:rsidR="008330E0">
        <w:rPr>
          <w:rFonts w:ascii="Times New Roman" w:hAnsi="Times New Roman"/>
          <w:color w:val="222222"/>
          <w:sz w:val="24"/>
          <w:szCs w:val="24"/>
          <w:shd w:val="clear" w:color="auto" w:fill="FFFFFF"/>
          <w:lang w:val="es-ES"/>
        </w:rPr>
        <w:t xml:space="preserve">, desde su inicio en la década anterior, </w:t>
      </w:r>
      <w:r w:rsidRPr="001E5CE2">
        <w:rPr>
          <w:rFonts w:ascii="Times New Roman" w:hAnsi="Times New Roman"/>
          <w:color w:val="222222"/>
          <w:sz w:val="24"/>
          <w:szCs w:val="24"/>
          <w:shd w:val="clear" w:color="auto" w:fill="FFFFFF"/>
          <w:lang w:val="es-ES"/>
        </w:rPr>
        <w:t xml:space="preserve">ha </w:t>
      </w:r>
      <w:r w:rsidR="00E92CB3">
        <w:rPr>
          <w:rFonts w:ascii="Times New Roman" w:hAnsi="Times New Roman"/>
          <w:color w:val="222222"/>
          <w:sz w:val="24"/>
          <w:szCs w:val="24"/>
          <w:shd w:val="clear" w:color="auto" w:fill="FFFFFF"/>
          <w:lang w:val="es-ES"/>
        </w:rPr>
        <w:t xml:space="preserve">respondido a cambiantes </w:t>
      </w:r>
      <w:r w:rsidRPr="001E5CE2">
        <w:rPr>
          <w:rFonts w:ascii="Times New Roman" w:hAnsi="Times New Roman"/>
          <w:color w:val="222222"/>
          <w:sz w:val="24"/>
          <w:szCs w:val="24"/>
          <w:shd w:val="clear" w:color="auto" w:fill="FFFFFF"/>
          <w:lang w:val="es-ES"/>
        </w:rPr>
        <w:t xml:space="preserve">políticas </w:t>
      </w:r>
      <w:r w:rsidR="00E92CB3">
        <w:rPr>
          <w:rFonts w:ascii="Times New Roman" w:hAnsi="Times New Roman"/>
          <w:color w:val="222222"/>
          <w:sz w:val="24"/>
          <w:szCs w:val="24"/>
          <w:shd w:val="clear" w:color="auto" w:fill="FFFFFF"/>
          <w:lang w:val="es-ES"/>
        </w:rPr>
        <w:t xml:space="preserve">internas </w:t>
      </w:r>
      <w:r w:rsidRPr="001E5CE2">
        <w:rPr>
          <w:rFonts w:ascii="Times New Roman" w:hAnsi="Times New Roman"/>
          <w:color w:val="222222"/>
          <w:sz w:val="24"/>
          <w:szCs w:val="24"/>
          <w:shd w:val="clear" w:color="auto" w:fill="FFFFFF"/>
          <w:lang w:val="es-ES"/>
        </w:rPr>
        <w:t>del país</w:t>
      </w:r>
      <w:r w:rsidR="00E92CB3">
        <w:rPr>
          <w:rFonts w:ascii="Times New Roman" w:hAnsi="Times New Roman"/>
          <w:color w:val="222222"/>
          <w:sz w:val="24"/>
          <w:szCs w:val="24"/>
          <w:shd w:val="clear" w:color="auto" w:fill="FFFFFF"/>
          <w:lang w:val="es-ES"/>
        </w:rPr>
        <w:t xml:space="preserve"> y de</w:t>
      </w:r>
      <w:r w:rsidRPr="001E5CE2">
        <w:rPr>
          <w:rFonts w:ascii="Times New Roman" w:hAnsi="Times New Roman"/>
          <w:color w:val="222222"/>
          <w:sz w:val="24"/>
          <w:szCs w:val="24"/>
          <w:shd w:val="clear" w:color="auto" w:fill="FFFFFF"/>
          <w:lang w:val="es-ES"/>
        </w:rPr>
        <w:t xml:space="preserve"> comercio exterior. </w:t>
      </w:r>
      <w:r w:rsidR="00E92CB3">
        <w:rPr>
          <w:rFonts w:ascii="Times New Roman" w:hAnsi="Times New Roman"/>
          <w:color w:val="222222"/>
          <w:sz w:val="24"/>
          <w:szCs w:val="24"/>
          <w:shd w:val="clear" w:color="auto" w:fill="FFFFFF"/>
          <w:lang w:val="es-ES"/>
        </w:rPr>
        <w:t>Su comportamiento mu</w:t>
      </w:r>
      <w:r w:rsidRPr="001E5CE2">
        <w:rPr>
          <w:rFonts w:ascii="Times New Roman" w:hAnsi="Times New Roman"/>
          <w:color w:val="222222"/>
          <w:sz w:val="24"/>
          <w:szCs w:val="24"/>
          <w:shd w:val="clear" w:color="auto" w:fill="FFFFFF"/>
          <w:lang w:val="es-ES"/>
        </w:rPr>
        <w:t>estra que la industria ha evolucionado acompañando esos altibajos.</w:t>
      </w:r>
    </w:p>
    <w:p w14:paraId="4980F59D" w14:textId="1078B28A" w:rsidR="00B268C6" w:rsidRPr="001E5CE2" w:rsidRDefault="00DC70AA" w:rsidP="001E5CE2">
      <w:pPr>
        <w:spacing w:after="0" w:line="360" w:lineRule="auto"/>
        <w:jc w:val="both"/>
        <w:rPr>
          <w:rFonts w:ascii="Times New Roman" w:hAnsi="Times New Roman"/>
          <w:sz w:val="24"/>
          <w:szCs w:val="24"/>
          <w:lang w:val="es-ES"/>
        </w:rPr>
      </w:pPr>
      <w:r>
        <w:rPr>
          <w:rFonts w:ascii="Times New Roman" w:hAnsi="Times New Roman"/>
          <w:color w:val="222222"/>
          <w:sz w:val="24"/>
          <w:szCs w:val="24"/>
          <w:shd w:val="clear" w:color="auto" w:fill="FFFFFF"/>
          <w:lang w:val="es-ES"/>
        </w:rPr>
        <w:t>Para estudiar la industria,</w:t>
      </w:r>
      <w:r w:rsidR="008A1661" w:rsidRPr="001E5CE2">
        <w:rPr>
          <w:rFonts w:ascii="Times New Roman" w:hAnsi="Times New Roman"/>
          <w:color w:val="222222"/>
          <w:sz w:val="24"/>
          <w:szCs w:val="24"/>
          <w:shd w:val="clear" w:color="auto" w:fill="FFFFFF"/>
          <w:lang w:val="es-ES"/>
        </w:rPr>
        <w:t xml:space="preserve"> se plantea como objetivo de este trabajo</w:t>
      </w:r>
      <w:r w:rsidR="00B268C6" w:rsidRPr="001E5CE2">
        <w:rPr>
          <w:rFonts w:ascii="Times New Roman" w:hAnsi="Times New Roman"/>
          <w:color w:val="222222"/>
          <w:sz w:val="24"/>
          <w:szCs w:val="24"/>
          <w:shd w:val="clear" w:color="auto" w:fill="FFFFFF"/>
          <w:lang w:val="es-ES"/>
        </w:rPr>
        <w:t xml:space="preserve"> analizar las evidencias </w:t>
      </w:r>
      <w:r w:rsidR="00E92CB3">
        <w:rPr>
          <w:rFonts w:ascii="Times New Roman" w:hAnsi="Times New Roman"/>
          <w:color w:val="222222"/>
          <w:sz w:val="24"/>
          <w:szCs w:val="24"/>
          <w:shd w:val="clear" w:color="auto" w:fill="FFFFFF"/>
          <w:lang w:val="es-ES"/>
        </w:rPr>
        <w:t>de</w:t>
      </w:r>
      <w:r w:rsidR="00B268C6" w:rsidRPr="001E5CE2">
        <w:rPr>
          <w:rFonts w:ascii="Times New Roman" w:hAnsi="Times New Roman"/>
          <w:color w:val="222222"/>
          <w:sz w:val="24"/>
          <w:szCs w:val="24"/>
          <w:shd w:val="clear" w:color="auto" w:fill="FFFFFF"/>
          <w:lang w:val="es-ES"/>
        </w:rPr>
        <w:t xml:space="preserve"> la cadena de valor de la industria de la soj</w:t>
      </w:r>
      <w:r>
        <w:rPr>
          <w:rFonts w:ascii="Times New Roman" w:hAnsi="Times New Roman"/>
          <w:color w:val="222222"/>
          <w:sz w:val="24"/>
          <w:szCs w:val="24"/>
          <w:shd w:val="clear" w:color="auto" w:fill="FFFFFF"/>
          <w:lang w:val="es-ES"/>
        </w:rPr>
        <w:t>a</w:t>
      </w:r>
      <w:r w:rsidR="00B268C6" w:rsidRPr="001E5CE2">
        <w:rPr>
          <w:rFonts w:ascii="Times New Roman" w:hAnsi="Times New Roman"/>
          <w:color w:val="222222"/>
          <w:sz w:val="24"/>
          <w:szCs w:val="24"/>
          <w:shd w:val="clear" w:color="auto" w:fill="FFFFFF"/>
          <w:lang w:val="es-ES"/>
        </w:rPr>
        <w:t xml:space="preserve">. </w:t>
      </w:r>
      <w:r w:rsidR="00E92CB3">
        <w:rPr>
          <w:rFonts w:ascii="Times New Roman" w:hAnsi="Times New Roman"/>
          <w:color w:val="222222"/>
          <w:sz w:val="24"/>
          <w:szCs w:val="24"/>
          <w:shd w:val="clear" w:color="auto" w:fill="FFFFFF"/>
          <w:lang w:val="es-ES"/>
        </w:rPr>
        <w:t>E</w:t>
      </w:r>
      <w:r w:rsidR="00B268C6" w:rsidRPr="001E5CE2">
        <w:rPr>
          <w:rFonts w:ascii="Times New Roman" w:hAnsi="Times New Roman"/>
          <w:color w:val="222222"/>
          <w:sz w:val="24"/>
          <w:szCs w:val="24"/>
          <w:shd w:val="clear" w:color="auto" w:fill="FFFFFF"/>
          <w:lang w:val="es-ES"/>
        </w:rPr>
        <w:t>l</w:t>
      </w:r>
      <w:r w:rsidR="00B268C6" w:rsidRPr="001E5CE2">
        <w:rPr>
          <w:rFonts w:ascii="Times New Roman" w:hAnsi="Times New Roman"/>
          <w:sz w:val="24"/>
          <w:szCs w:val="24"/>
          <w:lang w:val="es-ES"/>
        </w:rPr>
        <w:t xml:space="preserve"> impacto del </w:t>
      </w:r>
      <w:proofErr w:type="spellStart"/>
      <w:r w:rsidR="00B268C6" w:rsidRPr="001E5CE2">
        <w:rPr>
          <w:rFonts w:ascii="Times New Roman" w:hAnsi="Times New Roman"/>
          <w:sz w:val="24"/>
          <w:szCs w:val="24"/>
          <w:lang w:val="es-ES"/>
        </w:rPr>
        <w:t>Governance</w:t>
      </w:r>
      <w:proofErr w:type="spellEnd"/>
      <w:r w:rsidR="00B268C6" w:rsidRPr="001E5CE2">
        <w:rPr>
          <w:rFonts w:ascii="Times New Roman" w:hAnsi="Times New Roman"/>
          <w:sz w:val="24"/>
          <w:szCs w:val="24"/>
          <w:lang w:val="es-ES"/>
        </w:rPr>
        <w:t xml:space="preserve"> en </w:t>
      </w:r>
      <w:r w:rsidR="0018326C" w:rsidRPr="001E5CE2">
        <w:rPr>
          <w:rFonts w:ascii="Times New Roman" w:hAnsi="Times New Roman"/>
          <w:sz w:val="24"/>
          <w:szCs w:val="24"/>
          <w:lang w:val="es-ES"/>
        </w:rPr>
        <w:t>la cadena de soja,</w:t>
      </w:r>
      <w:r w:rsidR="00B32BA3" w:rsidRPr="001E5CE2">
        <w:rPr>
          <w:rFonts w:ascii="Times New Roman" w:hAnsi="Times New Roman"/>
          <w:sz w:val="24"/>
          <w:szCs w:val="24"/>
          <w:lang w:val="es-ES"/>
        </w:rPr>
        <w:t xml:space="preserve"> es decir las relaciones de poder dentro de la cadena y las instituciones que permiten ejercer y le dan forma</w:t>
      </w:r>
      <w:r w:rsidR="00E92CB3">
        <w:rPr>
          <w:rFonts w:ascii="Times New Roman" w:hAnsi="Times New Roman"/>
          <w:sz w:val="24"/>
          <w:szCs w:val="24"/>
          <w:lang w:val="es-ES"/>
        </w:rPr>
        <w:t>,</w:t>
      </w:r>
      <w:r w:rsidR="0018326C" w:rsidRPr="001E5CE2">
        <w:rPr>
          <w:rFonts w:ascii="Times New Roman" w:hAnsi="Times New Roman"/>
          <w:sz w:val="24"/>
          <w:szCs w:val="24"/>
          <w:lang w:val="es-ES"/>
        </w:rPr>
        <w:t xml:space="preserve"> ha mostrado nuevos desafíos a partir de los cambios del </w:t>
      </w:r>
      <w:r w:rsidR="00D24DFE" w:rsidRPr="001E5CE2">
        <w:rPr>
          <w:rFonts w:ascii="Times New Roman" w:hAnsi="Times New Roman"/>
          <w:sz w:val="24"/>
          <w:szCs w:val="24"/>
          <w:lang w:val="es-ES"/>
        </w:rPr>
        <w:t>contexto</w:t>
      </w:r>
      <w:r w:rsidR="0018326C" w:rsidRPr="001E5CE2">
        <w:rPr>
          <w:rFonts w:ascii="Times New Roman" w:hAnsi="Times New Roman"/>
          <w:sz w:val="24"/>
          <w:szCs w:val="24"/>
          <w:lang w:val="es-ES"/>
        </w:rPr>
        <w:t xml:space="preserve">. </w:t>
      </w:r>
      <w:r w:rsidR="00E92CB3">
        <w:rPr>
          <w:rFonts w:ascii="Times New Roman" w:hAnsi="Times New Roman"/>
          <w:sz w:val="24"/>
          <w:szCs w:val="24"/>
          <w:lang w:val="es-ES"/>
        </w:rPr>
        <w:t>L</w:t>
      </w:r>
      <w:r w:rsidR="0018326C" w:rsidRPr="001E5CE2">
        <w:rPr>
          <w:rFonts w:ascii="Times New Roman" w:hAnsi="Times New Roman"/>
          <w:sz w:val="24"/>
          <w:szCs w:val="24"/>
          <w:lang w:val="es-ES"/>
        </w:rPr>
        <w:t xml:space="preserve">a tendencia de </w:t>
      </w:r>
      <w:r w:rsidR="00E92CB3">
        <w:rPr>
          <w:rFonts w:ascii="Times New Roman" w:hAnsi="Times New Roman"/>
          <w:sz w:val="24"/>
          <w:szCs w:val="24"/>
          <w:lang w:val="es-ES"/>
        </w:rPr>
        <w:t xml:space="preserve">la baja de precios de </w:t>
      </w:r>
      <w:r w:rsidR="0018326C" w:rsidRPr="001E5CE2">
        <w:rPr>
          <w:rFonts w:ascii="Times New Roman" w:hAnsi="Times New Roman"/>
          <w:sz w:val="24"/>
          <w:szCs w:val="24"/>
          <w:lang w:val="es-ES"/>
        </w:rPr>
        <w:t xml:space="preserve">los últimos años y los cambios en los mercados internacionales, hacen necesarias </w:t>
      </w:r>
      <w:r w:rsidR="00E92CB3">
        <w:rPr>
          <w:rFonts w:ascii="Times New Roman" w:hAnsi="Times New Roman"/>
          <w:sz w:val="24"/>
          <w:szCs w:val="24"/>
          <w:lang w:val="es-ES"/>
        </w:rPr>
        <w:t>l</w:t>
      </w:r>
      <w:r w:rsidR="0018326C" w:rsidRPr="001E5CE2">
        <w:rPr>
          <w:rFonts w:ascii="Times New Roman" w:hAnsi="Times New Roman"/>
          <w:sz w:val="24"/>
          <w:szCs w:val="24"/>
          <w:lang w:val="es-ES"/>
        </w:rPr>
        <w:t xml:space="preserve">a aplicación de </w:t>
      </w:r>
      <w:r w:rsidR="0018326C" w:rsidRPr="001E5CE2">
        <w:rPr>
          <w:rFonts w:ascii="Times New Roman" w:hAnsi="Times New Roman"/>
          <w:color w:val="222222"/>
          <w:sz w:val="24"/>
          <w:szCs w:val="24"/>
          <w:shd w:val="clear" w:color="auto" w:fill="FFFFFF"/>
        </w:rPr>
        <w:t xml:space="preserve">medidas de política económica </w:t>
      </w:r>
      <w:r w:rsidR="00E92CB3">
        <w:rPr>
          <w:rFonts w:ascii="Times New Roman" w:hAnsi="Times New Roman"/>
          <w:color w:val="222222"/>
          <w:sz w:val="24"/>
          <w:szCs w:val="24"/>
          <w:shd w:val="clear" w:color="auto" w:fill="FFFFFF"/>
        </w:rPr>
        <w:t xml:space="preserve">para </w:t>
      </w:r>
      <w:r w:rsidR="0018326C" w:rsidRPr="001E5CE2">
        <w:rPr>
          <w:rFonts w:ascii="Times New Roman" w:hAnsi="Times New Roman"/>
          <w:color w:val="222222"/>
          <w:sz w:val="24"/>
          <w:szCs w:val="24"/>
          <w:shd w:val="clear" w:color="auto" w:fill="FFFFFF"/>
        </w:rPr>
        <w:t>el sector</w:t>
      </w:r>
      <w:r w:rsidR="00E92CB3">
        <w:rPr>
          <w:rFonts w:ascii="Times New Roman" w:hAnsi="Times New Roman"/>
          <w:color w:val="222222"/>
          <w:sz w:val="24"/>
          <w:szCs w:val="24"/>
          <w:shd w:val="clear" w:color="auto" w:fill="FFFFFF"/>
        </w:rPr>
        <w:t>,</w:t>
      </w:r>
      <w:r w:rsidR="0018326C" w:rsidRPr="001E5CE2">
        <w:rPr>
          <w:rFonts w:ascii="Times New Roman" w:hAnsi="Times New Roman"/>
          <w:color w:val="222222"/>
          <w:sz w:val="24"/>
          <w:szCs w:val="24"/>
          <w:shd w:val="clear" w:color="auto" w:fill="FFFFFF"/>
        </w:rPr>
        <w:t xml:space="preserve"> con el objetivo de incentivar el destino de los subproductos </w:t>
      </w:r>
      <w:r w:rsidR="00E92CB3">
        <w:rPr>
          <w:rFonts w:ascii="Times New Roman" w:hAnsi="Times New Roman"/>
          <w:color w:val="222222"/>
          <w:sz w:val="24"/>
          <w:szCs w:val="24"/>
          <w:shd w:val="clear" w:color="auto" w:fill="FFFFFF"/>
        </w:rPr>
        <w:t>hacia</w:t>
      </w:r>
      <w:r w:rsidR="0018326C" w:rsidRPr="001E5CE2">
        <w:rPr>
          <w:rFonts w:ascii="Times New Roman" w:hAnsi="Times New Roman"/>
          <w:color w:val="222222"/>
          <w:sz w:val="24"/>
          <w:szCs w:val="24"/>
          <w:shd w:val="clear" w:color="auto" w:fill="FFFFFF"/>
        </w:rPr>
        <w:t xml:space="preserve"> la exportación y </w:t>
      </w:r>
      <w:r w:rsidR="00E92CB3">
        <w:rPr>
          <w:rFonts w:ascii="Times New Roman" w:hAnsi="Times New Roman"/>
          <w:color w:val="222222"/>
          <w:sz w:val="24"/>
          <w:szCs w:val="24"/>
          <w:shd w:val="clear" w:color="auto" w:fill="FFFFFF"/>
        </w:rPr>
        <w:t>permitir</w:t>
      </w:r>
      <w:r w:rsidR="0018326C" w:rsidRPr="001E5CE2">
        <w:rPr>
          <w:rFonts w:ascii="Times New Roman" w:hAnsi="Times New Roman"/>
          <w:color w:val="222222"/>
          <w:sz w:val="24"/>
          <w:szCs w:val="24"/>
          <w:shd w:val="clear" w:color="auto" w:fill="FFFFFF"/>
        </w:rPr>
        <w:t xml:space="preserve"> el aumento del consumo interno de biodiesel</w:t>
      </w:r>
      <w:r w:rsidR="00E92CB3">
        <w:rPr>
          <w:rFonts w:ascii="Times New Roman" w:hAnsi="Times New Roman"/>
          <w:color w:val="222222"/>
          <w:sz w:val="24"/>
          <w:szCs w:val="24"/>
          <w:shd w:val="clear" w:color="auto" w:fill="FFFFFF"/>
        </w:rPr>
        <w:t xml:space="preserve"> -</w:t>
      </w:r>
      <w:r w:rsidR="0018326C" w:rsidRPr="001E5CE2">
        <w:rPr>
          <w:rFonts w:ascii="Times New Roman" w:hAnsi="Times New Roman"/>
          <w:color w:val="222222"/>
          <w:sz w:val="24"/>
          <w:szCs w:val="24"/>
          <w:shd w:val="clear" w:color="auto" w:fill="FFFFFF"/>
        </w:rPr>
        <w:t>a partir del aumento del corte</w:t>
      </w:r>
      <w:r w:rsidR="00E92CB3">
        <w:rPr>
          <w:rFonts w:ascii="Times New Roman" w:hAnsi="Times New Roman"/>
          <w:color w:val="222222"/>
          <w:sz w:val="24"/>
          <w:szCs w:val="24"/>
          <w:shd w:val="clear" w:color="auto" w:fill="FFFFFF"/>
        </w:rPr>
        <w:t>-</w:t>
      </w:r>
      <w:r w:rsidR="0018326C" w:rsidRPr="001E5CE2">
        <w:rPr>
          <w:rFonts w:ascii="Times New Roman" w:hAnsi="Times New Roman"/>
          <w:color w:val="222222"/>
          <w:sz w:val="24"/>
          <w:szCs w:val="24"/>
          <w:shd w:val="clear" w:color="auto" w:fill="FFFFFF"/>
        </w:rPr>
        <w:t xml:space="preserve">, de manera de generar incrementos en el valor en toda la cadena productiva. Este ajuste se deriva de la disminución de las exportaciones de biodiesel, que </w:t>
      </w:r>
      <w:r w:rsidR="00097CBB" w:rsidRPr="001E5CE2">
        <w:rPr>
          <w:rFonts w:ascii="Times New Roman" w:hAnsi="Times New Roman"/>
          <w:sz w:val="24"/>
          <w:szCs w:val="24"/>
          <w:lang w:val="es-ES"/>
        </w:rPr>
        <w:t xml:space="preserve">reduce </w:t>
      </w:r>
      <w:r w:rsidR="00E57BE0" w:rsidRPr="001E5CE2">
        <w:rPr>
          <w:rFonts w:ascii="Times New Roman" w:hAnsi="Times New Roman"/>
          <w:sz w:val="24"/>
          <w:szCs w:val="24"/>
          <w:lang w:val="es-ES"/>
        </w:rPr>
        <w:t>el empleo de su insumo</w:t>
      </w:r>
      <w:r w:rsidR="00E92CB3">
        <w:rPr>
          <w:rFonts w:ascii="Times New Roman" w:hAnsi="Times New Roman"/>
          <w:sz w:val="24"/>
          <w:szCs w:val="24"/>
          <w:lang w:val="es-ES"/>
        </w:rPr>
        <w:t xml:space="preserve"> -</w:t>
      </w:r>
      <w:r w:rsidR="00097CBB" w:rsidRPr="001E5CE2">
        <w:rPr>
          <w:rFonts w:ascii="Times New Roman" w:hAnsi="Times New Roman"/>
          <w:sz w:val="24"/>
          <w:szCs w:val="24"/>
          <w:lang w:val="es-ES"/>
        </w:rPr>
        <w:t>aceite de soja</w:t>
      </w:r>
      <w:r w:rsidR="00E92CB3">
        <w:rPr>
          <w:rFonts w:ascii="Times New Roman" w:hAnsi="Times New Roman"/>
          <w:sz w:val="24"/>
          <w:szCs w:val="24"/>
          <w:lang w:val="es-ES"/>
        </w:rPr>
        <w:t>-</w:t>
      </w:r>
      <w:r w:rsidR="00E57BE0" w:rsidRPr="001E5CE2">
        <w:rPr>
          <w:rFonts w:ascii="Times New Roman" w:hAnsi="Times New Roman"/>
          <w:sz w:val="24"/>
          <w:szCs w:val="24"/>
          <w:lang w:val="es-ES"/>
        </w:rPr>
        <w:t xml:space="preserve">. </w:t>
      </w:r>
      <w:r w:rsidR="00E92CB3">
        <w:rPr>
          <w:rFonts w:ascii="Times New Roman" w:hAnsi="Times New Roman"/>
          <w:sz w:val="24"/>
          <w:szCs w:val="24"/>
          <w:lang w:val="es-ES"/>
        </w:rPr>
        <w:t xml:space="preserve">A </w:t>
      </w:r>
      <w:r w:rsidR="00097CBB" w:rsidRPr="001E5CE2">
        <w:rPr>
          <w:rFonts w:ascii="Times New Roman" w:hAnsi="Times New Roman"/>
          <w:sz w:val="24"/>
          <w:szCs w:val="24"/>
          <w:lang w:val="es-ES"/>
        </w:rPr>
        <w:t xml:space="preserve">nivel mundial, </w:t>
      </w:r>
      <w:r w:rsidR="00E92CB3">
        <w:rPr>
          <w:rFonts w:ascii="Times New Roman" w:hAnsi="Times New Roman"/>
          <w:sz w:val="24"/>
          <w:szCs w:val="24"/>
          <w:lang w:val="es-ES"/>
        </w:rPr>
        <w:t xml:space="preserve">permitiría </w:t>
      </w:r>
      <w:r w:rsidR="00097CBB" w:rsidRPr="001E5CE2">
        <w:rPr>
          <w:rFonts w:ascii="Times New Roman" w:hAnsi="Times New Roman"/>
          <w:sz w:val="24"/>
          <w:szCs w:val="24"/>
          <w:lang w:val="es-ES"/>
        </w:rPr>
        <w:t>mejora</w:t>
      </w:r>
      <w:r w:rsidR="00EA1600">
        <w:rPr>
          <w:rFonts w:ascii="Times New Roman" w:hAnsi="Times New Roman"/>
          <w:sz w:val="24"/>
          <w:szCs w:val="24"/>
          <w:lang w:val="es-ES"/>
        </w:rPr>
        <w:t>s en</w:t>
      </w:r>
      <w:r w:rsidR="00097CBB" w:rsidRPr="001E5CE2">
        <w:rPr>
          <w:rFonts w:ascii="Times New Roman" w:hAnsi="Times New Roman"/>
          <w:sz w:val="24"/>
          <w:szCs w:val="24"/>
          <w:lang w:val="es-ES"/>
        </w:rPr>
        <w:t xml:space="preserve"> su precio</w:t>
      </w:r>
      <w:r w:rsidR="00EA1600">
        <w:rPr>
          <w:rFonts w:ascii="Times New Roman" w:hAnsi="Times New Roman"/>
          <w:sz w:val="24"/>
          <w:szCs w:val="24"/>
          <w:lang w:val="es-ES"/>
        </w:rPr>
        <w:t>,</w:t>
      </w:r>
      <w:r w:rsidR="00097CBB" w:rsidRPr="001E5CE2">
        <w:rPr>
          <w:rFonts w:ascii="Times New Roman" w:hAnsi="Times New Roman"/>
          <w:sz w:val="24"/>
          <w:szCs w:val="24"/>
          <w:lang w:val="es-ES"/>
        </w:rPr>
        <w:t xml:space="preserve"> </w:t>
      </w:r>
      <w:r w:rsidR="00E92CB3">
        <w:rPr>
          <w:rFonts w:ascii="Times New Roman" w:hAnsi="Times New Roman"/>
          <w:sz w:val="24"/>
          <w:szCs w:val="24"/>
          <w:lang w:val="es-ES"/>
        </w:rPr>
        <w:t>ya que</w:t>
      </w:r>
      <w:r w:rsidR="00267E6F" w:rsidRPr="001E5CE2">
        <w:rPr>
          <w:rFonts w:ascii="Times New Roman" w:hAnsi="Times New Roman"/>
          <w:sz w:val="24"/>
          <w:szCs w:val="24"/>
          <w:lang w:val="es-ES"/>
        </w:rPr>
        <w:t xml:space="preserve"> </w:t>
      </w:r>
      <w:r w:rsidR="00097CBB" w:rsidRPr="001E5CE2">
        <w:rPr>
          <w:rFonts w:ascii="Times New Roman" w:hAnsi="Times New Roman"/>
          <w:sz w:val="24"/>
          <w:szCs w:val="24"/>
          <w:lang w:val="es-ES"/>
        </w:rPr>
        <w:t>Argentina es el mayor exportador de</w:t>
      </w:r>
      <w:r w:rsidR="00EA1600">
        <w:rPr>
          <w:rFonts w:ascii="Times New Roman" w:hAnsi="Times New Roman"/>
          <w:sz w:val="24"/>
          <w:szCs w:val="24"/>
          <w:lang w:val="es-ES"/>
        </w:rPr>
        <w:t xml:space="preserve"> ese producto.</w:t>
      </w:r>
    </w:p>
    <w:p w14:paraId="735B7701" w14:textId="259440F0" w:rsidR="008A1661" w:rsidRPr="001E5CE2" w:rsidRDefault="00EA1600" w:rsidP="001E5CE2">
      <w:pPr>
        <w:spacing w:after="0" w:line="360" w:lineRule="auto"/>
        <w:jc w:val="both"/>
        <w:rPr>
          <w:rFonts w:ascii="Times New Roman" w:hAnsi="Times New Roman"/>
          <w:color w:val="222222"/>
          <w:sz w:val="24"/>
          <w:szCs w:val="24"/>
          <w:u w:val="single"/>
          <w:shd w:val="clear" w:color="auto" w:fill="FFFFFF"/>
        </w:rPr>
      </w:pPr>
      <w:r>
        <w:rPr>
          <w:rFonts w:ascii="Times New Roman" w:hAnsi="Times New Roman"/>
          <w:color w:val="222222"/>
          <w:sz w:val="24"/>
          <w:szCs w:val="24"/>
          <w:shd w:val="clear" w:color="auto" w:fill="FFFFFF"/>
          <w:lang w:val="es-ES"/>
        </w:rPr>
        <w:t>El análisis anterior, permitirá ensayar algunas</w:t>
      </w:r>
      <w:r w:rsidR="008A1661" w:rsidRPr="001E5CE2">
        <w:rPr>
          <w:rFonts w:ascii="Times New Roman" w:hAnsi="Times New Roman"/>
          <w:color w:val="222222"/>
          <w:sz w:val="24"/>
          <w:szCs w:val="24"/>
          <w:shd w:val="clear" w:color="auto" w:fill="FFFFFF"/>
          <w:lang w:val="es-ES"/>
        </w:rPr>
        <w:t xml:space="preserve"> recomendaciones de política</w:t>
      </w:r>
      <w:r>
        <w:rPr>
          <w:rFonts w:ascii="Times New Roman" w:hAnsi="Times New Roman"/>
          <w:color w:val="222222"/>
          <w:sz w:val="24"/>
          <w:szCs w:val="24"/>
          <w:shd w:val="clear" w:color="auto" w:fill="FFFFFF"/>
          <w:lang w:val="es-ES"/>
        </w:rPr>
        <w:t xml:space="preserve"> económica</w:t>
      </w:r>
      <w:r w:rsidR="008A1661" w:rsidRPr="001E5CE2">
        <w:rPr>
          <w:rFonts w:ascii="Times New Roman" w:hAnsi="Times New Roman"/>
          <w:color w:val="222222"/>
          <w:sz w:val="24"/>
          <w:szCs w:val="24"/>
          <w:shd w:val="clear" w:color="auto" w:fill="FFFFFF"/>
          <w:lang w:val="es-ES"/>
        </w:rPr>
        <w:t xml:space="preserve">, que </w:t>
      </w:r>
      <w:r>
        <w:rPr>
          <w:rFonts w:ascii="Times New Roman" w:hAnsi="Times New Roman"/>
          <w:color w:val="222222"/>
          <w:sz w:val="24"/>
          <w:szCs w:val="24"/>
          <w:shd w:val="clear" w:color="auto" w:fill="FFFFFF"/>
          <w:lang w:val="es-ES"/>
        </w:rPr>
        <w:t>determinen</w:t>
      </w:r>
      <w:r w:rsidR="008A1661" w:rsidRPr="001E5CE2">
        <w:rPr>
          <w:rFonts w:ascii="Times New Roman" w:hAnsi="Times New Roman"/>
          <w:color w:val="222222"/>
          <w:sz w:val="24"/>
          <w:szCs w:val="24"/>
          <w:shd w:val="clear" w:color="auto" w:fill="FFFFFF"/>
          <w:lang w:val="es-ES"/>
        </w:rPr>
        <w:t xml:space="preserve"> una tendencia definida </w:t>
      </w:r>
      <w:r>
        <w:rPr>
          <w:rFonts w:ascii="Times New Roman" w:hAnsi="Times New Roman"/>
          <w:color w:val="222222"/>
          <w:sz w:val="24"/>
          <w:szCs w:val="24"/>
          <w:shd w:val="clear" w:color="auto" w:fill="FFFFFF"/>
          <w:lang w:val="es-ES"/>
        </w:rPr>
        <w:t xml:space="preserve">para el sector y mayor </w:t>
      </w:r>
      <w:r w:rsidR="008A1661" w:rsidRPr="001E5CE2">
        <w:rPr>
          <w:rFonts w:ascii="Times New Roman" w:hAnsi="Times New Roman"/>
          <w:color w:val="222222"/>
          <w:sz w:val="24"/>
          <w:szCs w:val="24"/>
          <w:shd w:val="clear" w:color="auto" w:fill="FFFFFF"/>
          <w:lang w:val="es-ES"/>
        </w:rPr>
        <w:t>estabilidad en la evolución de la industria</w:t>
      </w:r>
      <w:r>
        <w:rPr>
          <w:rFonts w:ascii="Times New Roman" w:hAnsi="Times New Roman"/>
          <w:color w:val="222222"/>
          <w:sz w:val="24"/>
          <w:szCs w:val="24"/>
          <w:shd w:val="clear" w:color="auto" w:fill="FFFFFF"/>
          <w:lang w:val="es-ES"/>
        </w:rPr>
        <w:t xml:space="preserve"> con</w:t>
      </w:r>
      <w:r w:rsidR="00345E3C" w:rsidRPr="001E5CE2">
        <w:rPr>
          <w:rFonts w:ascii="Times New Roman" w:hAnsi="Times New Roman"/>
          <w:color w:val="222222"/>
          <w:sz w:val="24"/>
          <w:szCs w:val="24"/>
          <w:shd w:val="clear" w:color="auto" w:fill="FFFFFF"/>
          <w:lang w:val="es-ES"/>
        </w:rPr>
        <w:t xml:space="preserve"> mejoras en </w:t>
      </w:r>
      <w:r>
        <w:rPr>
          <w:rFonts w:ascii="Times New Roman" w:hAnsi="Times New Roman"/>
          <w:color w:val="222222"/>
          <w:sz w:val="24"/>
          <w:szCs w:val="24"/>
          <w:shd w:val="clear" w:color="auto" w:fill="FFFFFF"/>
          <w:lang w:val="es-ES"/>
        </w:rPr>
        <w:t xml:space="preserve">toda </w:t>
      </w:r>
      <w:r w:rsidR="00345E3C" w:rsidRPr="001E5CE2">
        <w:rPr>
          <w:rFonts w:ascii="Times New Roman" w:hAnsi="Times New Roman"/>
          <w:color w:val="222222"/>
          <w:sz w:val="24"/>
          <w:szCs w:val="24"/>
          <w:shd w:val="clear" w:color="auto" w:fill="FFFFFF"/>
          <w:lang w:val="es-ES"/>
        </w:rPr>
        <w:t>la cadena de valor</w:t>
      </w:r>
      <w:r w:rsidR="008A1661" w:rsidRPr="001E5CE2">
        <w:rPr>
          <w:rFonts w:ascii="Times New Roman" w:hAnsi="Times New Roman"/>
          <w:color w:val="222222"/>
          <w:sz w:val="24"/>
          <w:szCs w:val="24"/>
          <w:shd w:val="clear" w:color="auto" w:fill="FFFFFF"/>
          <w:lang w:val="es-ES"/>
        </w:rPr>
        <w:t xml:space="preserve">. </w:t>
      </w:r>
    </w:p>
    <w:p w14:paraId="16F1470B" w14:textId="77777777" w:rsidR="008A1661" w:rsidRPr="00EA1600" w:rsidRDefault="008A1661" w:rsidP="001E5CE2">
      <w:pPr>
        <w:spacing w:after="0" w:line="360" w:lineRule="auto"/>
        <w:ind w:left="720"/>
        <w:jc w:val="both"/>
        <w:rPr>
          <w:rFonts w:ascii="Times New Roman" w:hAnsi="Times New Roman"/>
          <w:color w:val="222222"/>
          <w:sz w:val="24"/>
          <w:szCs w:val="24"/>
          <w:u w:val="single"/>
          <w:shd w:val="clear" w:color="auto" w:fill="FFFFFF"/>
        </w:rPr>
      </w:pPr>
    </w:p>
    <w:p w14:paraId="413F3734" w14:textId="7B5927A6" w:rsidR="007B00F4" w:rsidRPr="00EA1600" w:rsidRDefault="00BB5D89" w:rsidP="001E5CE2">
      <w:pPr>
        <w:numPr>
          <w:ilvl w:val="0"/>
          <w:numId w:val="1"/>
        </w:numPr>
        <w:spacing w:after="0" w:line="360" w:lineRule="auto"/>
        <w:ind w:hanging="720"/>
        <w:jc w:val="both"/>
        <w:rPr>
          <w:rFonts w:ascii="Times New Roman" w:hAnsi="Times New Roman"/>
          <w:b/>
          <w:color w:val="222222"/>
          <w:sz w:val="24"/>
          <w:szCs w:val="24"/>
          <w:shd w:val="clear" w:color="auto" w:fill="FFFFFF"/>
        </w:rPr>
      </w:pPr>
      <w:r w:rsidRPr="00EA1600">
        <w:rPr>
          <w:rFonts w:ascii="Times New Roman" w:hAnsi="Times New Roman"/>
          <w:b/>
          <w:color w:val="222222"/>
          <w:sz w:val="24"/>
          <w:szCs w:val="24"/>
          <w:shd w:val="clear" w:color="auto" w:fill="FFFFFF"/>
        </w:rPr>
        <w:t>Marco teórico</w:t>
      </w:r>
      <w:r w:rsidR="001E1954">
        <w:rPr>
          <w:rFonts w:ascii="Times New Roman" w:hAnsi="Times New Roman"/>
          <w:b/>
          <w:color w:val="222222"/>
          <w:sz w:val="24"/>
          <w:szCs w:val="24"/>
          <w:shd w:val="clear" w:color="auto" w:fill="FFFFFF"/>
        </w:rPr>
        <w:t xml:space="preserve">: </w:t>
      </w:r>
      <w:proofErr w:type="spellStart"/>
      <w:r w:rsidR="007B00F4" w:rsidRPr="00EA1600">
        <w:rPr>
          <w:rFonts w:ascii="Times New Roman" w:hAnsi="Times New Roman"/>
          <w:b/>
          <w:color w:val="222222"/>
          <w:sz w:val="24"/>
          <w:szCs w:val="24"/>
          <w:shd w:val="clear" w:color="auto" w:fill="FFFFFF"/>
        </w:rPr>
        <w:t>Upgrading</w:t>
      </w:r>
      <w:proofErr w:type="spellEnd"/>
      <w:r w:rsidR="007B00F4" w:rsidRPr="00EA1600">
        <w:rPr>
          <w:rFonts w:ascii="Times New Roman" w:hAnsi="Times New Roman"/>
          <w:b/>
          <w:color w:val="222222"/>
          <w:sz w:val="24"/>
          <w:szCs w:val="24"/>
          <w:shd w:val="clear" w:color="auto" w:fill="FFFFFF"/>
        </w:rPr>
        <w:t xml:space="preserve"> y </w:t>
      </w:r>
      <w:proofErr w:type="spellStart"/>
      <w:r w:rsidR="00EA1600" w:rsidRPr="00EA1600">
        <w:rPr>
          <w:rFonts w:ascii="Times New Roman" w:hAnsi="Times New Roman"/>
          <w:b/>
          <w:color w:val="222222"/>
          <w:sz w:val="24"/>
          <w:szCs w:val="24"/>
          <w:shd w:val="clear" w:color="auto" w:fill="FFFFFF"/>
        </w:rPr>
        <w:t>G</w:t>
      </w:r>
      <w:r w:rsidR="007B00F4" w:rsidRPr="00EA1600">
        <w:rPr>
          <w:rFonts w:ascii="Times New Roman" w:hAnsi="Times New Roman"/>
          <w:b/>
          <w:color w:val="222222"/>
          <w:sz w:val="24"/>
          <w:szCs w:val="24"/>
          <w:shd w:val="clear" w:color="auto" w:fill="FFFFFF"/>
        </w:rPr>
        <w:t>overnance</w:t>
      </w:r>
      <w:proofErr w:type="spellEnd"/>
      <w:r w:rsidR="001C52DB" w:rsidRPr="00EA1600">
        <w:rPr>
          <w:rFonts w:ascii="Times New Roman" w:hAnsi="Times New Roman"/>
          <w:b/>
          <w:color w:val="222222"/>
          <w:sz w:val="24"/>
          <w:szCs w:val="24"/>
          <w:shd w:val="clear" w:color="auto" w:fill="FFFFFF"/>
        </w:rPr>
        <w:t xml:space="preserve"> en la cadena de la soja</w:t>
      </w:r>
    </w:p>
    <w:p w14:paraId="3135A74C" w14:textId="6BEE3639" w:rsidR="007B00F4" w:rsidRPr="001E5CE2" w:rsidRDefault="00FF6B26" w:rsidP="001E5CE2">
      <w:pPr>
        <w:spacing w:after="0" w:line="360" w:lineRule="auto"/>
        <w:jc w:val="both"/>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En </w:t>
      </w:r>
      <w:r w:rsidR="007B00F4" w:rsidRPr="001E5CE2">
        <w:rPr>
          <w:rFonts w:ascii="Times New Roman" w:hAnsi="Times New Roman"/>
          <w:color w:val="000000"/>
          <w:sz w:val="24"/>
          <w:szCs w:val="24"/>
          <w:lang w:val="es-ES_tradnl"/>
        </w:rPr>
        <w:t>el siglo XX</w:t>
      </w:r>
      <w:r>
        <w:rPr>
          <w:rFonts w:ascii="Times New Roman" w:hAnsi="Times New Roman"/>
          <w:color w:val="000000"/>
          <w:sz w:val="24"/>
          <w:szCs w:val="24"/>
          <w:lang w:val="es-ES_tradnl"/>
        </w:rPr>
        <w:t xml:space="preserve"> </w:t>
      </w:r>
      <w:r w:rsidR="007B00F4" w:rsidRPr="001E5CE2">
        <w:rPr>
          <w:rFonts w:ascii="Times New Roman" w:hAnsi="Times New Roman"/>
          <w:color w:val="000000"/>
          <w:sz w:val="24"/>
          <w:szCs w:val="24"/>
          <w:lang w:val="es-ES_tradnl"/>
        </w:rPr>
        <w:t>se comenzó a estudiar el fenómeno de los sistemas agroalimentarios y agroindustriales</w:t>
      </w:r>
      <w:r>
        <w:rPr>
          <w:rFonts w:ascii="Times New Roman" w:hAnsi="Times New Roman"/>
          <w:color w:val="000000"/>
          <w:sz w:val="24"/>
          <w:szCs w:val="24"/>
          <w:lang w:val="es-ES_tradnl"/>
        </w:rPr>
        <w:t>, apareciendo</w:t>
      </w:r>
      <w:r w:rsidR="007B00F4" w:rsidRPr="001E5CE2">
        <w:rPr>
          <w:rFonts w:ascii="Times New Roman" w:hAnsi="Times New Roman"/>
          <w:color w:val="000000"/>
          <w:sz w:val="24"/>
          <w:szCs w:val="24"/>
          <w:lang w:val="es-ES_tradnl"/>
        </w:rPr>
        <w:t xml:space="preserve"> acepciones precisas como el de las cadenas de valor, </w:t>
      </w:r>
      <w:proofErr w:type="spellStart"/>
      <w:r w:rsidR="007B00F4" w:rsidRPr="001E5CE2">
        <w:rPr>
          <w:rFonts w:ascii="Times New Roman" w:hAnsi="Times New Roman"/>
          <w:i/>
          <w:color w:val="000000"/>
          <w:sz w:val="24"/>
          <w:szCs w:val="24"/>
          <w:lang w:val="es-ES_tradnl"/>
        </w:rPr>
        <w:t>clusters</w:t>
      </w:r>
      <w:proofErr w:type="spellEnd"/>
      <w:r w:rsidR="007B00F4" w:rsidRPr="001E5CE2">
        <w:rPr>
          <w:rFonts w:ascii="Times New Roman" w:hAnsi="Times New Roman"/>
          <w:color w:val="000000"/>
          <w:sz w:val="24"/>
          <w:szCs w:val="24"/>
          <w:lang w:val="es-ES_tradnl"/>
        </w:rPr>
        <w:t xml:space="preserve"> y complejos agroindustriales para llegar a una expresión síntesis conocida como </w:t>
      </w:r>
      <w:proofErr w:type="spellStart"/>
      <w:r w:rsidR="007B00F4" w:rsidRPr="001E5CE2">
        <w:rPr>
          <w:rFonts w:ascii="Times New Roman" w:hAnsi="Times New Roman"/>
          <w:i/>
          <w:color w:val="000000"/>
          <w:sz w:val="24"/>
          <w:szCs w:val="24"/>
          <w:lang w:val="es-ES_tradnl"/>
        </w:rPr>
        <w:t>agribusiness</w:t>
      </w:r>
      <w:proofErr w:type="spellEnd"/>
      <w:r w:rsidR="007B00F4" w:rsidRPr="001E5CE2">
        <w:rPr>
          <w:rFonts w:ascii="Times New Roman" w:hAnsi="Times New Roman"/>
          <w:color w:val="000000"/>
          <w:sz w:val="24"/>
          <w:szCs w:val="24"/>
          <w:lang w:val="es-ES_tradnl"/>
        </w:rPr>
        <w:t>. Los principales organismos internacionales</w:t>
      </w:r>
      <w:r w:rsidR="000D1460">
        <w:rPr>
          <w:rFonts w:ascii="Times New Roman" w:hAnsi="Times New Roman"/>
          <w:color w:val="000000"/>
          <w:sz w:val="24"/>
          <w:szCs w:val="24"/>
          <w:lang w:val="es-ES_tradnl"/>
        </w:rPr>
        <w:t xml:space="preserve"> observaron</w:t>
      </w:r>
      <w:r w:rsidR="007B00F4" w:rsidRPr="001E5CE2">
        <w:rPr>
          <w:rFonts w:ascii="Times New Roman" w:hAnsi="Times New Roman"/>
          <w:color w:val="000000"/>
          <w:sz w:val="24"/>
          <w:szCs w:val="24"/>
          <w:lang w:val="es-ES_tradnl"/>
        </w:rPr>
        <w:t xml:space="preserve"> las relaciones técnicas y tecnológicas </w:t>
      </w:r>
      <w:r w:rsidR="007B00F4" w:rsidRPr="001E5CE2">
        <w:rPr>
          <w:rFonts w:ascii="Times New Roman" w:hAnsi="Times New Roman"/>
          <w:color w:val="000000"/>
          <w:sz w:val="24"/>
          <w:szCs w:val="24"/>
          <w:lang w:val="es-ES_tradnl"/>
        </w:rPr>
        <w:lastRenderedPageBreak/>
        <w:t xml:space="preserve">que unen a los productores primarios con los consumidores finales; </w:t>
      </w:r>
      <w:r w:rsidR="000D1460">
        <w:rPr>
          <w:rFonts w:ascii="Times New Roman" w:hAnsi="Times New Roman"/>
          <w:color w:val="000000"/>
          <w:sz w:val="24"/>
          <w:szCs w:val="24"/>
          <w:lang w:val="es-ES_tradnl"/>
        </w:rPr>
        <w:t>planteando</w:t>
      </w:r>
      <w:r w:rsidR="007B00F4" w:rsidRPr="001E5CE2">
        <w:rPr>
          <w:rFonts w:ascii="Times New Roman" w:hAnsi="Times New Roman"/>
          <w:color w:val="000000"/>
          <w:sz w:val="24"/>
          <w:szCs w:val="24"/>
          <w:lang w:val="es-ES_tradnl"/>
        </w:rPr>
        <w:t xml:space="preserve"> estudios para vincular los agentes de la pre-producción con aquellos dedicados al tratamiento de los residuos </w:t>
      </w:r>
      <w:proofErr w:type="spellStart"/>
      <w:r w:rsidR="007B00F4" w:rsidRPr="001E5CE2">
        <w:rPr>
          <w:rFonts w:ascii="Times New Roman" w:hAnsi="Times New Roman"/>
          <w:color w:val="000000"/>
          <w:sz w:val="24"/>
          <w:szCs w:val="24"/>
          <w:lang w:val="es-ES_tradnl"/>
        </w:rPr>
        <w:t>postconsumo</w:t>
      </w:r>
      <w:proofErr w:type="spellEnd"/>
      <w:r w:rsidR="007B00F4" w:rsidRPr="001E5CE2">
        <w:rPr>
          <w:rFonts w:ascii="Times New Roman" w:hAnsi="Times New Roman"/>
          <w:color w:val="000000"/>
          <w:sz w:val="24"/>
          <w:szCs w:val="24"/>
          <w:lang w:val="es-ES_tradnl"/>
        </w:rPr>
        <w:t xml:space="preserve">. </w:t>
      </w:r>
    </w:p>
    <w:p w14:paraId="725FED8A" w14:textId="5569AB2B" w:rsidR="007B00F4" w:rsidRPr="001E5CE2" w:rsidRDefault="007B00F4" w:rsidP="001E5CE2">
      <w:pPr>
        <w:spacing w:after="0" w:line="360" w:lineRule="auto"/>
        <w:jc w:val="both"/>
        <w:rPr>
          <w:rFonts w:ascii="Times New Roman" w:hAnsi="Times New Roman"/>
          <w:color w:val="000000"/>
          <w:sz w:val="24"/>
          <w:szCs w:val="24"/>
          <w:lang w:val="es-ES_tradnl"/>
        </w:rPr>
      </w:pPr>
      <w:r w:rsidRPr="001E5CE2">
        <w:rPr>
          <w:rFonts w:ascii="Times New Roman" w:hAnsi="Times New Roman"/>
          <w:color w:val="000000"/>
          <w:sz w:val="24"/>
          <w:szCs w:val="24"/>
          <w:lang w:val="es-ES_tradnl"/>
        </w:rPr>
        <w:t>S</w:t>
      </w:r>
      <w:r w:rsidR="002E4328" w:rsidRPr="001E5CE2">
        <w:rPr>
          <w:rFonts w:ascii="Times New Roman" w:hAnsi="Times New Roman"/>
          <w:color w:val="000000"/>
          <w:sz w:val="24"/>
          <w:szCs w:val="24"/>
          <w:lang w:val="es-ES_tradnl"/>
        </w:rPr>
        <w:t>i</w:t>
      </w:r>
      <w:r w:rsidRPr="001E5CE2">
        <w:rPr>
          <w:rFonts w:ascii="Times New Roman" w:hAnsi="Times New Roman"/>
          <w:color w:val="000000"/>
          <w:sz w:val="24"/>
          <w:szCs w:val="24"/>
          <w:lang w:val="es-ES_tradnl"/>
        </w:rPr>
        <w:t>guiendo a la FAO</w:t>
      </w:r>
      <w:r w:rsidR="00EA1600">
        <w:rPr>
          <w:rStyle w:val="Refdenotaalpie"/>
          <w:rFonts w:ascii="Times New Roman" w:hAnsi="Times New Roman"/>
          <w:color w:val="000000"/>
          <w:sz w:val="24"/>
          <w:szCs w:val="24"/>
          <w:lang w:val="es-ES_tradnl"/>
        </w:rPr>
        <w:footnoteReference w:id="1"/>
      </w:r>
      <w:r w:rsidRPr="001E5CE2">
        <w:rPr>
          <w:rFonts w:ascii="Times New Roman" w:hAnsi="Times New Roman"/>
          <w:color w:val="000000"/>
          <w:sz w:val="24"/>
          <w:szCs w:val="24"/>
          <w:lang w:val="es-ES_tradnl"/>
        </w:rPr>
        <w:t xml:space="preserve">, la competitividad debe ser analizada a lo largo de los sistemas agroalimentarios con una visión definida y multifuncional de la </w:t>
      </w:r>
      <w:r w:rsidR="00EA1600">
        <w:rPr>
          <w:rFonts w:ascii="Times New Roman" w:hAnsi="Times New Roman"/>
          <w:color w:val="000000"/>
          <w:sz w:val="24"/>
          <w:szCs w:val="24"/>
          <w:lang w:val="es-ES_tradnl"/>
        </w:rPr>
        <w:t xml:space="preserve">compleja </w:t>
      </w:r>
      <w:r w:rsidRPr="001E5CE2">
        <w:rPr>
          <w:rFonts w:ascii="Times New Roman" w:hAnsi="Times New Roman"/>
          <w:color w:val="000000"/>
          <w:sz w:val="24"/>
          <w:szCs w:val="24"/>
          <w:lang w:val="es-ES_tradnl"/>
        </w:rPr>
        <w:t>realidad de la agricultura actual. Mediante el enfoque sistémico se puede</w:t>
      </w:r>
      <w:r w:rsidR="0052304B" w:rsidRPr="001E5CE2">
        <w:rPr>
          <w:rFonts w:ascii="Times New Roman" w:hAnsi="Times New Roman"/>
          <w:color w:val="000000"/>
          <w:sz w:val="24"/>
          <w:szCs w:val="24"/>
          <w:lang w:val="es-ES_tradnl"/>
        </w:rPr>
        <w:t>n</w:t>
      </w:r>
      <w:r w:rsidRPr="001E5CE2">
        <w:rPr>
          <w:rFonts w:ascii="Times New Roman" w:hAnsi="Times New Roman"/>
          <w:color w:val="000000"/>
          <w:sz w:val="24"/>
          <w:szCs w:val="24"/>
          <w:lang w:val="es-ES_tradnl"/>
        </w:rPr>
        <w:t xml:space="preserve"> analizar los factores determinantes de la competitividad en las cadenas entre los agentes participantes, pero fundamentalmente proponer programas y políticas de desarrollo</w:t>
      </w:r>
      <w:r w:rsidR="00EA1600">
        <w:rPr>
          <w:rFonts w:ascii="Times New Roman" w:hAnsi="Times New Roman"/>
          <w:color w:val="000000"/>
          <w:sz w:val="24"/>
          <w:szCs w:val="24"/>
          <w:lang w:val="es-ES_tradnl"/>
        </w:rPr>
        <w:t xml:space="preserve"> </w:t>
      </w:r>
      <w:r w:rsidRPr="001E5CE2">
        <w:rPr>
          <w:rFonts w:ascii="Times New Roman" w:hAnsi="Times New Roman"/>
          <w:color w:val="000000"/>
          <w:sz w:val="24"/>
          <w:szCs w:val="24"/>
          <w:lang w:val="es-ES_tradnl"/>
        </w:rPr>
        <w:t xml:space="preserve">(Porter 1982). </w:t>
      </w:r>
      <w:r w:rsidR="00EA1600">
        <w:rPr>
          <w:rFonts w:ascii="Times New Roman" w:hAnsi="Times New Roman"/>
          <w:color w:val="000000"/>
          <w:sz w:val="24"/>
          <w:szCs w:val="24"/>
          <w:lang w:val="es-ES_tradnl"/>
        </w:rPr>
        <w:t>S</w:t>
      </w:r>
      <w:r w:rsidRPr="001E5CE2">
        <w:rPr>
          <w:rFonts w:ascii="Times New Roman" w:hAnsi="Times New Roman"/>
          <w:color w:val="000000"/>
          <w:sz w:val="24"/>
          <w:szCs w:val="24"/>
          <w:lang w:val="es-ES_tradnl"/>
        </w:rPr>
        <w:t xml:space="preserve">in embargo, </w:t>
      </w:r>
      <w:r w:rsidR="00EA1600">
        <w:rPr>
          <w:rFonts w:ascii="Times New Roman" w:hAnsi="Times New Roman"/>
          <w:color w:val="000000"/>
          <w:sz w:val="24"/>
          <w:szCs w:val="24"/>
          <w:lang w:val="es-ES_tradnl"/>
        </w:rPr>
        <w:t>l</w:t>
      </w:r>
      <w:r w:rsidR="00EA1600" w:rsidRPr="001E5CE2">
        <w:rPr>
          <w:rFonts w:ascii="Times New Roman" w:hAnsi="Times New Roman"/>
          <w:color w:val="000000"/>
          <w:sz w:val="24"/>
          <w:szCs w:val="24"/>
          <w:lang w:val="es-ES_tradnl"/>
        </w:rPr>
        <w:t xml:space="preserve">a competitividad </w:t>
      </w:r>
      <w:r w:rsidRPr="001E5CE2">
        <w:rPr>
          <w:rFonts w:ascii="Times New Roman" w:hAnsi="Times New Roman"/>
          <w:color w:val="000000"/>
          <w:sz w:val="24"/>
          <w:szCs w:val="24"/>
          <w:lang w:val="es-ES_tradnl"/>
        </w:rPr>
        <w:t>tiene</w:t>
      </w:r>
      <w:r w:rsidR="00EA1600">
        <w:rPr>
          <w:rFonts w:ascii="Times New Roman" w:hAnsi="Times New Roman"/>
          <w:color w:val="000000"/>
          <w:sz w:val="24"/>
          <w:szCs w:val="24"/>
          <w:lang w:val="es-ES_tradnl"/>
        </w:rPr>
        <w:t>,</w:t>
      </w:r>
      <w:r w:rsidRPr="001E5CE2">
        <w:rPr>
          <w:rFonts w:ascii="Times New Roman" w:hAnsi="Times New Roman"/>
          <w:color w:val="000000"/>
          <w:sz w:val="24"/>
          <w:szCs w:val="24"/>
          <w:lang w:val="es-ES_tradnl"/>
        </w:rPr>
        <w:t xml:space="preserve"> según </w:t>
      </w:r>
      <w:proofErr w:type="spellStart"/>
      <w:r w:rsidRPr="001E5CE2">
        <w:rPr>
          <w:rFonts w:ascii="Times New Roman" w:hAnsi="Times New Roman"/>
          <w:color w:val="000000"/>
          <w:sz w:val="24"/>
          <w:szCs w:val="24"/>
          <w:lang w:val="es-ES_tradnl"/>
        </w:rPr>
        <w:t>Obschatko</w:t>
      </w:r>
      <w:proofErr w:type="spellEnd"/>
      <w:r w:rsidRPr="001E5CE2">
        <w:rPr>
          <w:rFonts w:ascii="Times New Roman" w:hAnsi="Times New Roman"/>
          <w:color w:val="000000"/>
          <w:sz w:val="24"/>
          <w:szCs w:val="24"/>
          <w:lang w:val="es-ES_tradnl"/>
        </w:rPr>
        <w:t xml:space="preserve"> (1993)</w:t>
      </w:r>
      <w:r w:rsidR="00EA1600">
        <w:rPr>
          <w:rFonts w:ascii="Times New Roman" w:hAnsi="Times New Roman"/>
          <w:color w:val="000000"/>
          <w:sz w:val="24"/>
          <w:szCs w:val="24"/>
          <w:lang w:val="es-ES_tradnl"/>
        </w:rPr>
        <w:t>,</w:t>
      </w:r>
      <w:r w:rsidRPr="001E5CE2">
        <w:rPr>
          <w:rFonts w:ascii="Times New Roman" w:hAnsi="Times New Roman"/>
          <w:color w:val="000000"/>
          <w:sz w:val="24"/>
          <w:szCs w:val="24"/>
          <w:lang w:val="es-ES_tradnl"/>
        </w:rPr>
        <w:t xml:space="preserve"> varios enfoques: la competitividad revelada, donde lo que juega es la potencialidad en las exportaciones; la competitividad potencial </w:t>
      </w:r>
      <w:r w:rsidR="00EA1600">
        <w:rPr>
          <w:rFonts w:ascii="Times New Roman" w:hAnsi="Times New Roman"/>
          <w:color w:val="000000"/>
          <w:sz w:val="24"/>
          <w:szCs w:val="24"/>
          <w:lang w:val="es-ES_tradnl"/>
        </w:rPr>
        <w:t xml:space="preserve">que </w:t>
      </w:r>
      <w:r w:rsidRPr="001E5CE2">
        <w:rPr>
          <w:rFonts w:ascii="Times New Roman" w:hAnsi="Times New Roman"/>
          <w:color w:val="000000"/>
          <w:sz w:val="24"/>
          <w:szCs w:val="24"/>
          <w:lang w:val="es-ES_tradnl"/>
        </w:rPr>
        <w:t xml:space="preserve">consiste en la eficiencia y sus relaciones insumo-producto; y la competitividad sistémica que considera a los factores económicos en el mismo nivel que los sociales, políticos e institucionales. </w:t>
      </w:r>
    </w:p>
    <w:p w14:paraId="6528CCA7" w14:textId="00288C5E" w:rsidR="007B00F4" w:rsidRPr="001E5CE2" w:rsidRDefault="00D14E09"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t>En el análisis, e</w:t>
      </w:r>
      <w:r w:rsidR="002D0DA3">
        <w:rPr>
          <w:rFonts w:ascii="Times New Roman" w:hAnsi="Times New Roman"/>
          <w:color w:val="000000"/>
          <w:sz w:val="24"/>
          <w:szCs w:val="24"/>
        </w:rPr>
        <w:t xml:space="preserve">s importante el concepto de </w:t>
      </w:r>
      <w:r w:rsidR="007B00F4" w:rsidRPr="001E5CE2">
        <w:rPr>
          <w:rFonts w:ascii="Times New Roman" w:hAnsi="Times New Roman"/>
          <w:color w:val="000000"/>
          <w:sz w:val="24"/>
          <w:szCs w:val="24"/>
        </w:rPr>
        <w:t>valor agregado</w:t>
      </w:r>
      <w:r w:rsidR="002D0DA3">
        <w:rPr>
          <w:rFonts w:ascii="Times New Roman" w:hAnsi="Times New Roman"/>
          <w:color w:val="000000"/>
          <w:sz w:val="24"/>
          <w:szCs w:val="24"/>
        </w:rPr>
        <w:t>, como</w:t>
      </w:r>
      <w:r w:rsidR="007B00F4" w:rsidRPr="001E5CE2">
        <w:rPr>
          <w:rFonts w:ascii="Times New Roman" w:hAnsi="Times New Roman"/>
          <w:color w:val="000000"/>
          <w:sz w:val="24"/>
          <w:szCs w:val="24"/>
        </w:rPr>
        <w:t xml:space="preserve"> incremento en el valor económico que se incorpora a un bien (ya sea materia prima o bien intermedio) en las diferentes etapas del proceso productivo hasta su conversión al consumo. Al observar cómo se distribuye ese valor a lo largo de la cadena y quiénes se lo apropian, se pueden definir cadenas según los nodos de concentración de poder: Cadenas Impulsadas por Compradores (CIC) y Cadenas Impulsadas por Productores (CIP) (</w:t>
      </w:r>
      <w:proofErr w:type="spellStart"/>
      <w:r w:rsidR="007B00F4" w:rsidRPr="001E5CE2">
        <w:rPr>
          <w:rFonts w:ascii="Times New Roman" w:hAnsi="Times New Roman"/>
          <w:color w:val="000000"/>
          <w:sz w:val="24"/>
          <w:szCs w:val="24"/>
        </w:rPr>
        <w:t>Gereffi</w:t>
      </w:r>
      <w:proofErr w:type="spellEnd"/>
      <w:r w:rsidR="007B00F4" w:rsidRPr="001E5CE2">
        <w:rPr>
          <w:rFonts w:ascii="Times New Roman" w:hAnsi="Times New Roman"/>
          <w:color w:val="000000"/>
          <w:sz w:val="24"/>
          <w:szCs w:val="24"/>
        </w:rPr>
        <w:t>, 1999).</w:t>
      </w:r>
    </w:p>
    <w:p w14:paraId="5ABAAB60" w14:textId="4E6CA560" w:rsidR="007B00F4" w:rsidRPr="001E5CE2" w:rsidRDefault="007B00F4" w:rsidP="002D0DA3">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Un concepto clave es el de </w:t>
      </w:r>
      <w:proofErr w:type="spellStart"/>
      <w:r w:rsidRPr="001E5CE2">
        <w:rPr>
          <w:rFonts w:ascii="Times New Roman" w:hAnsi="Times New Roman"/>
          <w:color w:val="000000"/>
          <w:sz w:val="24"/>
          <w:szCs w:val="24"/>
        </w:rPr>
        <w:t>upgrading</w:t>
      </w:r>
      <w:proofErr w:type="spellEnd"/>
      <w:r w:rsidRPr="001E5CE2">
        <w:rPr>
          <w:rFonts w:ascii="Times New Roman" w:hAnsi="Times New Roman"/>
          <w:color w:val="000000"/>
          <w:sz w:val="24"/>
          <w:szCs w:val="24"/>
        </w:rPr>
        <w:t>, la “</w:t>
      </w:r>
      <w:r w:rsidRPr="00D002BD">
        <w:rPr>
          <w:rFonts w:ascii="Times New Roman" w:hAnsi="Times New Roman"/>
          <w:i/>
          <w:color w:val="000000"/>
          <w:sz w:val="24"/>
          <w:szCs w:val="24"/>
        </w:rPr>
        <w:t>innovación que incrementa el valor agregado</w:t>
      </w:r>
      <w:r w:rsidRPr="001E5CE2">
        <w:rPr>
          <w:rFonts w:ascii="Times New Roman" w:hAnsi="Times New Roman"/>
          <w:color w:val="000000"/>
          <w:sz w:val="24"/>
          <w:szCs w:val="24"/>
        </w:rPr>
        <w:t xml:space="preserve">”. Siguiendo a Castellano y </w:t>
      </w:r>
      <w:proofErr w:type="spellStart"/>
      <w:r w:rsidRPr="001E5CE2">
        <w:rPr>
          <w:rFonts w:ascii="Times New Roman" w:hAnsi="Times New Roman"/>
          <w:color w:val="000000"/>
          <w:sz w:val="24"/>
          <w:szCs w:val="24"/>
        </w:rPr>
        <w:t>Goizueta</w:t>
      </w:r>
      <w:proofErr w:type="spellEnd"/>
      <w:r w:rsidRPr="001E5CE2">
        <w:rPr>
          <w:rFonts w:ascii="Times New Roman" w:hAnsi="Times New Roman"/>
          <w:color w:val="000000"/>
          <w:sz w:val="24"/>
          <w:szCs w:val="24"/>
        </w:rPr>
        <w:t xml:space="preserve"> (2011) “</w:t>
      </w:r>
      <w:r w:rsidRPr="00D002BD">
        <w:rPr>
          <w:rFonts w:ascii="Times New Roman" w:hAnsi="Times New Roman"/>
          <w:i/>
          <w:color w:val="000000"/>
          <w:sz w:val="24"/>
          <w:szCs w:val="24"/>
        </w:rPr>
        <w:t xml:space="preserve">el </w:t>
      </w:r>
      <w:proofErr w:type="spellStart"/>
      <w:r w:rsidRPr="00D002BD">
        <w:rPr>
          <w:rFonts w:ascii="Times New Roman" w:hAnsi="Times New Roman"/>
          <w:i/>
          <w:color w:val="000000"/>
          <w:sz w:val="24"/>
          <w:szCs w:val="24"/>
        </w:rPr>
        <w:t>upgrading</w:t>
      </w:r>
      <w:proofErr w:type="spellEnd"/>
      <w:r w:rsidRPr="00D002BD">
        <w:rPr>
          <w:rFonts w:ascii="Times New Roman" w:hAnsi="Times New Roman"/>
          <w:i/>
          <w:color w:val="000000"/>
          <w:sz w:val="24"/>
          <w:szCs w:val="24"/>
        </w:rPr>
        <w:t xml:space="preserve"> involucra el aprendizaje organizacional para mejorar la posición de las empresas o países en las redes de comercio</w:t>
      </w:r>
      <w:r w:rsidRPr="001E5CE2">
        <w:rPr>
          <w:rFonts w:ascii="Times New Roman" w:hAnsi="Times New Roman"/>
          <w:color w:val="000000"/>
          <w:sz w:val="24"/>
          <w:szCs w:val="24"/>
        </w:rPr>
        <w:t xml:space="preserve">”. Al respecto, </w:t>
      </w:r>
      <w:r w:rsidR="00D002BD">
        <w:rPr>
          <w:rFonts w:ascii="Times New Roman" w:hAnsi="Times New Roman"/>
          <w:color w:val="000000"/>
          <w:sz w:val="24"/>
          <w:szCs w:val="24"/>
        </w:rPr>
        <w:t>existen</w:t>
      </w:r>
      <w:r w:rsidRPr="001E5CE2">
        <w:rPr>
          <w:rFonts w:ascii="Times New Roman" w:hAnsi="Times New Roman"/>
          <w:color w:val="000000"/>
          <w:sz w:val="24"/>
          <w:szCs w:val="24"/>
        </w:rPr>
        <w:t xml:space="preserve"> cuatro tipos de </w:t>
      </w:r>
      <w:proofErr w:type="spellStart"/>
      <w:r w:rsidRPr="001E5CE2">
        <w:rPr>
          <w:rFonts w:ascii="Times New Roman" w:hAnsi="Times New Roman"/>
          <w:color w:val="000000"/>
          <w:sz w:val="24"/>
          <w:szCs w:val="24"/>
        </w:rPr>
        <w:t>upgrading</w:t>
      </w:r>
      <w:proofErr w:type="spellEnd"/>
      <w:r w:rsidRPr="001E5CE2">
        <w:rPr>
          <w:rFonts w:ascii="Times New Roman" w:hAnsi="Times New Roman"/>
          <w:color w:val="000000"/>
          <w:sz w:val="24"/>
          <w:szCs w:val="24"/>
        </w:rPr>
        <w:t>:</w:t>
      </w:r>
      <w:r w:rsidR="002D0DA3">
        <w:rPr>
          <w:rFonts w:ascii="Times New Roman" w:hAnsi="Times New Roman"/>
          <w:color w:val="000000"/>
          <w:sz w:val="24"/>
          <w:szCs w:val="24"/>
        </w:rPr>
        <w:t xml:space="preserve"> de los procesos, de los productos, funcional e intersectorial</w:t>
      </w:r>
      <w:r w:rsidR="00D14E09">
        <w:rPr>
          <w:rStyle w:val="Refdenotaalpie"/>
          <w:rFonts w:ascii="Times New Roman" w:hAnsi="Times New Roman"/>
          <w:color w:val="000000"/>
          <w:sz w:val="24"/>
          <w:szCs w:val="24"/>
        </w:rPr>
        <w:footnoteReference w:id="2"/>
      </w:r>
      <w:r w:rsidR="002D0DA3">
        <w:rPr>
          <w:rFonts w:ascii="Times New Roman" w:hAnsi="Times New Roman"/>
          <w:color w:val="000000"/>
          <w:sz w:val="24"/>
          <w:szCs w:val="24"/>
        </w:rPr>
        <w:t>.</w:t>
      </w:r>
    </w:p>
    <w:p w14:paraId="464D6275" w14:textId="1DCC64B7" w:rsidR="007B00F4" w:rsidRPr="001E5CE2" w:rsidRDefault="00D002BD"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t>Con</w:t>
      </w:r>
      <w:r w:rsidR="007B00F4" w:rsidRPr="001E5CE2">
        <w:rPr>
          <w:rFonts w:ascii="Times New Roman" w:hAnsi="Times New Roman"/>
          <w:color w:val="000000"/>
          <w:sz w:val="24"/>
          <w:szCs w:val="24"/>
        </w:rPr>
        <w:t xml:space="preserve"> relación a las estrategias de </w:t>
      </w:r>
      <w:proofErr w:type="spellStart"/>
      <w:r w:rsidR="007B00F4" w:rsidRPr="001E5CE2">
        <w:rPr>
          <w:rFonts w:ascii="Times New Roman" w:hAnsi="Times New Roman"/>
          <w:color w:val="000000"/>
          <w:sz w:val="24"/>
          <w:szCs w:val="24"/>
        </w:rPr>
        <w:t>upgrading</w:t>
      </w:r>
      <w:proofErr w:type="spellEnd"/>
      <w:r w:rsidR="007B00F4" w:rsidRPr="001E5CE2">
        <w:rPr>
          <w:rFonts w:ascii="Times New Roman" w:hAnsi="Times New Roman"/>
          <w:color w:val="000000"/>
          <w:sz w:val="24"/>
          <w:szCs w:val="24"/>
        </w:rPr>
        <w:t xml:space="preserve">, unas tienen por finalidad la captura de valor agregado, mientras que otras, la creación del mismo. Para los productores primarios, la estrategia implica avanzar en actividades diferentes dentro de la cadena, utilizando </w:t>
      </w:r>
      <w:r w:rsidR="007B00F4" w:rsidRPr="001E5CE2">
        <w:rPr>
          <w:rFonts w:ascii="Times New Roman" w:hAnsi="Times New Roman"/>
          <w:color w:val="000000"/>
          <w:sz w:val="24"/>
          <w:szCs w:val="24"/>
        </w:rPr>
        <w:lastRenderedPageBreak/>
        <w:t>tecnologías diferenciales</w:t>
      </w:r>
      <w:r w:rsidR="00585C06">
        <w:rPr>
          <w:rFonts w:ascii="Times New Roman" w:hAnsi="Times New Roman"/>
          <w:color w:val="000000"/>
          <w:sz w:val="24"/>
          <w:szCs w:val="24"/>
        </w:rPr>
        <w:t>; aunque</w:t>
      </w:r>
      <w:r w:rsidR="0052304B" w:rsidRPr="001E5CE2">
        <w:rPr>
          <w:rFonts w:ascii="Times New Roman" w:hAnsi="Times New Roman"/>
          <w:color w:val="000000"/>
          <w:sz w:val="24"/>
          <w:szCs w:val="24"/>
        </w:rPr>
        <w:t xml:space="preserve"> las evidencias indican que</w:t>
      </w:r>
      <w:r w:rsidR="007B00F4" w:rsidRPr="001E5CE2">
        <w:rPr>
          <w:rFonts w:ascii="Times New Roman" w:hAnsi="Times New Roman"/>
          <w:color w:val="000000"/>
          <w:sz w:val="24"/>
          <w:szCs w:val="24"/>
        </w:rPr>
        <w:t xml:space="preserve"> los intentos de </w:t>
      </w:r>
      <w:proofErr w:type="spellStart"/>
      <w:r w:rsidR="007B00F4" w:rsidRPr="001E5CE2">
        <w:rPr>
          <w:rFonts w:ascii="Times New Roman" w:hAnsi="Times New Roman"/>
          <w:color w:val="000000"/>
          <w:sz w:val="24"/>
          <w:szCs w:val="24"/>
        </w:rPr>
        <w:t>upgrading</w:t>
      </w:r>
      <w:proofErr w:type="spellEnd"/>
      <w:r w:rsidR="007B00F4" w:rsidRPr="001E5CE2">
        <w:rPr>
          <w:rFonts w:ascii="Times New Roman" w:hAnsi="Times New Roman"/>
          <w:color w:val="000000"/>
          <w:sz w:val="24"/>
          <w:szCs w:val="24"/>
        </w:rPr>
        <w:t xml:space="preserve"> en pequeñas y medianas empresas se han visto restringidos. </w:t>
      </w:r>
    </w:p>
    <w:p w14:paraId="21C70184" w14:textId="77777777" w:rsidR="007B00F4" w:rsidRPr="001E5CE2"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Por otro lado, es conocido, que en la cadena de valor de la soja se observan actores multinacionales (Aceitera General </w:t>
      </w:r>
      <w:proofErr w:type="spellStart"/>
      <w:r w:rsidRPr="001E5CE2">
        <w:rPr>
          <w:rFonts w:ascii="Times New Roman" w:hAnsi="Times New Roman"/>
          <w:color w:val="000000"/>
          <w:sz w:val="24"/>
          <w:szCs w:val="24"/>
        </w:rPr>
        <w:t>Deheza</w:t>
      </w:r>
      <w:proofErr w:type="spellEnd"/>
      <w:r w:rsidRPr="001E5CE2">
        <w:rPr>
          <w:rFonts w:ascii="Times New Roman" w:hAnsi="Times New Roman"/>
          <w:color w:val="000000"/>
          <w:sz w:val="24"/>
          <w:szCs w:val="24"/>
        </w:rPr>
        <w:t xml:space="preserve">, Bunge Argentina, </w:t>
      </w:r>
      <w:proofErr w:type="spellStart"/>
      <w:r w:rsidRPr="001E5CE2">
        <w:rPr>
          <w:rFonts w:ascii="Times New Roman" w:hAnsi="Times New Roman"/>
          <w:color w:val="000000"/>
          <w:sz w:val="24"/>
          <w:szCs w:val="24"/>
        </w:rPr>
        <w:t>Cargill</w:t>
      </w:r>
      <w:proofErr w:type="spellEnd"/>
      <w:r w:rsidRPr="001E5CE2">
        <w:rPr>
          <w:rFonts w:ascii="Times New Roman" w:hAnsi="Times New Roman"/>
          <w:color w:val="000000"/>
          <w:sz w:val="24"/>
          <w:szCs w:val="24"/>
        </w:rPr>
        <w:t xml:space="preserve">, Dreyfus, Molinos del Río de la Plata y </w:t>
      </w:r>
      <w:proofErr w:type="spellStart"/>
      <w:r w:rsidRPr="001E5CE2">
        <w:rPr>
          <w:rFonts w:ascii="Times New Roman" w:hAnsi="Times New Roman"/>
          <w:color w:val="000000"/>
          <w:sz w:val="24"/>
          <w:szCs w:val="24"/>
        </w:rPr>
        <w:t>Vicentín</w:t>
      </w:r>
      <w:proofErr w:type="spellEnd"/>
      <w:r w:rsidRPr="001E5CE2">
        <w:rPr>
          <w:rFonts w:ascii="Times New Roman" w:hAnsi="Times New Roman"/>
          <w:color w:val="000000"/>
          <w:sz w:val="24"/>
          <w:szCs w:val="24"/>
        </w:rPr>
        <w:t>), con una gobernanza impulsada por ellos</w:t>
      </w:r>
      <w:r w:rsidR="0052304B" w:rsidRPr="001E5CE2">
        <w:rPr>
          <w:rFonts w:ascii="Times New Roman" w:hAnsi="Times New Roman"/>
          <w:color w:val="000000"/>
          <w:sz w:val="24"/>
          <w:szCs w:val="24"/>
        </w:rPr>
        <w:t xml:space="preserve"> y un conjunto de múltiples</w:t>
      </w:r>
      <w:r w:rsidRPr="001E5CE2">
        <w:rPr>
          <w:rFonts w:ascii="Times New Roman" w:hAnsi="Times New Roman"/>
          <w:color w:val="000000"/>
          <w:sz w:val="24"/>
          <w:szCs w:val="24"/>
        </w:rPr>
        <w:t xml:space="preserve"> relaciones dentro de los eslabones que se constituyen en términos de mercado. Respecto a los </w:t>
      </w:r>
      <w:proofErr w:type="spellStart"/>
      <w:r w:rsidRPr="001E5CE2">
        <w:rPr>
          <w:rFonts w:ascii="Times New Roman" w:hAnsi="Times New Roman"/>
          <w:color w:val="000000"/>
          <w:sz w:val="24"/>
          <w:szCs w:val="24"/>
        </w:rPr>
        <w:t>upgrading</w:t>
      </w:r>
      <w:proofErr w:type="spellEnd"/>
      <w:r w:rsidRPr="001E5CE2">
        <w:rPr>
          <w:rFonts w:ascii="Times New Roman" w:hAnsi="Times New Roman"/>
          <w:color w:val="000000"/>
          <w:sz w:val="24"/>
          <w:szCs w:val="24"/>
        </w:rPr>
        <w:t xml:space="preserve"> de producto y de proceso, son instancias que se suceden de manera simultánea. </w:t>
      </w:r>
    </w:p>
    <w:p w14:paraId="6A91E4B7" w14:textId="454078C0" w:rsidR="007B00F4" w:rsidRPr="001E5CE2"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En este contexto, son escasos los intentos de </w:t>
      </w:r>
      <w:proofErr w:type="spellStart"/>
      <w:r w:rsidRPr="001E5CE2">
        <w:rPr>
          <w:rFonts w:ascii="Times New Roman" w:hAnsi="Times New Roman"/>
          <w:color w:val="000000"/>
          <w:sz w:val="24"/>
          <w:szCs w:val="24"/>
        </w:rPr>
        <w:t>upgrading</w:t>
      </w:r>
      <w:proofErr w:type="spellEnd"/>
      <w:r w:rsidRPr="001E5CE2">
        <w:rPr>
          <w:rFonts w:ascii="Times New Roman" w:hAnsi="Times New Roman"/>
          <w:color w:val="000000"/>
          <w:sz w:val="24"/>
          <w:szCs w:val="24"/>
        </w:rPr>
        <w:t xml:space="preserve"> de producto y de proceso, pero no ocurre lo mismo con el funcional. En esta tipología, “</w:t>
      </w:r>
      <w:r w:rsidRPr="00585C06">
        <w:rPr>
          <w:rFonts w:ascii="Times New Roman" w:hAnsi="Times New Roman"/>
          <w:i/>
          <w:color w:val="000000"/>
          <w:sz w:val="24"/>
          <w:szCs w:val="24"/>
        </w:rPr>
        <w:t>se tiene presente a la nueva actividad de procesamiento industrial de primera transformación en la que participan los productores</w:t>
      </w:r>
      <w:r w:rsidRPr="001E5CE2">
        <w:rPr>
          <w:rFonts w:ascii="Times New Roman" w:hAnsi="Times New Roman"/>
          <w:color w:val="000000"/>
          <w:sz w:val="24"/>
          <w:szCs w:val="24"/>
        </w:rPr>
        <w:t xml:space="preserve">” (Castellano, A.; Goizueta, M., 2011). Alcanzando el </w:t>
      </w:r>
      <w:proofErr w:type="spellStart"/>
      <w:r w:rsidRPr="001E5CE2">
        <w:rPr>
          <w:rFonts w:ascii="Times New Roman" w:hAnsi="Times New Roman"/>
          <w:color w:val="000000"/>
          <w:sz w:val="24"/>
          <w:szCs w:val="24"/>
        </w:rPr>
        <w:t>upgrading</w:t>
      </w:r>
      <w:proofErr w:type="spellEnd"/>
      <w:r w:rsidRPr="001E5CE2">
        <w:rPr>
          <w:rFonts w:ascii="Times New Roman" w:hAnsi="Times New Roman"/>
          <w:color w:val="000000"/>
          <w:sz w:val="24"/>
          <w:szCs w:val="24"/>
        </w:rPr>
        <w:t xml:space="preserve"> a través del </w:t>
      </w:r>
      <w:proofErr w:type="spellStart"/>
      <w:r w:rsidRPr="001E5CE2">
        <w:rPr>
          <w:rFonts w:ascii="Times New Roman" w:hAnsi="Times New Roman"/>
          <w:color w:val="000000"/>
          <w:sz w:val="24"/>
          <w:szCs w:val="24"/>
        </w:rPr>
        <w:t>expeller</w:t>
      </w:r>
      <w:proofErr w:type="spellEnd"/>
      <w:r w:rsidRPr="001E5CE2">
        <w:rPr>
          <w:rFonts w:ascii="Times New Roman" w:hAnsi="Times New Roman"/>
          <w:color w:val="000000"/>
          <w:sz w:val="24"/>
          <w:szCs w:val="24"/>
        </w:rPr>
        <w:t>, que redefine los límites de la cadena, al utilizar canales alternativos de comercialización.</w:t>
      </w:r>
    </w:p>
    <w:p w14:paraId="7A00306C" w14:textId="76841401" w:rsidR="007B00F4" w:rsidRPr="001E5CE2" w:rsidRDefault="00585C06"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t>La</w:t>
      </w:r>
      <w:r w:rsidR="007A07ED" w:rsidRPr="001E5CE2">
        <w:rPr>
          <w:rFonts w:ascii="Times New Roman" w:hAnsi="Times New Roman"/>
          <w:color w:val="000000"/>
          <w:sz w:val="24"/>
          <w:szCs w:val="24"/>
        </w:rPr>
        <w:t xml:space="preserve"> </w:t>
      </w:r>
      <w:r w:rsidR="007B00F4" w:rsidRPr="001E5CE2">
        <w:rPr>
          <w:rFonts w:ascii="Times New Roman" w:hAnsi="Times New Roman"/>
          <w:color w:val="000000"/>
          <w:sz w:val="24"/>
          <w:szCs w:val="24"/>
        </w:rPr>
        <w:t>participa</w:t>
      </w:r>
      <w:r w:rsidR="007A07ED" w:rsidRPr="001E5CE2">
        <w:rPr>
          <w:rFonts w:ascii="Times New Roman" w:hAnsi="Times New Roman"/>
          <w:color w:val="000000"/>
          <w:sz w:val="24"/>
          <w:szCs w:val="24"/>
        </w:rPr>
        <w:t>ción en</w:t>
      </w:r>
      <w:r w:rsidR="007B00F4" w:rsidRPr="001E5CE2">
        <w:rPr>
          <w:rFonts w:ascii="Times New Roman" w:hAnsi="Times New Roman"/>
          <w:color w:val="000000"/>
          <w:sz w:val="24"/>
          <w:szCs w:val="24"/>
        </w:rPr>
        <w:t xml:space="preserve"> una cadena global de valor, </w:t>
      </w:r>
      <w:r w:rsidR="007A07ED" w:rsidRPr="001E5CE2">
        <w:rPr>
          <w:rFonts w:ascii="Times New Roman" w:hAnsi="Times New Roman"/>
          <w:color w:val="000000"/>
          <w:sz w:val="24"/>
          <w:szCs w:val="24"/>
        </w:rPr>
        <w:t xml:space="preserve">tendrá efectos </w:t>
      </w:r>
      <w:r w:rsidR="007B00F4" w:rsidRPr="001E5CE2">
        <w:rPr>
          <w:rFonts w:ascii="Times New Roman" w:hAnsi="Times New Roman"/>
          <w:color w:val="000000"/>
          <w:sz w:val="24"/>
          <w:szCs w:val="24"/>
        </w:rPr>
        <w:t xml:space="preserve"> positivo</w:t>
      </w:r>
      <w:r w:rsidR="007A07ED" w:rsidRPr="001E5CE2">
        <w:rPr>
          <w:rFonts w:ascii="Times New Roman" w:hAnsi="Times New Roman"/>
          <w:color w:val="000000"/>
          <w:sz w:val="24"/>
          <w:szCs w:val="24"/>
        </w:rPr>
        <w:t>s</w:t>
      </w:r>
      <w:r>
        <w:rPr>
          <w:rFonts w:ascii="Times New Roman" w:hAnsi="Times New Roman"/>
          <w:color w:val="000000"/>
          <w:sz w:val="24"/>
          <w:szCs w:val="24"/>
        </w:rPr>
        <w:t>,</w:t>
      </w:r>
      <w:r w:rsidR="007B00F4" w:rsidRPr="001E5CE2">
        <w:rPr>
          <w:rFonts w:ascii="Times New Roman" w:hAnsi="Times New Roman"/>
          <w:color w:val="000000"/>
          <w:sz w:val="24"/>
          <w:szCs w:val="24"/>
        </w:rPr>
        <w:t xml:space="preserve"> si está acompañada por factores que lleven a la jerarquización (</w:t>
      </w:r>
      <w:proofErr w:type="spellStart"/>
      <w:r w:rsidR="007B00F4" w:rsidRPr="001E5CE2">
        <w:rPr>
          <w:rFonts w:ascii="Times New Roman" w:hAnsi="Times New Roman"/>
          <w:color w:val="000000"/>
          <w:sz w:val="24"/>
          <w:szCs w:val="24"/>
        </w:rPr>
        <w:t>upgrading</w:t>
      </w:r>
      <w:proofErr w:type="spellEnd"/>
      <w:r w:rsidR="007B00F4" w:rsidRPr="001E5CE2">
        <w:rPr>
          <w:rFonts w:ascii="Times New Roman" w:hAnsi="Times New Roman"/>
          <w:color w:val="000000"/>
          <w:sz w:val="24"/>
          <w:szCs w:val="24"/>
        </w:rPr>
        <w:t>) de las firmas locales, de manera que ellas puedan absorber los potenciales beneficios derivados de insertarse en dichas cadenas (</w:t>
      </w:r>
      <w:proofErr w:type="spellStart"/>
      <w:r w:rsidR="007B00F4" w:rsidRPr="001E5CE2">
        <w:rPr>
          <w:rFonts w:ascii="Times New Roman" w:hAnsi="Times New Roman"/>
          <w:color w:val="000000"/>
          <w:sz w:val="24"/>
          <w:szCs w:val="24"/>
        </w:rPr>
        <w:t>Kosakoff</w:t>
      </w:r>
      <w:proofErr w:type="spellEnd"/>
      <w:r w:rsidR="007B00F4" w:rsidRPr="001E5CE2">
        <w:rPr>
          <w:rFonts w:ascii="Times New Roman" w:hAnsi="Times New Roman"/>
          <w:color w:val="000000"/>
          <w:sz w:val="24"/>
          <w:szCs w:val="24"/>
        </w:rPr>
        <w:t>, B.; López A.; 2008).</w:t>
      </w:r>
    </w:p>
    <w:p w14:paraId="744E874F" w14:textId="4134DD51" w:rsidR="007B00F4" w:rsidRPr="001E5CE2"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En la industria </w:t>
      </w:r>
      <w:r w:rsidR="007A07ED" w:rsidRPr="001E5CE2">
        <w:rPr>
          <w:rFonts w:ascii="Times New Roman" w:hAnsi="Times New Roman"/>
          <w:color w:val="000000"/>
          <w:sz w:val="24"/>
          <w:szCs w:val="24"/>
        </w:rPr>
        <w:t>de la soja</w:t>
      </w:r>
      <w:r w:rsidR="00585C06">
        <w:rPr>
          <w:rFonts w:ascii="Times New Roman" w:hAnsi="Times New Roman"/>
          <w:color w:val="000000"/>
          <w:sz w:val="24"/>
          <w:szCs w:val="24"/>
        </w:rPr>
        <w:t xml:space="preserve"> </w:t>
      </w:r>
      <w:r w:rsidRPr="001E5CE2">
        <w:rPr>
          <w:rFonts w:ascii="Times New Roman" w:hAnsi="Times New Roman"/>
          <w:color w:val="000000"/>
          <w:sz w:val="24"/>
          <w:szCs w:val="24"/>
        </w:rPr>
        <w:t xml:space="preserve">el </w:t>
      </w:r>
      <w:proofErr w:type="spellStart"/>
      <w:r w:rsidRPr="001E5CE2">
        <w:rPr>
          <w:rFonts w:ascii="Times New Roman" w:hAnsi="Times New Roman"/>
          <w:color w:val="000000"/>
          <w:sz w:val="24"/>
          <w:szCs w:val="24"/>
        </w:rPr>
        <w:t>upgrading</w:t>
      </w:r>
      <w:proofErr w:type="spellEnd"/>
      <w:r w:rsidRPr="001E5CE2">
        <w:rPr>
          <w:rFonts w:ascii="Times New Roman" w:hAnsi="Times New Roman"/>
          <w:color w:val="000000"/>
          <w:sz w:val="24"/>
          <w:szCs w:val="24"/>
        </w:rPr>
        <w:t xml:space="preserve"> que se verifica es por procesos y por productos, aunque las iniciativas han cobrado recientemente </w:t>
      </w:r>
      <w:r w:rsidR="007A07ED" w:rsidRPr="001E5CE2">
        <w:rPr>
          <w:rFonts w:ascii="Times New Roman" w:hAnsi="Times New Roman"/>
          <w:color w:val="000000"/>
          <w:sz w:val="24"/>
          <w:szCs w:val="24"/>
        </w:rPr>
        <w:t>nuevos</w:t>
      </w:r>
      <w:r w:rsidRPr="001E5CE2">
        <w:rPr>
          <w:rFonts w:ascii="Times New Roman" w:hAnsi="Times New Roman"/>
          <w:color w:val="000000"/>
          <w:sz w:val="24"/>
          <w:szCs w:val="24"/>
        </w:rPr>
        <w:t xml:space="preserve"> impulso</w:t>
      </w:r>
      <w:r w:rsidR="007A07ED" w:rsidRPr="001E5CE2">
        <w:rPr>
          <w:rFonts w:ascii="Times New Roman" w:hAnsi="Times New Roman"/>
          <w:color w:val="000000"/>
          <w:sz w:val="24"/>
          <w:szCs w:val="24"/>
        </w:rPr>
        <w:t>s</w:t>
      </w:r>
      <w:r w:rsidRPr="001E5CE2">
        <w:rPr>
          <w:rFonts w:ascii="Times New Roman" w:hAnsi="Times New Roman"/>
          <w:color w:val="000000"/>
          <w:sz w:val="24"/>
          <w:szCs w:val="24"/>
        </w:rPr>
        <w:t>.</w:t>
      </w:r>
    </w:p>
    <w:p w14:paraId="23471AF7" w14:textId="7F22F311" w:rsidR="007B00F4" w:rsidRPr="001E5CE2" w:rsidRDefault="007A07ED"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Para </w:t>
      </w:r>
      <w:r w:rsidRPr="001E5CE2">
        <w:rPr>
          <w:rFonts w:ascii="Times New Roman" w:hAnsi="Times New Roman"/>
          <w:sz w:val="24"/>
          <w:szCs w:val="24"/>
        </w:rPr>
        <w:t xml:space="preserve">definir </w:t>
      </w:r>
      <w:proofErr w:type="spellStart"/>
      <w:r w:rsidRPr="001E5CE2">
        <w:rPr>
          <w:rFonts w:ascii="Times New Roman" w:hAnsi="Times New Roman"/>
          <w:sz w:val="24"/>
          <w:szCs w:val="24"/>
        </w:rPr>
        <w:t>governance</w:t>
      </w:r>
      <w:proofErr w:type="spellEnd"/>
      <w:r w:rsidRPr="001E5CE2">
        <w:rPr>
          <w:rFonts w:ascii="Times New Roman" w:hAnsi="Times New Roman"/>
          <w:sz w:val="24"/>
          <w:szCs w:val="24"/>
        </w:rPr>
        <w:t>,</w:t>
      </w:r>
      <w:r w:rsidRPr="001E5CE2">
        <w:rPr>
          <w:rFonts w:ascii="Times New Roman" w:hAnsi="Times New Roman"/>
          <w:color w:val="000000"/>
          <w:sz w:val="24"/>
          <w:szCs w:val="24"/>
        </w:rPr>
        <w:t xml:space="preserve"> </w:t>
      </w:r>
      <w:proofErr w:type="spellStart"/>
      <w:r w:rsidR="007B00F4" w:rsidRPr="001E5CE2">
        <w:rPr>
          <w:rFonts w:ascii="Times New Roman" w:hAnsi="Times New Roman"/>
          <w:sz w:val="24"/>
          <w:szCs w:val="24"/>
        </w:rPr>
        <w:t>Kaplinsky</w:t>
      </w:r>
      <w:proofErr w:type="spellEnd"/>
      <w:r w:rsidR="007B00F4" w:rsidRPr="001E5CE2">
        <w:rPr>
          <w:rFonts w:ascii="Times New Roman" w:hAnsi="Times New Roman"/>
          <w:sz w:val="24"/>
          <w:szCs w:val="24"/>
        </w:rPr>
        <w:t xml:space="preserve"> (2001) </w:t>
      </w:r>
      <w:r w:rsidRPr="001E5CE2">
        <w:rPr>
          <w:rFonts w:ascii="Times New Roman" w:hAnsi="Times New Roman"/>
          <w:sz w:val="24"/>
          <w:szCs w:val="24"/>
        </w:rPr>
        <w:t>indica que es necesario previamente aclarar que e</w:t>
      </w:r>
      <w:r w:rsidR="007B00F4" w:rsidRPr="001E5CE2">
        <w:rPr>
          <w:rFonts w:ascii="Times New Roman" w:hAnsi="Times New Roman"/>
          <w:color w:val="000000"/>
          <w:sz w:val="24"/>
          <w:szCs w:val="24"/>
        </w:rPr>
        <w:t>l poder que cualquier parte tiene en la cadena puede reflejarse en dos atributos contrarios</w:t>
      </w:r>
      <w:r w:rsidR="005C013A">
        <w:rPr>
          <w:rFonts w:ascii="Times New Roman" w:hAnsi="Times New Roman"/>
          <w:color w:val="000000"/>
          <w:sz w:val="24"/>
          <w:szCs w:val="24"/>
        </w:rPr>
        <w:t>,</w:t>
      </w:r>
      <w:r w:rsidR="007B00F4" w:rsidRPr="001E5CE2">
        <w:rPr>
          <w:rFonts w:ascii="Times New Roman" w:hAnsi="Times New Roman"/>
          <w:color w:val="000000"/>
          <w:sz w:val="24"/>
          <w:szCs w:val="24"/>
        </w:rPr>
        <w:t xml:space="preserve"> el poder de forzar a otros actores de la cadena a tomar determinadas acciones</w:t>
      </w:r>
      <w:r w:rsidR="005C013A">
        <w:rPr>
          <w:rFonts w:ascii="Times New Roman" w:hAnsi="Times New Roman"/>
          <w:color w:val="000000"/>
          <w:sz w:val="24"/>
          <w:szCs w:val="24"/>
        </w:rPr>
        <w:t xml:space="preserve"> y en</w:t>
      </w:r>
      <w:r w:rsidR="007B00F4" w:rsidRPr="001E5CE2">
        <w:rPr>
          <w:rFonts w:ascii="Times New Roman" w:hAnsi="Times New Roman"/>
          <w:color w:val="000000"/>
          <w:sz w:val="24"/>
          <w:szCs w:val="24"/>
        </w:rPr>
        <w:t xml:space="preserve"> no escuchar la demanda de otros.</w:t>
      </w:r>
      <w:r w:rsidRPr="001E5CE2">
        <w:rPr>
          <w:rFonts w:ascii="Times New Roman" w:hAnsi="Times New Roman"/>
          <w:color w:val="000000"/>
          <w:sz w:val="24"/>
          <w:szCs w:val="24"/>
        </w:rPr>
        <w:t xml:space="preserve"> </w:t>
      </w:r>
      <w:r w:rsidR="007B00F4" w:rsidRPr="001E5CE2">
        <w:rPr>
          <w:rFonts w:ascii="Times New Roman" w:hAnsi="Times New Roman"/>
          <w:color w:val="000000"/>
          <w:sz w:val="24"/>
          <w:szCs w:val="24"/>
        </w:rPr>
        <w:t>Cuanto más grande es la firma mayor es su influencia.</w:t>
      </w:r>
      <w:r w:rsidR="007B00F4" w:rsidRPr="001E5CE2">
        <w:rPr>
          <w:rFonts w:ascii="Times New Roman" w:hAnsi="Times New Roman"/>
          <w:sz w:val="24"/>
          <w:szCs w:val="24"/>
        </w:rPr>
        <w:t xml:space="preserve"> </w:t>
      </w:r>
      <w:r w:rsidR="00585C06">
        <w:rPr>
          <w:rFonts w:ascii="Times New Roman" w:hAnsi="Times New Roman"/>
          <w:sz w:val="24"/>
          <w:szCs w:val="24"/>
        </w:rPr>
        <w:t xml:space="preserve"> </w:t>
      </w:r>
      <w:r w:rsidR="0075430E" w:rsidRPr="001E5CE2">
        <w:rPr>
          <w:rFonts w:ascii="Times New Roman" w:hAnsi="Times New Roman"/>
          <w:color w:val="000000"/>
          <w:sz w:val="24"/>
          <w:szCs w:val="24"/>
        </w:rPr>
        <w:t>A partir de ello, s</w:t>
      </w:r>
      <w:r w:rsidR="007B00F4" w:rsidRPr="001E5CE2">
        <w:rPr>
          <w:rFonts w:ascii="Times New Roman" w:hAnsi="Times New Roman"/>
          <w:color w:val="000000"/>
          <w:sz w:val="24"/>
          <w:szCs w:val="24"/>
        </w:rPr>
        <w:t xml:space="preserve">e puede definir </w:t>
      </w:r>
      <w:proofErr w:type="spellStart"/>
      <w:r w:rsidR="007B00F4" w:rsidRPr="001E5CE2">
        <w:rPr>
          <w:rFonts w:ascii="Times New Roman" w:hAnsi="Times New Roman"/>
          <w:color w:val="000000"/>
          <w:sz w:val="24"/>
          <w:szCs w:val="24"/>
        </w:rPr>
        <w:t>governance</w:t>
      </w:r>
      <w:proofErr w:type="spellEnd"/>
      <w:r w:rsidR="007B00F4" w:rsidRPr="001E5CE2">
        <w:rPr>
          <w:rFonts w:ascii="Times New Roman" w:hAnsi="Times New Roman"/>
          <w:color w:val="000000"/>
          <w:sz w:val="24"/>
          <w:szCs w:val="24"/>
        </w:rPr>
        <w:t xml:space="preserve"> como </w:t>
      </w:r>
      <w:r w:rsidR="0075430E" w:rsidRPr="001E5CE2">
        <w:rPr>
          <w:rFonts w:ascii="Times New Roman" w:hAnsi="Times New Roman"/>
          <w:color w:val="000000"/>
          <w:sz w:val="24"/>
          <w:szCs w:val="24"/>
        </w:rPr>
        <w:t>“</w:t>
      </w:r>
      <w:r w:rsidR="007B00F4" w:rsidRPr="001E5CE2">
        <w:rPr>
          <w:rFonts w:ascii="Times New Roman" w:hAnsi="Times New Roman"/>
          <w:i/>
          <w:color w:val="000000"/>
          <w:sz w:val="24"/>
          <w:szCs w:val="24"/>
        </w:rPr>
        <w:t>las relaciones de poder dentro de la cadena y las instituciones que permiten ejercer y le dan forma al mismo</w:t>
      </w:r>
      <w:r w:rsidR="0075430E" w:rsidRPr="001E5CE2">
        <w:rPr>
          <w:rFonts w:ascii="Times New Roman" w:hAnsi="Times New Roman"/>
          <w:color w:val="000000"/>
          <w:sz w:val="24"/>
          <w:szCs w:val="24"/>
        </w:rPr>
        <w:t>”</w:t>
      </w:r>
      <w:r w:rsidR="007B00F4" w:rsidRPr="001E5CE2">
        <w:rPr>
          <w:rFonts w:ascii="Times New Roman" w:hAnsi="Times New Roman"/>
          <w:color w:val="000000"/>
          <w:sz w:val="24"/>
          <w:szCs w:val="24"/>
        </w:rPr>
        <w:t xml:space="preserve">. Este concepto </w:t>
      </w:r>
      <w:r w:rsidR="00585C06">
        <w:rPr>
          <w:rFonts w:ascii="Times New Roman" w:hAnsi="Times New Roman"/>
          <w:color w:val="000000"/>
          <w:sz w:val="24"/>
          <w:szCs w:val="24"/>
        </w:rPr>
        <w:t xml:space="preserve">se comprende </w:t>
      </w:r>
      <w:r w:rsidR="007B00F4" w:rsidRPr="001E5CE2">
        <w:rPr>
          <w:rFonts w:ascii="Times New Roman" w:hAnsi="Times New Roman"/>
          <w:color w:val="000000"/>
          <w:sz w:val="24"/>
          <w:szCs w:val="24"/>
        </w:rPr>
        <w:t>mejor</w:t>
      </w:r>
      <w:r w:rsidR="00585C06">
        <w:rPr>
          <w:rFonts w:ascii="Times New Roman" w:hAnsi="Times New Roman"/>
          <w:color w:val="000000"/>
          <w:sz w:val="24"/>
          <w:szCs w:val="24"/>
        </w:rPr>
        <w:t xml:space="preserve">, </w:t>
      </w:r>
      <w:r w:rsidR="007B00F4" w:rsidRPr="001E5CE2">
        <w:rPr>
          <w:rFonts w:ascii="Times New Roman" w:hAnsi="Times New Roman"/>
          <w:color w:val="000000"/>
          <w:sz w:val="24"/>
          <w:szCs w:val="24"/>
        </w:rPr>
        <w:t xml:space="preserve">si se piensa en diferentes funciones: </w:t>
      </w:r>
      <w:r w:rsidR="007B00F4" w:rsidRPr="001E5CE2">
        <w:rPr>
          <w:rFonts w:ascii="Times New Roman" w:hAnsi="Times New Roman"/>
          <w:i/>
          <w:color w:val="000000"/>
          <w:sz w:val="24"/>
          <w:szCs w:val="24"/>
        </w:rPr>
        <w:t>hacer reglas</w:t>
      </w:r>
      <w:r w:rsidR="007B00F4" w:rsidRPr="001E5CE2">
        <w:rPr>
          <w:rFonts w:ascii="Times New Roman" w:hAnsi="Times New Roman"/>
          <w:color w:val="000000"/>
          <w:sz w:val="24"/>
          <w:szCs w:val="24"/>
        </w:rPr>
        <w:t xml:space="preserve"> (</w:t>
      </w:r>
      <w:proofErr w:type="spellStart"/>
      <w:r w:rsidR="007B00F4" w:rsidRPr="001E5CE2">
        <w:rPr>
          <w:rFonts w:ascii="Times New Roman" w:hAnsi="Times New Roman"/>
          <w:color w:val="000000"/>
          <w:sz w:val="24"/>
          <w:szCs w:val="24"/>
        </w:rPr>
        <w:t>governance</w:t>
      </w:r>
      <w:proofErr w:type="spellEnd"/>
      <w:r w:rsidR="007B00F4" w:rsidRPr="001E5CE2">
        <w:rPr>
          <w:rFonts w:ascii="Times New Roman" w:hAnsi="Times New Roman"/>
          <w:color w:val="000000"/>
          <w:sz w:val="24"/>
          <w:szCs w:val="24"/>
        </w:rPr>
        <w:t xml:space="preserve"> legislativo), </w:t>
      </w:r>
      <w:r w:rsidR="007B00F4" w:rsidRPr="001E5CE2">
        <w:rPr>
          <w:rFonts w:ascii="Times New Roman" w:hAnsi="Times New Roman"/>
          <w:i/>
          <w:color w:val="000000"/>
          <w:sz w:val="24"/>
          <w:szCs w:val="24"/>
        </w:rPr>
        <w:t>implementar las reglas</w:t>
      </w:r>
      <w:r w:rsidR="007B00F4" w:rsidRPr="001E5CE2">
        <w:rPr>
          <w:rFonts w:ascii="Times New Roman" w:hAnsi="Times New Roman"/>
          <w:color w:val="000000"/>
          <w:sz w:val="24"/>
          <w:szCs w:val="24"/>
        </w:rPr>
        <w:t xml:space="preserve"> (</w:t>
      </w:r>
      <w:proofErr w:type="spellStart"/>
      <w:r w:rsidR="007B00F4" w:rsidRPr="001E5CE2">
        <w:rPr>
          <w:rFonts w:ascii="Times New Roman" w:hAnsi="Times New Roman"/>
          <w:color w:val="000000"/>
          <w:sz w:val="24"/>
          <w:szCs w:val="24"/>
        </w:rPr>
        <w:t>governance</w:t>
      </w:r>
      <w:proofErr w:type="spellEnd"/>
      <w:r w:rsidR="007B00F4" w:rsidRPr="001E5CE2">
        <w:rPr>
          <w:rFonts w:ascii="Times New Roman" w:hAnsi="Times New Roman"/>
          <w:color w:val="000000"/>
          <w:sz w:val="24"/>
          <w:szCs w:val="24"/>
        </w:rPr>
        <w:t xml:space="preserve"> ejecutivo) y </w:t>
      </w:r>
      <w:r w:rsidR="007B00F4" w:rsidRPr="001E5CE2">
        <w:rPr>
          <w:rFonts w:ascii="Times New Roman" w:hAnsi="Times New Roman"/>
          <w:i/>
          <w:color w:val="000000"/>
          <w:sz w:val="24"/>
          <w:szCs w:val="24"/>
        </w:rPr>
        <w:t>reforzar las reglas</w:t>
      </w:r>
      <w:r w:rsidR="007B00F4" w:rsidRPr="001E5CE2">
        <w:rPr>
          <w:rFonts w:ascii="Times New Roman" w:hAnsi="Times New Roman"/>
          <w:color w:val="000000"/>
          <w:sz w:val="24"/>
          <w:szCs w:val="24"/>
        </w:rPr>
        <w:t xml:space="preserve"> (</w:t>
      </w:r>
      <w:proofErr w:type="spellStart"/>
      <w:r w:rsidR="007B00F4" w:rsidRPr="001E5CE2">
        <w:rPr>
          <w:rFonts w:ascii="Times New Roman" w:hAnsi="Times New Roman"/>
          <w:color w:val="000000"/>
          <w:sz w:val="24"/>
          <w:szCs w:val="24"/>
        </w:rPr>
        <w:t>governance</w:t>
      </w:r>
      <w:proofErr w:type="spellEnd"/>
      <w:r w:rsidR="007B00F4" w:rsidRPr="001E5CE2">
        <w:rPr>
          <w:rFonts w:ascii="Times New Roman" w:hAnsi="Times New Roman"/>
          <w:color w:val="000000"/>
          <w:sz w:val="24"/>
          <w:szCs w:val="24"/>
        </w:rPr>
        <w:t xml:space="preserve"> judicial). </w:t>
      </w:r>
      <w:r w:rsidR="00585C06">
        <w:rPr>
          <w:rFonts w:ascii="Times New Roman" w:hAnsi="Times New Roman"/>
          <w:color w:val="000000"/>
          <w:sz w:val="24"/>
          <w:szCs w:val="24"/>
        </w:rPr>
        <w:t xml:space="preserve">Aparece </w:t>
      </w:r>
      <w:r w:rsidR="007B00F4" w:rsidRPr="001E5CE2">
        <w:rPr>
          <w:rFonts w:ascii="Times New Roman" w:hAnsi="Times New Roman"/>
          <w:color w:val="000000"/>
          <w:sz w:val="24"/>
          <w:szCs w:val="24"/>
        </w:rPr>
        <w:t>a través de las sanciones positivas y negativas que son usadas para reforzar las reglas</w:t>
      </w:r>
      <w:r w:rsidR="0075430E" w:rsidRPr="001E5CE2">
        <w:rPr>
          <w:rFonts w:ascii="Times New Roman" w:hAnsi="Times New Roman"/>
          <w:color w:val="000000"/>
          <w:sz w:val="24"/>
          <w:szCs w:val="24"/>
        </w:rPr>
        <w:t xml:space="preserve"> (</w:t>
      </w:r>
      <w:r w:rsidR="007B00F4" w:rsidRPr="001E5CE2">
        <w:rPr>
          <w:rFonts w:ascii="Times New Roman" w:hAnsi="Times New Roman"/>
          <w:color w:val="000000"/>
          <w:sz w:val="24"/>
          <w:szCs w:val="24"/>
        </w:rPr>
        <w:t>legitimidad del poder del que hace las reglas</w:t>
      </w:r>
      <w:r w:rsidR="0075430E" w:rsidRPr="001E5CE2">
        <w:rPr>
          <w:rFonts w:ascii="Times New Roman" w:hAnsi="Times New Roman"/>
          <w:color w:val="000000"/>
          <w:sz w:val="24"/>
          <w:szCs w:val="24"/>
        </w:rPr>
        <w:t>)</w:t>
      </w:r>
      <w:r w:rsidR="00585C06">
        <w:rPr>
          <w:rFonts w:ascii="Times New Roman" w:hAnsi="Times New Roman"/>
          <w:color w:val="000000"/>
          <w:sz w:val="24"/>
          <w:szCs w:val="24"/>
        </w:rPr>
        <w:t>; las cuales,</w:t>
      </w:r>
      <w:r w:rsidR="007B00F4" w:rsidRPr="001E5CE2">
        <w:rPr>
          <w:rFonts w:ascii="Times New Roman" w:hAnsi="Times New Roman"/>
          <w:color w:val="000000"/>
          <w:sz w:val="24"/>
          <w:szCs w:val="24"/>
        </w:rPr>
        <w:t xml:space="preserve"> pueden ser producto de relaciones entre diferentes partes de la cadena, o partes externas a la misma pero que influyen en ella.</w:t>
      </w:r>
    </w:p>
    <w:p w14:paraId="79E24141" w14:textId="6F74D384" w:rsidR="0075430E" w:rsidRPr="001E5CE2"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La importancia del concepto de “</w:t>
      </w:r>
      <w:proofErr w:type="spellStart"/>
      <w:r w:rsidRPr="001E5CE2">
        <w:rPr>
          <w:rFonts w:ascii="Times New Roman" w:hAnsi="Times New Roman"/>
          <w:color w:val="000000"/>
          <w:sz w:val="24"/>
          <w:szCs w:val="24"/>
        </w:rPr>
        <w:t>governance</w:t>
      </w:r>
      <w:proofErr w:type="spellEnd"/>
      <w:r w:rsidRPr="001E5CE2">
        <w:rPr>
          <w:rFonts w:ascii="Times New Roman" w:hAnsi="Times New Roman"/>
          <w:color w:val="000000"/>
          <w:sz w:val="24"/>
          <w:szCs w:val="24"/>
        </w:rPr>
        <w:t xml:space="preserve">” en un sector o industria radica </w:t>
      </w:r>
      <w:r w:rsidR="005C013A">
        <w:rPr>
          <w:rFonts w:ascii="Times New Roman" w:hAnsi="Times New Roman"/>
          <w:color w:val="000000"/>
          <w:sz w:val="24"/>
          <w:szCs w:val="24"/>
        </w:rPr>
        <w:t xml:space="preserve">en que </w:t>
      </w:r>
      <w:r w:rsidRPr="001E5CE2">
        <w:rPr>
          <w:rFonts w:ascii="Times New Roman" w:hAnsi="Times New Roman"/>
          <w:color w:val="000000"/>
          <w:sz w:val="24"/>
          <w:szCs w:val="24"/>
        </w:rPr>
        <w:t>las firmas individuales se benefician por ser parte de una industria competitiva</w:t>
      </w:r>
      <w:r w:rsidR="00585C06">
        <w:rPr>
          <w:rFonts w:ascii="Times New Roman" w:hAnsi="Times New Roman"/>
          <w:color w:val="000000"/>
          <w:sz w:val="24"/>
          <w:szCs w:val="24"/>
        </w:rPr>
        <w:t xml:space="preserve">, </w:t>
      </w:r>
      <w:r w:rsidRPr="001E5CE2">
        <w:rPr>
          <w:rFonts w:ascii="Times New Roman" w:hAnsi="Times New Roman"/>
          <w:color w:val="000000"/>
          <w:sz w:val="24"/>
          <w:szCs w:val="24"/>
        </w:rPr>
        <w:t xml:space="preserve">las firmas participan de una cadena de valor y la competencia global significa muchas veces tener que coordinar acciones y cooperar. </w:t>
      </w:r>
    </w:p>
    <w:p w14:paraId="0EA8CF78" w14:textId="77777777" w:rsidR="00647F8A" w:rsidRPr="001E5CE2" w:rsidRDefault="0075430E" w:rsidP="001E5CE2">
      <w:pPr>
        <w:numPr>
          <w:ilvl w:val="0"/>
          <w:numId w:val="1"/>
        </w:numPr>
        <w:tabs>
          <w:tab w:val="left" w:pos="0"/>
        </w:tabs>
        <w:spacing w:after="0" w:line="360" w:lineRule="auto"/>
        <w:ind w:left="0" w:firstLine="0"/>
        <w:jc w:val="both"/>
        <w:rPr>
          <w:rFonts w:ascii="Times New Roman" w:hAnsi="Times New Roman"/>
          <w:b/>
          <w:color w:val="222222"/>
          <w:sz w:val="24"/>
          <w:szCs w:val="24"/>
          <w:shd w:val="clear" w:color="auto" w:fill="FFFFFF"/>
        </w:rPr>
      </w:pPr>
      <w:r w:rsidRPr="001E5CE2">
        <w:rPr>
          <w:rFonts w:ascii="Times New Roman" w:hAnsi="Times New Roman"/>
          <w:b/>
          <w:color w:val="222222"/>
          <w:sz w:val="24"/>
          <w:szCs w:val="24"/>
          <w:shd w:val="clear" w:color="auto" w:fill="FFFFFF"/>
        </w:rPr>
        <w:lastRenderedPageBreak/>
        <w:t xml:space="preserve">La </w:t>
      </w:r>
      <w:r w:rsidR="00DF51AA">
        <w:rPr>
          <w:rFonts w:ascii="Times New Roman" w:hAnsi="Times New Roman"/>
          <w:b/>
          <w:color w:val="222222"/>
          <w:sz w:val="24"/>
          <w:szCs w:val="24"/>
          <w:shd w:val="clear" w:color="auto" w:fill="FFFFFF"/>
        </w:rPr>
        <w:t xml:space="preserve">cadena de valor de la soja </w:t>
      </w:r>
    </w:p>
    <w:p w14:paraId="17A39D2E" w14:textId="1B510A09" w:rsidR="007B00F4" w:rsidRPr="00DF51AA" w:rsidRDefault="007B00F4" w:rsidP="00DF51AA">
      <w:pPr>
        <w:tabs>
          <w:tab w:val="left" w:pos="0"/>
        </w:tabs>
        <w:spacing w:after="0" w:line="360" w:lineRule="auto"/>
        <w:jc w:val="both"/>
        <w:rPr>
          <w:rFonts w:ascii="Times New Roman" w:hAnsi="Times New Roman"/>
          <w:color w:val="000000"/>
          <w:sz w:val="24"/>
          <w:szCs w:val="24"/>
        </w:rPr>
      </w:pPr>
      <w:r w:rsidRPr="00DF51AA">
        <w:rPr>
          <w:rFonts w:ascii="Times New Roman" w:hAnsi="Times New Roman"/>
          <w:color w:val="000000"/>
          <w:sz w:val="24"/>
          <w:szCs w:val="24"/>
        </w:rPr>
        <w:t>En Argentina, el área sembrada con soja se ha incrementad</w:t>
      </w:r>
      <w:r w:rsidR="00B06991">
        <w:rPr>
          <w:rFonts w:ascii="Times New Roman" w:hAnsi="Times New Roman"/>
          <w:color w:val="000000"/>
          <w:sz w:val="24"/>
          <w:szCs w:val="24"/>
        </w:rPr>
        <w:t>o</w:t>
      </w:r>
      <w:r w:rsidRPr="00DF51AA">
        <w:rPr>
          <w:rFonts w:ascii="Times New Roman" w:hAnsi="Times New Roman"/>
          <w:color w:val="000000"/>
          <w:sz w:val="24"/>
          <w:szCs w:val="24"/>
        </w:rPr>
        <w:t xml:space="preserve"> de manera considerable, siendo el mismo de un 24,1% entre las campañas 2006/7</w:t>
      </w:r>
      <w:r w:rsidR="002112F6">
        <w:rPr>
          <w:rStyle w:val="Refdenotaalpie"/>
          <w:rFonts w:ascii="Times New Roman" w:hAnsi="Times New Roman"/>
          <w:color w:val="000000"/>
          <w:sz w:val="24"/>
          <w:szCs w:val="24"/>
        </w:rPr>
        <w:footnoteReference w:id="3"/>
      </w:r>
      <w:r w:rsidRPr="00DF51AA">
        <w:rPr>
          <w:rFonts w:ascii="Times New Roman" w:hAnsi="Times New Roman"/>
          <w:color w:val="000000"/>
          <w:sz w:val="24"/>
          <w:szCs w:val="24"/>
        </w:rPr>
        <w:t xml:space="preserve"> y 2012/13</w:t>
      </w:r>
      <w:r w:rsidR="00B06991">
        <w:rPr>
          <w:rFonts w:ascii="Times New Roman" w:hAnsi="Times New Roman"/>
          <w:color w:val="000000"/>
          <w:sz w:val="24"/>
          <w:szCs w:val="24"/>
        </w:rPr>
        <w:t>, m</w:t>
      </w:r>
      <w:r w:rsidRPr="00DF51AA">
        <w:rPr>
          <w:rFonts w:ascii="Times New Roman" w:hAnsi="Times New Roman"/>
          <w:color w:val="000000"/>
          <w:sz w:val="24"/>
          <w:szCs w:val="24"/>
        </w:rPr>
        <w:t>anteniéndose en valores relativamente estables entre las campañas 2012/13 y 201</w:t>
      </w:r>
      <w:r w:rsidR="002112F6">
        <w:rPr>
          <w:rFonts w:ascii="Times New Roman" w:hAnsi="Times New Roman"/>
          <w:color w:val="000000"/>
          <w:sz w:val="24"/>
          <w:szCs w:val="24"/>
        </w:rPr>
        <w:t>5</w:t>
      </w:r>
      <w:r w:rsidRPr="00DF51AA">
        <w:rPr>
          <w:rFonts w:ascii="Times New Roman" w:hAnsi="Times New Roman"/>
          <w:color w:val="000000"/>
          <w:sz w:val="24"/>
          <w:szCs w:val="24"/>
        </w:rPr>
        <w:t>/1</w:t>
      </w:r>
      <w:r w:rsidR="002112F6">
        <w:rPr>
          <w:rFonts w:ascii="Times New Roman" w:hAnsi="Times New Roman"/>
          <w:color w:val="000000"/>
          <w:sz w:val="24"/>
          <w:szCs w:val="24"/>
        </w:rPr>
        <w:t>6</w:t>
      </w:r>
      <w:r w:rsidR="00B06991">
        <w:rPr>
          <w:rFonts w:ascii="Times New Roman" w:hAnsi="Times New Roman"/>
          <w:color w:val="000000"/>
          <w:sz w:val="24"/>
          <w:szCs w:val="24"/>
        </w:rPr>
        <w:t xml:space="preserve"> y</w:t>
      </w:r>
      <w:r w:rsidR="002112F6">
        <w:rPr>
          <w:rFonts w:ascii="Times New Roman" w:hAnsi="Times New Roman"/>
          <w:color w:val="000000"/>
          <w:sz w:val="24"/>
          <w:szCs w:val="24"/>
        </w:rPr>
        <w:t xml:space="preserve"> sufriendo una caída </w:t>
      </w:r>
      <w:r w:rsidR="00B06991">
        <w:rPr>
          <w:rFonts w:ascii="Times New Roman" w:hAnsi="Times New Roman"/>
          <w:color w:val="000000"/>
          <w:sz w:val="24"/>
          <w:szCs w:val="24"/>
        </w:rPr>
        <w:t>en</w:t>
      </w:r>
      <w:r w:rsidR="002112F6">
        <w:rPr>
          <w:rFonts w:ascii="Times New Roman" w:hAnsi="Times New Roman"/>
          <w:color w:val="000000"/>
          <w:sz w:val="24"/>
          <w:szCs w:val="24"/>
        </w:rPr>
        <w:t xml:space="preserve"> </w:t>
      </w:r>
      <w:r w:rsidR="00B06991">
        <w:rPr>
          <w:rFonts w:ascii="Times New Roman" w:hAnsi="Times New Roman"/>
          <w:color w:val="000000"/>
          <w:sz w:val="24"/>
          <w:szCs w:val="24"/>
        </w:rPr>
        <w:t xml:space="preserve">la campaña </w:t>
      </w:r>
      <w:r w:rsidR="002112F6">
        <w:rPr>
          <w:rFonts w:ascii="Times New Roman" w:hAnsi="Times New Roman"/>
          <w:color w:val="000000"/>
          <w:sz w:val="24"/>
          <w:szCs w:val="24"/>
        </w:rPr>
        <w:t>2017/18 de</w:t>
      </w:r>
      <w:r w:rsidR="00B06991">
        <w:rPr>
          <w:rFonts w:ascii="Times New Roman" w:hAnsi="Times New Roman"/>
          <w:color w:val="000000"/>
          <w:sz w:val="24"/>
          <w:szCs w:val="24"/>
        </w:rPr>
        <w:t>l</w:t>
      </w:r>
      <w:r w:rsidR="002112F6">
        <w:rPr>
          <w:rFonts w:ascii="Times New Roman" w:hAnsi="Times New Roman"/>
          <w:color w:val="000000"/>
          <w:sz w:val="24"/>
          <w:szCs w:val="24"/>
        </w:rPr>
        <w:t xml:space="preserve"> 15,7% respecto a la </w:t>
      </w:r>
      <w:r w:rsidR="00B06991">
        <w:rPr>
          <w:rFonts w:ascii="Times New Roman" w:hAnsi="Times New Roman"/>
          <w:color w:val="000000"/>
          <w:sz w:val="24"/>
          <w:szCs w:val="24"/>
        </w:rPr>
        <w:t xml:space="preserve">anterior.  </w:t>
      </w:r>
    </w:p>
    <w:p w14:paraId="7AD1A647" w14:textId="4BB9D2AA" w:rsidR="007B00F4"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Por </w:t>
      </w:r>
      <w:r w:rsidR="00B06991">
        <w:rPr>
          <w:rFonts w:ascii="Times New Roman" w:hAnsi="Times New Roman"/>
          <w:color w:val="000000"/>
          <w:sz w:val="24"/>
          <w:szCs w:val="24"/>
        </w:rPr>
        <w:t>otra</w:t>
      </w:r>
      <w:r w:rsidRPr="001E5CE2">
        <w:rPr>
          <w:rFonts w:ascii="Times New Roman" w:hAnsi="Times New Roman"/>
          <w:color w:val="000000"/>
          <w:sz w:val="24"/>
          <w:szCs w:val="24"/>
        </w:rPr>
        <w:t xml:space="preserve"> parte, la producción, si bien ha sido fluctuante en el período </w:t>
      </w:r>
      <w:r w:rsidR="00B06991">
        <w:rPr>
          <w:rFonts w:ascii="Times New Roman" w:hAnsi="Times New Roman"/>
          <w:color w:val="000000"/>
          <w:sz w:val="24"/>
          <w:szCs w:val="24"/>
        </w:rPr>
        <w:t>analizado</w:t>
      </w:r>
      <w:r w:rsidRPr="001E5CE2">
        <w:rPr>
          <w:rFonts w:ascii="Times New Roman" w:hAnsi="Times New Roman"/>
          <w:color w:val="000000"/>
          <w:sz w:val="24"/>
          <w:szCs w:val="24"/>
        </w:rPr>
        <w:t xml:space="preserve">, presentó un incremento del </w:t>
      </w:r>
      <w:r w:rsidR="0057384A">
        <w:rPr>
          <w:rFonts w:ascii="Times New Roman" w:hAnsi="Times New Roman"/>
          <w:color w:val="000000"/>
          <w:sz w:val="24"/>
          <w:szCs w:val="24"/>
        </w:rPr>
        <w:t>23,8</w:t>
      </w:r>
      <w:r w:rsidRPr="001E5CE2">
        <w:rPr>
          <w:rFonts w:ascii="Times New Roman" w:hAnsi="Times New Roman"/>
          <w:color w:val="000000"/>
          <w:sz w:val="24"/>
          <w:szCs w:val="24"/>
        </w:rPr>
        <w:t>%</w:t>
      </w:r>
      <w:r w:rsidR="0057384A">
        <w:rPr>
          <w:rFonts w:ascii="Times New Roman" w:hAnsi="Times New Roman"/>
          <w:color w:val="000000"/>
          <w:sz w:val="24"/>
          <w:szCs w:val="24"/>
        </w:rPr>
        <w:t xml:space="preserve"> entre las campañas 2006/7 y 2015/16</w:t>
      </w:r>
      <w:r w:rsidR="00B06991">
        <w:rPr>
          <w:rFonts w:ascii="Times New Roman" w:hAnsi="Times New Roman"/>
          <w:color w:val="000000"/>
          <w:sz w:val="24"/>
          <w:szCs w:val="24"/>
        </w:rPr>
        <w:t>,</w:t>
      </w:r>
      <w:r w:rsidRPr="001E5CE2">
        <w:rPr>
          <w:rFonts w:ascii="Times New Roman" w:hAnsi="Times New Roman"/>
          <w:color w:val="000000"/>
          <w:sz w:val="24"/>
          <w:szCs w:val="24"/>
        </w:rPr>
        <w:t xml:space="preserve"> debido tanto al aumento </w:t>
      </w:r>
      <w:r w:rsidR="00B06991">
        <w:rPr>
          <w:rFonts w:ascii="Times New Roman" w:hAnsi="Times New Roman"/>
          <w:color w:val="000000"/>
          <w:sz w:val="24"/>
          <w:szCs w:val="24"/>
        </w:rPr>
        <w:t>del</w:t>
      </w:r>
      <w:r w:rsidRPr="001E5CE2">
        <w:rPr>
          <w:rFonts w:ascii="Times New Roman" w:hAnsi="Times New Roman"/>
          <w:color w:val="000000"/>
          <w:sz w:val="24"/>
          <w:szCs w:val="24"/>
        </w:rPr>
        <w:t xml:space="preserve"> área sembrada como a cambios climáticos y avances tecnológicos</w:t>
      </w:r>
      <w:r w:rsidR="00FC2ED5" w:rsidRPr="001E5CE2">
        <w:rPr>
          <w:rStyle w:val="Refdenotaalpie"/>
          <w:rFonts w:ascii="Times New Roman" w:hAnsi="Times New Roman"/>
          <w:color w:val="000000"/>
          <w:sz w:val="24"/>
          <w:szCs w:val="24"/>
        </w:rPr>
        <w:footnoteReference w:id="4"/>
      </w:r>
      <w:r w:rsidRPr="001E5CE2">
        <w:rPr>
          <w:rFonts w:ascii="Times New Roman" w:hAnsi="Times New Roman"/>
          <w:color w:val="000000"/>
          <w:sz w:val="24"/>
          <w:szCs w:val="24"/>
        </w:rPr>
        <w:t>.</w:t>
      </w:r>
      <w:r w:rsidR="0057384A">
        <w:rPr>
          <w:rFonts w:ascii="Times New Roman" w:hAnsi="Times New Roman"/>
          <w:color w:val="000000"/>
          <w:sz w:val="24"/>
          <w:szCs w:val="24"/>
        </w:rPr>
        <w:t xml:space="preserve"> A partir de la campaña 2016/17, se observa una disminución del 35,7% respecto a 2015/16.</w:t>
      </w:r>
    </w:p>
    <w:p w14:paraId="57E4F750" w14:textId="392A4D94" w:rsidR="00FC2ED5" w:rsidRPr="001E5CE2" w:rsidRDefault="0057384A"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t>Al analizar la evolución de las exportaciones</w:t>
      </w:r>
      <w:r w:rsidR="00B06991">
        <w:rPr>
          <w:rFonts w:ascii="Times New Roman" w:hAnsi="Times New Roman"/>
          <w:color w:val="000000"/>
          <w:sz w:val="24"/>
          <w:szCs w:val="24"/>
        </w:rPr>
        <w:t xml:space="preserve"> -en relación al</w:t>
      </w:r>
      <w:r w:rsidR="00FC2ED5" w:rsidRPr="001E5CE2">
        <w:rPr>
          <w:rFonts w:ascii="Times New Roman" w:hAnsi="Times New Roman"/>
          <w:color w:val="000000"/>
          <w:sz w:val="24"/>
          <w:szCs w:val="24"/>
        </w:rPr>
        <w:t xml:space="preserve"> volumen de producción obtenido en cada campaña</w:t>
      </w:r>
      <w:r w:rsidR="00B06991">
        <w:rPr>
          <w:rFonts w:ascii="Times New Roman" w:hAnsi="Times New Roman"/>
          <w:color w:val="000000"/>
          <w:sz w:val="24"/>
          <w:szCs w:val="24"/>
        </w:rPr>
        <w:t>-</w:t>
      </w:r>
      <w:r w:rsidR="00FC2ED5" w:rsidRPr="001E5CE2">
        <w:rPr>
          <w:rFonts w:ascii="Times New Roman" w:hAnsi="Times New Roman"/>
          <w:color w:val="000000"/>
          <w:sz w:val="24"/>
          <w:szCs w:val="24"/>
        </w:rPr>
        <w:t xml:space="preserve">, se puede observar una baja importante en el año 2012, repuntando al año siguiente. La </w:t>
      </w:r>
      <w:r w:rsidR="00B06991">
        <w:rPr>
          <w:rFonts w:ascii="Times New Roman" w:hAnsi="Times New Roman"/>
          <w:color w:val="000000"/>
          <w:sz w:val="24"/>
          <w:szCs w:val="24"/>
        </w:rPr>
        <w:t>caída del</w:t>
      </w:r>
      <w:r w:rsidR="00FC2ED5" w:rsidRPr="001E5CE2">
        <w:rPr>
          <w:rFonts w:ascii="Times New Roman" w:hAnsi="Times New Roman"/>
          <w:color w:val="000000"/>
          <w:sz w:val="24"/>
          <w:szCs w:val="24"/>
        </w:rPr>
        <w:t xml:space="preserve"> año 2016 se explica por una </w:t>
      </w:r>
      <w:r w:rsidR="00B06991">
        <w:rPr>
          <w:rFonts w:ascii="Times New Roman" w:hAnsi="Times New Roman"/>
          <w:color w:val="000000"/>
          <w:sz w:val="24"/>
          <w:szCs w:val="24"/>
        </w:rPr>
        <w:t xml:space="preserve">baja de envíos a China, </w:t>
      </w:r>
      <w:r w:rsidR="00FC2ED5" w:rsidRPr="001E5CE2">
        <w:rPr>
          <w:rFonts w:ascii="Times New Roman" w:hAnsi="Times New Roman"/>
          <w:color w:val="000000"/>
          <w:sz w:val="24"/>
          <w:szCs w:val="24"/>
        </w:rPr>
        <w:t xml:space="preserve">de 1,8 millones de </w:t>
      </w:r>
      <w:proofErr w:type="spellStart"/>
      <w:r w:rsidR="00FC2ED5" w:rsidRPr="001E5CE2">
        <w:rPr>
          <w:rFonts w:ascii="Times New Roman" w:hAnsi="Times New Roman"/>
          <w:color w:val="000000"/>
          <w:sz w:val="24"/>
          <w:szCs w:val="24"/>
        </w:rPr>
        <w:t>t</w:t>
      </w:r>
      <w:r w:rsidR="00B06991">
        <w:rPr>
          <w:rFonts w:ascii="Times New Roman" w:hAnsi="Times New Roman"/>
          <w:color w:val="000000"/>
          <w:sz w:val="24"/>
          <w:szCs w:val="24"/>
        </w:rPr>
        <w:t>n</w:t>
      </w:r>
      <w:proofErr w:type="spellEnd"/>
      <w:r w:rsidR="00B06991">
        <w:rPr>
          <w:rFonts w:ascii="Times New Roman" w:hAnsi="Times New Roman"/>
          <w:color w:val="000000"/>
          <w:sz w:val="24"/>
          <w:szCs w:val="24"/>
        </w:rPr>
        <w:t>.</w:t>
      </w:r>
      <w:r w:rsidR="00FC2ED5" w:rsidRPr="001E5CE2">
        <w:rPr>
          <w:rFonts w:ascii="Times New Roman" w:hAnsi="Times New Roman"/>
          <w:color w:val="000000"/>
          <w:sz w:val="24"/>
          <w:szCs w:val="24"/>
        </w:rPr>
        <w:t xml:space="preserve"> con relación a los valores del año anterior</w:t>
      </w:r>
      <w:r w:rsidR="00B06991">
        <w:rPr>
          <w:rFonts w:ascii="Times New Roman" w:hAnsi="Times New Roman"/>
          <w:color w:val="000000"/>
          <w:sz w:val="24"/>
          <w:szCs w:val="24"/>
        </w:rPr>
        <w:t>;</w:t>
      </w:r>
      <w:r w:rsidR="00FC2ED5" w:rsidRPr="001E5CE2">
        <w:rPr>
          <w:rFonts w:ascii="Times New Roman" w:hAnsi="Times New Roman"/>
          <w:color w:val="000000"/>
          <w:sz w:val="24"/>
          <w:szCs w:val="24"/>
        </w:rPr>
        <w:t xml:space="preserve"> </w:t>
      </w:r>
      <w:r w:rsidR="00B06991">
        <w:rPr>
          <w:rFonts w:ascii="Times New Roman" w:hAnsi="Times New Roman"/>
          <w:color w:val="000000"/>
          <w:sz w:val="24"/>
          <w:szCs w:val="24"/>
        </w:rPr>
        <w:t xml:space="preserve">una </w:t>
      </w:r>
      <w:r w:rsidR="00FC2ED5" w:rsidRPr="001E5CE2">
        <w:rPr>
          <w:rFonts w:ascii="Times New Roman" w:hAnsi="Times New Roman"/>
          <w:color w:val="000000"/>
          <w:sz w:val="24"/>
          <w:szCs w:val="24"/>
        </w:rPr>
        <w:t xml:space="preserve">situación </w:t>
      </w:r>
      <w:r w:rsidR="00B06991">
        <w:rPr>
          <w:rFonts w:ascii="Times New Roman" w:hAnsi="Times New Roman"/>
          <w:color w:val="000000"/>
          <w:sz w:val="24"/>
          <w:szCs w:val="24"/>
        </w:rPr>
        <w:t>similar</w:t>
      </w:r>
      <w:r w:rsidR="00FC2ED5" w:rsidRPr="001E5CE2">
        <w:rPr>
          <w:rFonts w:ascii="Times New Roman" w:hAnsi="Times New Roman"/>
          <w:color w:val="000000"/>
          <w:sz w:val="24"/>
          <w:szCs w:val="24"/>
        </w:rPr>
        <w:t xml:space="preserve"> </w:t>
      </w:r>
      <w:r w:rsidR="00B06991">
        <w:rPr>
          <w:rFonts w:ascii="Times New Roman" w:hAnsi="Times New Roman"/>
          <w:color w:val="000000"/>
          <w:sz w:val="24"/>
          <w:szCs w:val="24"/>
        </w:rPr>
        <w:t>ocurre</w:t>
      </w:r>
      <w:r w:rsidR="00FC2ED5" w:rsidRPr="001E5CE2">
        <w:rPr>
          <w:rFonts w:ascii="Times New Roman" w:hAnsi="Times New Roman"/>
          <w:color w:val="000000"/>
          <w:sz w:val="24"/>
          <w:szCs w:val="24"/>
        </w:rPr>
        <w:t xml:space="preserve"> en el año 2017, </w:t>
      </w:r>
      <w:r w:rsidR="00B06991">
        <w:rPr>
          <w:rFonts w:ascii="Times New Roman" w:hAnsi="Times New Roman"/>
          <w:color w:val="000000"/>
          <w:sz w:val="24"/>
          <w:szCs w:val="24"/>
        </w:rPr>
        <w:t>para el cual,</w:t>
      </w:r>
      <w:r w:rsidR="00FC2ED5" w:rsidRPr="001E5CE2">
        <w:rPr>
          <w:rFonts w:ascii="Times New Roman" w:hAnsi="Times New Roman"/>
          <w:color w:val="000000"/>
          <w:sz w:val="24"/>
          <w:szCs w:val="24"/>
        </w:rPr>
        <w:t xml:space="preserve"> el cierre de exportaciones se refleja </w:t>
      </w:r>
      <w:r w:rsidR="00B06991">
        <w:rPr>
          <w:rFonts w:ascii="Times New Roman" w:hAnsi="Times New Roman"/>
          <w:color w:val="000000"/>
          <w:sz w:val="24"/>
          <w:szCs w:val="24"/>
        </w:rPr>
        <w:t>en</w:t>
      </w:r>
      <w:r w:rsidR="00FC2ED5" w:rsidRPr="001E5CE2">
        <w:rPr>
          <w:rFonts w:ascii="Times New Roman" w:hAnsi="Times New Roman"/>
          <w:color w:val="000000"/>
          <w:sz w:val="24"/>
          <w:szCs w:val="24"/>
        </w:rPr>
        <w:t xml:space="preserve"> una caída respecto al </w:t>
      </w:r>
      <w:r w:rsidR="00B06991">
        <w:rPr>
          <w:rFonts w:ascii="Times New Roman" w:hAnsi="Times New Roman"/>
          <w:color w:val="000000"/>
          <w:sz w:val="24"/>
          <w:szCs w:val="24"/>
        </w:rPr>
        <w:t xml:space="preserve">año </w:t>
      </w:r>
      <w:r w:rsidR="00FC2ED5" w:rsidRPr="001E5CE2">
        <w:rPr>
          <w:rFonts w:ascii="Times New Roman" w:hAnsi="Times New Roman"/>
          <w:color w:val="000000"/>
          <w:sz w:val="24"/>
          <w:szCs w:val="24"/>
        </w:rPr>
        <w:t>2016</w:t>
      </w:r>
      <w:r w:rsidR="00B06991">
        <w:rPr>
          <w:rFonts w:ascii="Times New Roman" w:hAnsi="Times New Roman"/>
          <w:color w:val="000000"/>
          <w:sz w:val="24"/>
          <w:szCs w:val="24"/>
        </w:rPr>
        <w:t xml:space="preserve"> (Gráfico 1)</w:t>
      </w:r>
    </w:p>
    <w:p w14:paraId="05F0AC48" w14:textId="77777777" w:rsidR="00FC2ED5" w:rsidRPr="001E5CE2" w:rsidRDefault="00FC2ED5" w:rsidP="001E5CE2">
      <w:pPr>
        <w:spacing w:after="0" w:line="360" w:lineRule="auto"/>
        <w:jc w:val="both"/>
        <w:rPr>
          <w:rFonts w:ascii="Times New Roman" w:hAnsi="Times New Roman"/>
          <w:color w:val="000000"/>
          <w:sz w:val="24"/>
          <w:szCs w:val="24"/>
        </w:rPr>
      </w:pPr>
    </w:p>
    <w:p w14:paraId="7D0DEF10" w14:textId="6999C594" w:rsidR="007B00F4" w:rsidRDefault="002112F6" w:rsidP="001E5CE2">
      <w:pPr>
        <w:spacing w:after="0" w:line="360" w:lineRule="auto"/>
        <w:jc w:val="center"/>
        <w:rPr>
          <w:rFonts w:ascii="Times New Roman" w:hAnsi="Times New Roman"/>
          <w:sz w:val="24"/>
          <w:szCs w:val="24"/>
          <w:shd w:val="clear" w:color="auto" w:fill="FFFFFF"/>
        </w:rPr>
      </w:pPr>
      <w:r w:rsidRPr="003D31AC">
        <w:rPr>
          <w:rFonts w:ascii="Times New Roman" w:hAnsi="Times New Roman"/>
          <w:sz w:val="24"/>
          <w:szCs w:val="24"/>
          <w:shd w:val="clear" w:color="auto" w:fill="FFFFFF"/>
        </w:rPr>
        <w:t>Gráfico</w:t>
      </w:r>
      <w:r w:rsidR="007B00F4" w:rsidRPr="003D31AC">
        <w:rPr>
          <w:rFonts w:ascii="Times New Roman" w:hAnsi="Times New Roman"/>
          <w:sz w:val="24"/>
          <w:szCs w:val="24"/>
          <w:shd w:val="clear" w:color="auto" w:fill="FFFFFF"/>
        </w:rPr>
        <w:t xml:space="preserve"> </w:t>
      </w:r>
      <w:r w:rsidR="00B06991" w:rsidRPr="003D31AC">
        <w:rPr>
          <w:rFonts w:ascii="Times New Roman" w:hAnsi="Times New Roman"/>
          <w:sz w:val="24"/>
          <w:szCs w:val="24"/>
          <w:shd w:val="clear" w:color="auto" w:fill="FFFFFF"/>
        </w:rPr>
        <w:t>1</w:t>
      </w:r>
      <w:r w:rsidR="007B00F4" w:rsidRPr="003D31AC">
        <w:rPr>
          <w:rFonts w:ascii="Times New Roman" w:hAnsi="Times New Roman"/>
          <w:sz w:val="24"/>
          <w:szCs w:val="24"/>
          <w:shd w:val="clear" w:color="auto" w:fill="FFFFFF"/>
        </w:rPr>
        <w:t>:</w:t>
      </w:r>
      <w:r w:rsidR="007B00F4" w:rsidRPr="001E5CE2">
        <w:rPr>
          <w:rFonts w:ascii="Times New Roman" w:hAnsi="Times New Roman"/>
          <w:sz w:val="24"/>
          <w:szCs w:val="24"/>
          <w:shd w:val="clear" w:color="auto" w:fill="FFFFFF"/>
        </w:rPr>
        <w:t xml:space="preserve"> </w:t>
      </w:r>
      <w:r w:rsidR="00AD0C32">
        <w:rPr>
          <w:rFonts w:ascii="Times New Roman" w:hAnsi="Times New Roman"/>
          <w:sz w:val="24"/>
          <w:szCs w:val="24"/>
          <w:shd w:val="clear" w:color="auto" w:fill="FFFFFF"/>
        </w:rPr>
        <w:t xml:space="preserve">Área sembrada, </w:t>
      </w:r>
      <w:r>
        <w:rPr>
          <w:rFonts w:ascii="Times New Roman" w:hAnsi="Times New Roman"/>
          <w:sz w:val="24"/>
          <w:szCs w:val="24"/>
          <w:shd w:val="clear" w:color="auto" w:fill="FFFFFF"/>
        </w:rPr>
        <w:t>producción y exportación de soja en Argentina</w:t>
      </w:r>
      <w:r w:rsidR="007B00F4" w:rsidRPr="001E5CE2">
        <w:rPr>
          <w:rFonts w:ascii="Times New Roman" w:hAnsi="Times New Roman"/>
          <w:sz w:val="24"/>
          <w:szCs w:val="24"/>
          <w:shd w:val="clear" w:color="auto" w:fill="FFFFFF"/>
        </w:rPr>
        <w:t xml:space="preserve"> (2006/7 al 201</w:t>
      </w:r>
      <w:r>
        <w:rPr>
          <w:rFonts w:ascii="Times New Roman" w:hAnsi="Times New Roman"/>
          <w:sz w:val="24"/>
          <w:szCs w:val="24"/>
          <w:shd w:val="clear" w:color="auto" w:fill="FFFFFF"/>
        </w:rPr>
        <w:t>7</w:t>
      </w:r>
      <w:r w:rsidR="007B00F4" w:rsidRPr="001E5CE2">
        <w:rPr>
          <w:rFonts w:ascii="Times New Roman" w:hAnsi="Times New Roman"/>
          <w:sz w:val="24"/>
          <w:szCs w:val="24"/>
          <w:shd w:val="clear" w:color="auto" w:fill="FFFFFF"/>
        </w:rPr>
        <w:t>/1</w:t>
      </w:r>
      <w:r>
        <w:rPr>
          <w:rFonts w:ascii="Times New Roman" w:hAnsi="Times New Roman"/>
          <w:sz w:val="24"/>
          <w:szCs w:val="24"/>
          <w:shd w:val="clear" w:color="auto" w:fill="FFFFFF"/>
        </w:rPr>
        <w:t>8</w:t>
      </w:r>
      <w:r w:rsidR="00AD0C32">
        <w:rPr>
          <w:rFonts w:ascii="Times New Roman" w:hAnsi="Times New Roman"/>
          <w:sz w:val="24"/>
          <w:szCs w:val="24"/>
          <w:shd w:val="clear" w:color="auto" w:fill="FFFFFF"/>
        </w:rPr>
        <w:t>- en toneladas</w:t>
      </w:r>
      <w:r w:rsidR="007B00F4" w:rsidRPr="001E5CE2">
        <w:rPr>
          <w:rFonts w:ascii="Times New Roman" w:hAnsi="Times New Roman"/>
          <w:sz w:val="24"/>
          <w:szCs w:val="24"/>
          <w:shd w:val="clear" w:color="auto" w:fill="FFFFFF"/>
        </w:rPr>
        <w:t>).</w:t>
      </w:r>
    </w:p>
    <w:p w14:paraId="1A993FC3" w14:textId="77777777" w:rsidR="00AD0C32" w:rsidRPr="001E5CE2" w:rsidRDefault="00AD0C32" w:rsidP="001E5CE2">
      <w:pPr>
        <w:spacing w:after="0" w:line="360" w:lineRule="auto"/>
        <w:jc w:val="center"/>
        <w:rPr>
          <w:rFonts w:ascii="Times New Roman" w:hAnsi="Times New Roman"/>
          <w:sz w:val="24"/>
          <w:szCs w:val="24"/>
          <w:shd w:val="clear" w:color="auto" w:fill="FFFFFF"/>
        </w:rPr>
      </w:pPr>
      <w:r>
        <w:rPr>
          <w:noProof/>
          <w:lang w:eastAsia="es-AR"/>
        </w:rPr>
        <w:drawing>
          <wp:inline distT="0" distB="0" distL="0" distR="0" wp14:anchorId="69DF3904" wp14:editId="2AC02685">
            <wp:extent cx="5553075" cy="2781300"/>
            <wp:effectExtent l="0" t="0" r="9525" b="19050"/>
            <wp:docPr id="5" name="Gráfico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2FD491" w14:textId="77777777" w:rsidR="00A768D6" w:rsidRPr="00B06991" w:rsidRDefault="00A768D6" w:rsidP="00A768D6">
      <w:pPr>
        <w:spacing w:after="0" w:line="360" w:lineRule="auto"/>
        <w:jc w:val="center"/>
        <w:rPr>
          <w:rFonts w:ascii="Times New Roman" w:hAnsi="Times New Roman"/>
          <w:i/>
          <w:color w:val="222222"/>
          <w:sz w:val="20"/>
          <w:szCs w:val="20"/>
          <w:shd w:val="clear" w:color="auto" w:fill="FFFFFF"/>
        </w:rPr>
      </w:pPr>
      <w:r w:rsidRPr="00B06991">
        <w:rPr>
          <w:rFonts w:ascii="Times New Roman" w:hAnsi="Times New Roman"/>
          <w:i/>
          <w:color w:val="222222"/>
          <w:sz w:val="20"/>
          <w:szCs w:val="20"/>
          <w:shd w:val="clear" w:color="auto" w:fill="FFFFFF"/>
        </w:rPr>
        <w:t xml:space="preserve">Fuente: Elaboración propia en base a datos de la Secretaría de Agroindustria. </w:t>
      </w:r>
    </w:p>
    <w:p w14:paraId="57B47E60" w14:textId="26EEED93" w:rsidR="007B00F4" w:rsidRPr="001E5CE2" w:rsidRDefault="00BB5D89"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Por otro lado, p</w:t>
      </w:r>
      <w:r w:rsidR="007B00F4" w:rsidRPr="001E5CE2">
        <w:rPr>
          <w:rFonts w:ascii="Times New Roman" w:hAnsi="Times New Roman"/>
          <w:color w:val="000000"/>
          <w:sz w:val="24"/>
          <w:szCs w:val="24"/>
        </w:rPr>
        <w:t xml:space="preserve">ara procesar el aceite de soja, </w:t>
      </w:r>
      <w:r w:rsidR="00516781">
        <w:rPr>
          <w:rFonts w:ascii="Times New Roman" w:hAnsi="Times New Roman"/>
          <w:color w:val="000000"/>
          <w:sz w:val="24"/>
          <w:szCs w:val="24"/>
        </w:rPr>
        <w:t xml:space="preserve">el </w:t>
      </w:r>
      <w:r w:rsidR="00516781" w:rsidRPr="001E5CE2">
        <w:rPr>
          <w:rFonts w:ascii="Times New Roman" w:hAnsi="Times New Roman"/>
          <w:color w:val="000000"/>
          <w:sz w:val="24"/>
          <w:szCs w:val="24"/>
        </w:rPr>
        <w:t xml:space="preserve">proceso de extracción </w:t>
      </w:r>
      <w:r w:rsidR="00516781">
        <w:rPr>
          <w:rFonts w:ascii="Times New Roman" w:hAnsi="Times New Roman"/>
          <w:color w:val="000000"/>
          <w:sz w:val="24"/>
          <w:szCs w:val="24"/>
        </w:rPr>
        <w:t>desde</w:t>
      </w:r>
      <w:r w:rsidR="007B00F4" w:rsidRPr="001E5CE2">
        <w:rPr>
          <w:rFonts w:ascii="Times New Roman" w:hAnsi="Times New Roman"/>
          <w:color w:val="000000"/>
          <w:sz w:val="24"/>
          <w:szCs w:val="24"/>
        </w:rPr>
        <w:t xml:space="preserve"> los granos </w:t>
      </w:r>
      <w:r w:rsidR="00516781">
        <w:rPr>
          <w:rFonts w:ascii="Times New Roman" w:hAnsi="Times New Roman"/>
          <w:color w:val="000000"/>
          <w:sz w:val="24"/>
          <w:szCs w:val="24"/>
        </w:rPr>
        <w:t>se realiza por dos métodos</w:t>
      </w:r>
      <w:r w:rsidR="00B06991">
        <w:rPr>
          <w:rFonts w:ascii="Times New Roman" w:hAnsi="Times New Roman"/>
          <w:color w:val="000000"/>
          <w:sz w:val="24"/>
          <w:szCs w:val="24"/>
        </w:rPr>
        <w:t>:</w:t>
      </w:r>
      <w:r w:rsidR="007B00F4" w:rsidRPr="001E5CE2">
        <w:rPr>
          <w:rFonts w:ascii="Times New Roman" w:hAnsi="Times New Roman"/>
          <w:color w:val="000000"/>
          <w:sz w:val="24"/>
          <w:szCs w:val="24"/>
        </w:rPr>
        <w:t xml:space="preserve"> </w:t>
      </w:r>
      <w:proofErr w:type="spellStart"/>
      <w:r w:rsidR="007B00F4" w:rsidRPr="001E5CE2">
        <w:rPr>
          <w:rFonts w:ascii="Times New Roman" w:hAnsi="Times New Roman"/>
          <w:color w:val="000000"/>
          <w:sz w:val="24"/>
          <w:szCs w:val="24"/>
        </w:rPr>
        <w:t>extrusado</w:t>
      </w:r>
      <w:proofErr w:type="spellEnd"/>
      <w:r w:rsidR="007B00F4" w:rsidRPr="001E5CE2">
        <w:rPr>
          <w:rFonts w:ascii="Times New Roman" w:hAnsi="Times New Roman"/>
          <w:color w:val="000000"/>
          <w:sz w:val="24"/>
          <w:szCs w:val="24"/>
        </w:rPr>
        <w:t xml:space="preserve">-prensado y solvente. </w:t>
      </w:r>
      <w:r w:rsidR="00516781">
        <w:rPr>
          <w:rFonts w:ascii="Times New Roman" w:hAnsi="Times New Roman"/>
          <w:color w:val="000000"/>
          <w:sz w:val="24"/>
          <w:szCs w:val="24"/>
        </w:rPr>
        <w:t>Obtenido el aceite crudo</w:t>
      </w:r>
      <w:r w:rsidR="007B00F4" w:rsidRPr="001E5CE2">
        <w:rPr>
          <w:rFonts w:ascii="Times New Roman" w:hAnsi="Times New Roman"/>
          <w:color w:val="000000"/>
          <w:sz w:val="24"/>
          <w:szCs w:val="24"/>
        </w:rPr>
        <w:t xml:space="preserve">, se refina para eliminar impurezas para que el mismo sea comestible, </w:t>
      </w:r>
      <w:r w:rsidR="00516781">
        <w:rPr>
          <w:rFonts w:ascii="Times New Roman" w:hAnsi="Times New Roman"/>
          <w:color w:val="000000"/>
          <w:sz w:val="24"/>
          <w:szCs w:val="24"/>
        </w:rPr>
        <w:t xml:space="preserve">consiguiendo </w:t>
      </w:r>
      <w:r w:rsidR="007B00F4" w:rsidRPr="001E5CE2">
        <w:rPr>
          <w:rFonts w:ascii="Times New Roman" w:hAnsi="Times New Roman"/>
          <w:color w:val="000000"/>
          <w:sz w:val="24"/>
          <w:szCs w:val="24"/>
        </w:rPr>
        <w:t xml:space="preserve">en dicho proceso </w:t>
      </w:r>
      <w:r w:rsidR="005A7702" w:rsidRPr="001E5CE2">
        <w:rPr>
          <w:rFonts w:ascii="Times New Roman" w:hAnsi="Times New Roman"/>
          <w:color w:val="000000"/>
          <w:sz w:val="24"/>
          <w:szCs w:val="24"/>
        </w:rPr>
        <w:t xml:space="preserve">los </w:t>
      </w:r>
      <w:r w:rsidR="007B00F4" w:rsidRPr="001E5CE2">
        <w:rPr>
          <w:rFonts w:ascii="Times New Roman" w:hAnsi="Times New Roman"/>
          <w:color w:val="000000"/>
          <w:sz w:val="24"/>
          <w:szCs w:val="24"/>
        </w:rPr>
        <w:t xml:space="preserve">subproductos que se detallarán </w:t>
      </w:r>
      <w:r w:rsidR="00F7070A" w:rsidRPr="001E5CE2">
        <w:rPr>
          <w:rFonts w:ascii="Times New Roman" w:hAnsi="Times New Roman"/>
          <w:color w:val="000000"/>
          <w:sz w:val="24"/>
          <w:szCs w:val="24"/>
        </w:rPr>
        <w:t>más adelante.</w:t>
      </w:r>
    </w:p>
    <w:p w14:paraId="42610AA8" w14:textId="5BF4F643" w:rsidR="007B00F4" w:rsidRPr="009E65A2"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En el proceso de extracción por solventes se utilizan equipamientos que permiten manejar grandes volúmenes de grano, en tanto que en el proceso por extrusión y prensa se manejan menores escalas. E</w:t>
      </w:r>
      <w:r w:rsidR="00F7070A" w:rsidRPr="001E5CE2">
        <w:rPr>
          <w:rFonts w:ascii="Times New Roman" w:hAnsi="Times New Roman"/>
          <w:color w:val="000000"/>
          <w:sz w:val="24"/>
          <w:szCs w:val="24"/>
        </w:rPr>
        <w:t>x</w:t>
      </w:r>
      <w:r w:rsidRPr="001E5CE2">
        <w:rPr>
          <w:rFonts w:ascii="Times New Roman" w:hAnsi="Times New Roman"/>
          <w:color w:val="000000"/>
          <w:sz w:val="24"/>
          <w:szCs w:val="24"/>
        </w:rPr>
        <w:t xml:space="preserve">iste la posibilidad de agregar módulos al proceso (por ejemplo: cantidad de extrusoras, </w:t>
      </w:r>
      <w:r w:rsidR="00B06991">
        <w:rPr>
          <w:rFonts w:ascii="Times New Roman" w:hAnsi="Times New Roman"/>
          <w:color w:val="000000"/>
          <w:sz w:val="24"/>
          <w:szCs w:val="24"/>
        </w:rPr>
        <w:t>p</w:t>
      </w:r>
      <w:r w:rsidRPr="001E5CE2">
        <w:rPr>
          <w:rFonts w:ascii="Times New Roman" w:hAnsi="Times New Roman"/>
          <w:color w:val="000000"/>
          <w:sz w:val="24"/>
          <w:szCs w:val="24"/>
        </w:rPr>
        <w:t xml:space="preserve">rensas, etc.), con lo que se puede lograr una ampliación de la actividad </w:t>
      </w:r>
      <w:r w:rsidRPr="009E65A2">
        <w:rPr>
          <w:rFonts w:ascii="Times New Roman" w:hAnsi="Times New Roman"/>
          <w:color w:val="000000"/>
          <w:sz w:val="24"/>
          <w:szCs w:val="24"/>
        </w:rPr>
        <w:t>productiva, flexibilizando la capacidad de procesamiento de planta.</w:t>
      </w:r>
    </w:p>
    <w:p w14:paraId="1FE2AA72" w14:textId="0A9B8148" w:rsidR="007B00F4" w:rsidRDefault="007B00F4" w:rsidP="001E5CE2">
      <w:pPr>
        <w:spacing w:after="0" w:line="360" w:lineRule="auto"/>
        <w:jc w:val="both"/>
        <w:rPr>
          <w:rFonts w:ascii="Times New Roman" w:hAnsi="Times New Roman"/>
          <w:color w:val="000000"/>
          <w:sz w:val="24"/>
          <w:szCs w:val="24"/>
        </w:rPr>
      </w:pPr>
      <w:r w:rsidRPr="009E65A2">
        <w:rPr>
          <w:rFonts w:ascii="Times New Roman" w:hAnsi="Times New Roman"/>
          <w:color w:val="000000"/>
          <w:sz w:val="24"/>
          <w:szCs w:val="24"/>
        </w:rPr>
        <w:t xml:space="preserve">Al analizar los volúmenes de producción publicados por el Ministerio de Agricultura, Ganadería y Pesca de la Nación (MINAGRI), se observa que no </w:t>
      </w:r>
      <w:r w:rsidR="00F7070A" w:rsidRPr="009E65A2">
        <w:rPr>
          <w:rFonts w:ascii="Times New Roman" w:hAnsi="Times New Roman"/>
          <w:color w:val="000000"/>
          <w:sz w:val="24"/>
          <w:szCs w:val="24"/>
        </w:rPr>
        <w:t>presenta</w:t>
      </w:r>
      <w:r w:rsidRPr="009E65A2">
        <w:rPr>
          <w:rFonts w:ascii="Times New Roman" w:hAnsi="Times New Roman"/>
          <w:color w:val="000000"/>
          <w:sz w:val="24"/>
          <w:szCs w:val="24"/>
        </w:rPr>
        <w:t xml:space="preserve"> grandes variaciones en el período bajo análisis</w:t>
      </w:r>
      <w:r w:rsidR="000639C8" w:rsidRPr="009E65A2">
        <w:rPr>
          <w:rFonts w:ascii="Times New Roman" w:hAnsi="Times New Roman"/>
          <w:color w:val="000000"/>
          <w:sz w:val="24"/>
          <w:szCs w:val="24"/>
        </w:rPr>
        <w:t xml:space="preserve">; </w:t>
      </w:r>
      <w:r w:rsidRPr="009E65A2">
        <w:rPr>
          <w:rFonts w:ascii="Times New Roman" w:hAnsi="Times New Roman"/>
          <w:color w:val="000000"/>
          <w:sz w:val="24"/>
          <w:szCs w:val="24"/>
        </w:rPr>
        <w:t>las exportaciones</w:t>
      </w:r>
      <w:r w:rsidR="000639C8" w:rsidRPr="009E65A2">
        <w:rPr>
          <w:rFonts w:ascii="Times New Roman" w:hAnsi="Times New Roman"/>
          <w:color w:val="000000"/>
          <w:sz w:val="24"/>
          <w:szCs w:val="24"/>
        </w:rPr>
        <w:t>,</w:t>
      </w:r>
      <w:r w:rsidRPr="009E65A2">
        <w:rPr>
          <w:rFonts w:ascii="Times New Roman" w:hAnsi="Times New Roman"/>
          <w:color w:val="000000"/>
          <w:sz w:val="24"/>
          <w:szCs w:val="24"/>
        </w:rPr>
        <w:t xml:space="preserve"> </w:t>
      </w:r>
      <w:r w:rsidR="00B06991">
        <w:rPr>
          <w:rFonts w:ascii="Times New Roman" w:hAnsi="Times New Roman"/>
          <w:color w:val="000000"/>
          <w:sz w:val="24"/>
          <w:szCs w:val="24"/>
        </w:rPr>
        <w:t>en cambio, muestran</w:t>
      </w:r>
      <w:r w:rsidRPr="009E65A2">
        <w:rPr>
          <w:rFonts w:ascii="Times New Roman" w:hAnsi="Times New Roman"/>
          <w:color w:val="000000"/>
          <w:sz w:val="24"/>
          <w:szCs w:val="24"/>
        </w:rPr>
        <w:t xml:space="preserve"> una mayor flu</w:t>
      </w:r>
      <w:r w:rsidR="000639C8" w:rsidRPr="009E65A2">
        <w:rPr>
          <w:rFonts w:ascii="Times New Roman" w:hAnsi="Times New Roman"/>
          <w:color w:val="000000"/>
          <w:sz w:val="24"/>
          <w:szCs w:val="24"/>
        </w:rPr>
        <w:t>c</w:t>
      </w:r>
      <w:r w:rsidRPr="009E65A2">
        <w:rPr>
          <w:rFonts w:ascii="Times New Roman" w:hAnsi="Times New Roman"/>
          <w:color w:val="000000"/>
          <w:sz w:val="24"/>
          <w:szCs w:val="24"/>
        </w:rPr>
        <w:t>tuación, con incremento</w:t>
      </w:r>
      <w:r w:rsidR="003D31AC">
        <w:rPr>
          <w:rFonts w:ascii="Times New Roman" w:hAnsi="Times New Roman"/>
          <w:color w:val="000000"/>
          <w:sz w:val="24"/>
          <w:szCs w:val="24"/>
        </w:rPr>
        <w:t>s</w:t>
      </w:r>
      <w:r w:rsidRPr="009E65A2">
        <w:rPr>
          <w:rFonts w:ascii="Times New Roman" w:hAnsi="Times New Roman"/>
          <w:color w:val="000000"/>
          <w:sz w:val="24"/>
          <w:szCs w:val="24"/>
        </w:rPr>
        <w:t xml:space="preserve"> </w:t>
      </w:r>
      <w:r w:rsidR="00857712" w:rsidRPr="009E65A2">
        <w:rPr>
          <w:rFonts w:ascii="Times New Roman" w:hAnsi="Times New Roman"/>
          <w:color w:val="000000"/>
          <w:sz w:val="24"/>
          <w:szCs w:val="24"/>
        </w:rPr>
        <w:t>hasta 2017/18 y una fuerte caída para 2018/19</w:t>
      </w:r>
      <w:r w:rsidR="003D31AC">
        <w:rPr>
          <w:rFonts w:ascii="Times New Roman" w:hAnsi="Times New Roman"/>
          <w:color w:val="000000"/>
          <w:sz w:val="24"/>
          <w:szCs w:val="24"/>
        </w:rPr>
        <w:t xml:space="preserve"> (Gráfico 2)</w:t>
      </w:r>
      <w:r w:rsidRPr="009E65A2">
        <w:rPr>
          <w:rFonts w:ascii="Times New Roman" w:hAnsi="Times New Roman"/>
          <w:color w:val="000000"/>
          <w:sz w:val="24"/>
          <w:szCs w:val="24"/>
        </w:rPr>
        <w:t>.</w:t>
      </w:r>
      <w:r w:rsidR="00516781">
        <w:rPr>
          <w:rFonts w:ascii="Times New Roman" w:hAnsi="Times New Roman"/>
          <w:color w:val="000000"/>
          <w:sz w:val="24"/>
          <w:szCs w:val="24"/>
        </w:rPr>
        <w:t xml:space="preserve"> </w:t>
      </w:r>
    </w:p>
    <w:p w14:paraId="2473E950" w14:textId="77777777" w:rsidR="003D31AC" w:rsidRPr="001E5CE2" w:rsidRDefault="003D31AC" w:rsidP="001E5CE2">
      <w:pPr>
        <w:spacing w:after="0" w:line="360" w:lineRule="auto"/>
        <w:jc w:val="both"/>
        <w:rPr>
          <w:rFonts w:ascii="Times New Roman" w:hAnsi="Times New Roman"/>
          <w:color w:val="000000"/>
          <w:sz w:val="24"/>
          <w:szCs w:val="24"/>
        </w:rPr>
      </w:pPr>
    </w:p>
    <w:p w14:paraId="55B1A1F7" w14:textId="2DA362CE" w:rsidR="007B00F4" w:rsidRPr="001E5CE2" w:rsidRDefault="00516781" w:rsidP="001E5CE2">
      <w:pPr>
        <w:spacing w:after="0" w:line="360" w:lineRule="auto"/>
        <w:jc w:val="center"/>
        <w:rPr>
          <w:rFonts w:ascii="Times New Roman" w:hAnsi="Times New Roman"/>
          <w:color w:val="222222"/>
          <w:sz w:val="24"/>
          <w:szCs w:val="24"/>
          <w:shd w:val="clear" w:color="auto" w:fill="FFFFFF"/>
        </w:rPr>
      </w:pPr>
      <w:r w:rsidRPr="003D31AC">
        <w:rPr>
          <w:rFonts w:ascii="Times New Roman" w:hAnsi="Times New Roman"/>
          <w:color w:val="222222"/>
          <w:sz w:val="24"/>
          <w:szCs w:val="24"/>
          <w:shd w:val="clear" w:color="auto" w:fill="FFFFFF"/>
        </w:rPr>
        <w:t>Gráfico</w:t>
      </w:r>
      <w:r w:rsidR="007B00F4" w:rsidRPr="003D31AC">
        <w:rPr>
          <w:rFonts w:ascii="Times New Roman" w:hAnsi="Times New Roman"/>
          <w:color w:val="222222"/>
          <w:sz w:val="24"/>
          <w:szCs w:val="24"/>
          <w:shd w:val="clear" w:color="auto" w:fill="FFFFFF"/>
        </w:rPr>
        <w:t xml:space="preserve"> </w:t>
      </w:r>
      <w:r w:rsidRPr="003D31AC">
        <w:rPr>
          <w:rFonts w:ascii="Times New Roman" w:hAnsi="Times New Roman"/>
          <w:color w:val="222222"/>
          <w:sz w:val="24"/>
          <w:szCs w:val="24"/>
          <w:shd w:val="clear" w:color="auto" w:fill="FFFFFF"/>
        </w:rPr>
        <w:t>2</w:t>
      </w:r>
      <w:r w:rsidR="007B00F4" w:rsidRPr="003D31AC">
        <w:rPr>
          <w:rFonts w:ascii="Times New Roman" w:hAnsi="Times New Roman"/>
          <w:color w:val="222222"/>
          <w:sz w:val="24"/>
          <w:szCs w:val="24"/>
          <w:shd w:val="clear" w:color="auto" w:fill="FFFFFF"/>
        </w:rPr>
        <w:t>:</w:t>
      </w:r>
      <w:r w:rsidR="007B00F4" w:rsidRPr="001E5CE2">
        <w:rPr>
          <w:rFonts w:ascii="Times New Roman" w:hAnsi="Times New Roman"/>
          <w:color w:val="222222"/>
          <w:sz w:val="24"/>
          <w:szCs w:val="24"/>
          <w:shd w:val="clear" w:color="auto" w:fill="FFFFFF"/>
        </w:rPr>
        <w:t xml:space="preserve"> Producción</w:t>
      </w:r>
      <w:r w:rsidR="00F7070A" w:rsidRPr="001E5CE2">
        <w:rPr>
          <w:rFonts w:ascii="Times New Roman" w:hAnsi="Times New Roman"/>
          <w:color w:val="222222"/>
          <w:sz w:val="24"/>
          <w:szCs w:val="24"/>
          <w:shd w:val="clear" w:color="auto" w:fill="FFFFFF"/>
        </w:rPr>
        <w:t xml:space="preserve"> </w:t>
      </w:r>
      <w:r w:rsidR="007B00F4" w:rsidRPr="001E5CE2">
        <w:rPr>
          <w:rFonts w:ascii="Times New Roman" w:hAnsi="Times New Roman"/>
          <w:color w:val="222222"/>
          <w:sz w:val="24"/>
          <w:szCs w:val="24"/>
          <w:shd w:val="clear" w:color="auto" w:fill="FFFFFF"/>
        </w:rPr>
        <w:t xml:space="preserve">y </w:t>
      </w:r>
      <w:r>
        <w:rPr>
          <w:rFonts w:ascii="Times New Roman" w:hAnsi="Times New Roman"/>
          <w:color w:val="222222"/>
          <w:sz w:val="24"/>
          <w:szCs w:val="24"/>
          <w:shd w:val="clear" w:color="auto" w:fill="FFFFFF"/>
        </w:rPr>
        <w:t>exportación</w:t>
      </w:r>
      <w:r w:rsidR="007B00F4" w:rsidRPr="001E5CE2">
        <w:rPr>
          <w:rFonts w:ascii="Times New Roman" w:hAnsi="Times New Roman"/>
          <w:color w:val="222222"/>
          <w:sz w:val="24"/>
          <w:szCs w:val="24"/>
          <w:shd w:val="clear" w:color="auto" w:fill="FFFFFF"/>
        </w:rPr>
        <w:t xml:space="preserve"> de aceite de soja. Periodo 2010-201</w:t>
      </w:r>
      <w:r w:rsidR="00857712">
        <w:rPr>
          <w:rFonts w:ascii="Times New Roman" w:hAnsi="Times New Roman"/>
          <w:color w:val="222222"/>
          <w:sz w:val="24"/>
          <w:szCs w:val="24"/>
          <w:shd w:val="clear" w:color="auto" w:fill="FFFFFF"/>
        </w:rPr>
        <w:t>8</w:t>
      </w:r>
    </w:p>
    <w:p w14:paraId="1A9F76AC" w14:textId="77777777" w:rsidR="00221265" w:rsidRDefault="00A768D6" w:rsidP="001E5CE2">
      <w:pPr>
        <w:tabs>
          <w:tab w:val="center" w:pos="4419"/>
        </w:tabs>
        <w:spacing w:after="0" w:line="360" w:lineRule="auto"/>
        <w:jc w:val="center"/>
        <w:rPr>
          <w:rFonts w:ascii="Times New Roman" w:hAnsi="Times New Roman"/>
          <w:i/>
          <w:color w:val="222222"/>
          <w:sz w:val="24"/>
          <w:szCs w:val="24"/>
          <w:shd w:val="clear" w:color="auto" w:fill="FFFFFF"/>
        </w:rPr>
      </w:pPr>
      <w:r>
        <w:rPr>
          <w:noProof/>
          <w:lang w:eastAsia="es-AR"/>
        </w:rPr>
        <w:drawing>
          <wp:inline distT="0" distB="0" distL="0" distR="0" wp14:anchorId="66E08351" wp14:editId="4E1A9922">
            <wp:extent cx="4905376" cy="2760661"/>
            <wp:effectExtent l="0" t="0" r="9525" b="1905"/>
            <wp:docPr id="11" name="Gráfico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985436" w14:textId="77777777" w:rsidR="00A768D6" w:rsidRPr="003D31AC" w:rsidRDefault="00A768D6" w:rsidP="00A768D6">
      <w:pPr>
        <w:spacing w:after="0" w:line="360" w:lineRule="auto"/>
        <w:jc w:val="center"/>
        <w:rPr>
          <w:rFonts w:ascii="Times New Roman" w:hAnsi="Times New Roman"/>
          <w:i/>
          <w:color w:val="222222"/>
          <w:sz w:val="20"/>
          <w:szCs w:val="20"/>
          <w:shd w:val="clear" w:color="auto" w:fill="FFFFFF"/>
        </w:rPr>
      </w:pPr>
      <w:r w:rsidRPr="003D31AC">
        <w:rPr>
          <w:rFonts w:ascii="Times New Roman" w:hAnsi="Times New Roman"/>
          <w:i/>
          <w:color w:val="222222"/>
          <w:sz w:val="20"/>
          <w:szCs w:val="20"/>
          <w:shd w:val="clear" w:color="auto" w:fill="FFFFFF"/>
        </w:rPr>
        <w:t xml:space="preserve">Fuente: Elaboración propia en base a datos de la Secretaría de Agroindustria. </w:t>
      </w:r>
    </w:p>
    <w:p w14:paraId="58E39081" w14:textId="77777777" w:rsidR="00A768D6" w:rsidRPr="001E5CE2" w:rsidRDefault="00A768D6" w:rsidP="00A768D6">
      <w:pPr>
        <w:spacing w:after="0" w:line="360" w:lineRule="auto"/>
        <w:jc w:val="center"/>
        <w:rPr>
          <w:rFonts w:ascii="Times New Roman" w:hAnsi="Times New Roman"/>
          <w:i/>
          <w:color w:val="222222"/>
          <w:sz w:val="24"/>
          <w:szCs w:val="24"/>
          <w:shd w:val="clear" w:color="auto" w:fill="FFFFFF"/>
        </w:rPr>
      </w:pPr>
    </w:p>
    <w:p w14:paraId="7AB97943" w14:textId="364A8A73" w:rsidR="007B00F4" w:rsidRPr="001E5CE2" w:rsidRDefault="005C08E9" w:rsidP="003E08A0">
      <w:pPr>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516781">
        <w:rPr>
          <w:rFonts w:ascii="Times New Roman" w:hAnsi="Times New Roman"/>
          <w:color w:val="000000"/>
          <w:sz w:val="24"/>
          <w:szCs w:val="24"/>
        </w:rPr>
        <w:t>el</w:t>
      </w:r>
      <w:r w:rsidR="007B00F4" w:rsidRPr="001E5CE2">
        <w:rPr>
          <w:rFonts w:ascii="Times New Roman" w:hAnsi="Times New Roman"/>
          <w:color w:val="000000"/>
          <w:sz w:val="24"/>
          <w:szCs w:val="24"/>
        </w:rPr>
        <w:t xml:space="preserve"> proceso de industrialización de la soja</w:t>
      </w:r>
      <w:r w:rsidR="000639C8" w:rsidRPr="001E5CE2">
        <w:rPr>
          <w:rFonts w:ascii="Times New Roman" w:hAnsi="Times New Roman"/>
          <w:color w:val="000000"/>
          <w:sz w:val="24"/>
          <w:szCs w:val="24"/>
        </w:rPr>
        <w:t xml:space="preserve"> </w:t>
      </w:r>
      <w:r w:rsidR="003E08A0">
        <w:rPr>
          <w:rFonts w:ascii="Times New Roman" w:hAnsi="Times New Roman"/>
          <w:color w:val="000000"/>
          <w:sz w:val="24"/>
          <w:szCs w:val="24"/>
        </w:rPr>
        <w:t xml:space="preserve">se </w:t>
      </w:r>
      <w:r w:rsidR="007B00F4" w:rsidRPr="001E5CE2">
        <w:rPr>
          <w:rFonts w:ascii="Times New Roman" w:hAnsi="Times New Roman"/>
          <w:color w:val="000000"/>
          <w:sz w:val="24"/>
          <w:szCs w:val="24"/>
        </w:rPr>
        <w:t>obtienen los siguientes subproductos del aceite:</w:t>
      </w:r>
      <w:r w:rsidR="003E08A0">
        <w:rPr>
          <w:rFonts w:ascii="Times New Roman" w:hAnsi="Times New Roman"/>
          <w:color w:val="000000"/>
          <w:sz w:val="24"/>
          <w:szCs w:val="24"/>
        </w:rPr>
        <w:t xml:space="preserve"> </w:t>
      </w:r>
      <w:proofErr w:type="spellStart"/>
      <w:r w:rsidR="003E08A0">
        <w:rPr>
          <w:rFonts w:ascii="Times New Roman" w:hAnsi="Times New Roman"/>
          <w:color w:val="000000"/>
          <w:sz w:val="24"/>
          <w:szCs w:val="24"/>
        </w:rPr>
        <w:t>e</w:t>
      </w:r>
      <w:r w:rsidR="007B00F4" w:rsidRPr="001E5CE2">
        <w:rPr>
          <w:rFonts w:ascii="Times New Roman" w:hAnsi="Times New Roman"/>
          <w:color w:val="000000"/>
          <w:sz w:val="24"/>
          <w:szCs w:val="24"/>
        </w:rPr>
        <w:t>xpellers</w:t>
      </w:r>
      <w:proofErr w:type="spellEnd"/>
      <w:r w:rsidR="003E08A0">
        <w:rPr>
          <w:rFonts w:ascii="Times New Roman" w:hAnsi="Times New Roman"/>
          <w:color w:val="000000"/>
          <w:sz w:val="24"/>
          <w:szCs w:val="24"/>
        </w:rPr>
        <w:t xml:space="preserve"> (</w:t>
      </w:r>
      <w:r w:rsidR="007B00F4" w:rsidRPr="001E5CE2">
        <w:rPr>
          <w:rFonts w:ascii="Times New Roman" w:hAnsi="Times New Roman"/>
          <w:color w:val="000000"/>
          <w:sz w:val="24"/>
          <w:szCs w:val="24"/>
        </w:rPr>
        <w:t xml:space="preserve">residuos de elaboración por el proceso de </w:t>
      </w:r>
      <w:proofErr w:type="spellStart"/>
      <w:r w:rsidR="007B00F4" w:rsidRPr="001E5CE2">
        <w:rPr>
          <w:rFonts w:ascii="Times New Roman" w:hAnsi="Times New Roman"/>
          <w:color w:val="000000"/>
          <w:sz w:val="24"/>
          <w:szCs w:val="24"/>
        </w:rPr>
        <w:t>extrusado</w:t>
      </w:r>
      <w:proofErr w:type="spellEnd"/>
      <w:r w:rsidR="007B00F4" w:rsidRPr="001E5CE2">
        <w:rPr>
          <w:rFonts w:ascii="Times New Roman" w:hAnsi="Times New Roman"/>
          <w:color w:val="000000"/>
          <w:sz w:val="24"/>
          <w:szCs w:val="24"/>
        </w:rPr>
        <w:t>-prensado</w:t>
      </w:r>
      <w:r w:rsidR="003E08A0">
        <w:rPr>
          <w:rFonts w:ascii="Times New Roman" w:hAnsi="Times New Roman"/>
          <w:color w:val="000000"/>
          <w:sz w:val="24"/>
          <w:szCs w:val="24"/>
        </w:rPr>
        <w:t>), h</w:t>
      </w:r>
      <w:r w:rsidR="007B00F4" w:rsidRPr="001E5CE2">
        <w:rPr>
          <w:rFonts w:ascii="Times New Roman" w:hAnsi="Times New Roman"/>
          <w:color w:val="000000"/>
          <w:sz w:val="24"/>
          <w:szCs w:val="24"/>
        </w:rPr>
        <w:t>arina de extracción</w:t>
      </w:r>
      <w:r w:rsidR="003E08A0">
        <w:rPr>
          <w:rFonts w:ascii="Times New Roman" w:hAnsi="Times New Roman"/>
          <w:color w:val="000000"/>
          <w:sz w:val="24"/>
          <w:szCs w:val="24"/>
        </w:rPr>
        <w:t xml:space="preserve"> (</w:t>
      </w:r>
      <w:r w:rsidR="007B00F4" w:rsidRPr="001E5CE2">
        <w:rPr>
          <w:rFonts w:ascii="Times New Roman" w:hAnsi="Times New Roman"/>
          <w:color w:val="000000"/>
          <w:sz w:val="24"/>
          <w:szCs w:val="24"/>
        </w:rPr>
        <w:t>residuos de la elaboración por el método disolvente</w:t>
      </w:r>
      <w:r w:rsidR="003E08A0">
        <w:rPr>
          <w:rFonts w:ascii="Times New Roman" w:hAnsi="Times New Roman"/>
          <w:color w:val="000000"/>
          <w:sz w:val="24"/>
          <w:szCs w:val="24"/>
        </w:rPr>
        <w:t>), p</w:t>
      </w:r>
      <w:r w:rsidR="007B00F4" w:rsidRPr="001E5CE2">
        <w:rPr>
          <w:rFonts w:ascii="Times New Roman" w:hAnsi="Times New Roman"/>
          <w:color w:val="000000"/>
          <w:sz w:val="24"/>
          <w:szCs w:val="24"/>
        </w:rPr>
        <w:t>ellets</w:t>
      </w:r>
      <w:r w:rsidR="003E08A0">
        <w:rPr>
          <w:rFonts w:ascii="Times New Roman" w:hAnsi="Times New Roman"/>
          <w:color w:val="000000"/>
          <w:sz w:val="24"/>
          <w:szCs w:val="24"/>
        </w:rPr>
        <w:t xml:space="preserve"> (</w:t>
      </w:r>
      <w:r w:rsidR="007B00F4" w:rsidRPr="001E5CE2">
        <w:rPr>
          <w:rFonts w:ascii="Times New Roman" w:hAnsi="Times New Roman"/>
          <w:color w:val="000000"/>
          <w:sz w:val="24"/>
          <w:szCs w:val="24"/>
        </w:rPr>
        <w:t xml:space="preserve">comprimidos provenientes de </w:t>
      </w:r>
      <w:proofErr w:type="spellStart"/>
      <w:r w:rsidR="007B00F4" w:rsidRPr="001E5CE2">
        <w:rPr>
          <w:rFonts w:ascii="Times New Roman" w:hAnsi="Times New Roman"/>
          <w:color w:val="000000"/>
          <w:sz w:val="24"/>
          <w:szCs w:val="24"/>
        </w:rPr>
        <w:t>expeller</w:t>
      </w:r>
      <w:proofErr w:type="spellEnd"/>
      <w:r w:rsidR="007B00F4" w:rsidRPr="001E5CE2">
        <w:rPr>
          <w:rFonts w:ascii="Times New Roman" w:hAnsi="Times New Roman"/>
          <w:color w:val="000000"/>
          <w:sz w:val="24"/>
          <w:szCs w:val="24"/>
        </w:rPr>
        <w:t xml:space="preserve"> o harinas</w:t>
      </w:r>
      <w:r w:rsidR="003E08A0">
        <w:rPr>
          <w:rFonts w:ascii="Times New Roman" w:hAnsi="Times New Roman"/>
          <w:color w:val="000000"/>
          <w:sz w:val="24"/>
          <w:szCs w:val="24"/>
        </w:rPr>
        <w:t>), g</w:t>
      </w:r>
      <w:r w:rsidR="007B00F4" w:rsidRPr="001E5CE2">
        <w:rPr>
          <w:rFonts w:ascii="Times New Roman" w:hAnsi="Times New Roman"/>
          <w:color w:val="000000"/>
          <w:sz w:val="24"/>
          <w:szCs w:val="24"/>
        </w:rPr>
        <w:t>omas</w:t>
      </w:r>
      <w:r w:rsidR="003E08A0">
        <w:rPr>
          <w:rFonts w:ascii="Times New Roman" w:hAnsi="Times New Roman"/>
          <w:color w:val="000000"/>
          <w:sz w:val="24"/>
          <w:szCs w:val="24"/>
        </w:rPr>
        <w:t xml:space="preserve"> (</w:t>
      </w:r>
      <w:r w:rsidR="007B00F4" w:rsidRPr="001E5CE2">
        <w:rPr>
          <w:rFonts w:ascii="Times New Roman" w:hAnsi="Times New Roman"/>
          <w:color w:val="000000"/>
          <w:sz w:val="24"/>
          <w:szCs w:val="24"/>
        </w:rPr>
        <w:t xml:space="preserve">presentes en el aceite, </w:t>
      </w:r>
      <w:r>
        <w:rPr>
          <w:rFonts w:ascii="Times New Roman" w:hAnsi="Times New Roman"/>
          <w:color w:val="000000"/>
          <w:sz w:val="24"/>
          <w:szCs w:val="24"/>
        </w:rPr>
        <w:t>que</w:t>
      </w:r>
      <w:r w:rsidR="007B00F4" w:rsidRPr="001E5CE2">
        <w:rPr>
          <w:rFonts w:ascii="Times New Roman" w:hAnsi="Times New Roman"/>
          <w:color w:val="000000"/>
          <w:sz w:val="24"/>
          <w:szCs w:val="24"/>
        </w:rPr>
        <w:t xml:space="preserve"> deben ser eliminad</w:t>
      </w:r>
      <w:r>
        <w:rPr>
          <w:rFonts w:ascii="Times New Roman" w:hAnsi="Times New Roman"/>
          <w:color w:val="000000"/>
          <w:sz w:val="24"/>
          <w:szCs w:val="24"/>
        </w:rPr>
        <w:t>a</w:t>
      </w:r>
      <w:r w:rsidR="007B00F4" w:rsidRPr="001E5CE2">
        <w:rPr>
          <w:rFonts w:ascii="Times New Roman" w:hAnsi="Times New Roman"/>
          <w:color w:val="000000"/>
          <w:sz w:val="24"/>
          <w:szCs w:val="24"/>
        </w:rPr>
        <w:t xml:space="preserve">s </w:t>
      </w:r>
      <w:r w:rsidR="0005530C" w:rsidRPr="001E5CE2">
        <w:rPr>
          <w:rFonts w:ascii="Times New Roman" w:hAnsi="Times New Roman"/>
          <w:color w:val="000000"/>
          <w:sz w:val="24"/>
          <w:szCs w:val="24"/>
        </w:rPr>
        <w:t xml:space="preserve">por centrifugado y decantación </w:t>
      </w:r>
      <w:r w:rsidR="007B00F4" w:rsidRPr="001E5CE2">
        <w:rPr>
          <w:rFonts w:ascii="Times New Roman" w:hAnsi="Times New Roman"/>
          <w:color w:val="000000"/>
          <w:sz w:val="24"/>
          <w:szCs w:val="24"/>
        </w:rPr>
        <w:t>para su refinamiento</w:t>
      </w:r>
      <w:r w:rsidR="0005530C">
        <w:rPr>
          <w:rFonts w:ascii="Times New Roman" w:hAnsi="Times New Roman"/>
          <w:color w:val="000000"/>
          <w:sz w:val="24"/>
          <w:szCs w:val="24"/>
        </w:rPr>
        <w:t>,</w:t>
      </w:r>
      <w:r w:rsidR="0005530C" w:rsidRPr="0005530C">
        <w:rPr>
          <w:rFonts w:ascii="Times New Roman" w:hAnsi="Times New Roman"/>
          <w:color w:val="000000"/>
          <w:sz w:val="24"/>
          <w:szCs w:val="24"/>
        </w:rPr>
        <w:t xml:space="preserve"> </w:t>
      </w:r>
      <w:r w:rsidR="0005530C" w:rsidRPr="001E5CE2">
        <w:rPr>
          <w:rFonts w:ascii="Times New Roman" w:hAnsi="Times New Roman"/>
          <w:color w:val="000000"/>
          <w:sz w:val="24"/>
          <w:szCs w:val="24"/>
        </w:rPr>
        <w:t>para evitar el enranciamiento y la oxidación del aceite</w:t>
      </w:r>
      <w:r w:rsidR="003E08A0">
        <w:rPr>
          <w:rFonts w:ascii="Times New Roman" w:hAnsi="Times New Roman"/>
          <w:color w:val="000000"/>
          <w:sz w:val="24"/>
          <w:szCs w:val="24"/>
        </w:rPr>
        <w:t>)</w:t>
      </w:r>
      <w:r>
        <w:rPr>
          <w:rFonts w:ascii="Times New Roman" w:hAnsi="Times New Roman"/>
          <w:color w:val="000000"/>
          <w:sz w:val="24"/>
          <w:szCs w:val="24"/>
        </w:rPr>
        <w:t xml:space="preserve"> y</w:t>
      </w:r>
      <w:r w:rsidR="003E08A0">
        <w:rPr>
          <w:rFonts w:ascii="Times New Roman" w:hAnsi="Times New Roman"/>
          <w:color w:val="000000"/>
          <w:sz w:val="24"/>
          <w:szCs w:val="24"/>
        </w:rPr>
        <w:t xml:space="preserve"> </w:t>
      </w:r>
      <w:r w:rsidR="003E08A0">
        <w:rPr>
          <w:rFonts w:ascii="Times New Roman" w:hAnsi="Times New Roman"/>
          <w:color w:val="000000"/>
          <w:sz w:val="24"/>
          <w:szCs w:val="24"/>
        </w:rPr>
        <w:lastRenderedPageBreak/>
        <w:t>l</w:t>
      </w:r>
      <w:r w:rsidR="007B00F4" w:rsidRPr="001E5CE2">
        <w:rPr>
          <w:rFonts w:ascii="Times New Roman" w:hAnsi="Times New Roman"/>
          <w:color w:val="000000"/>
          <w:sz w:val="24"/>
          <w:szCs w:val="24"/>
        </w:rPr>
        <w:t>ecitinas</w:t>
      </w:r>
      <w:r w:rsidR="003E08A0">
        <w:rPr>
          <w:rFonts w:ascii="Times New Roman" w:hAnsi="Times New Roman"/>
          <w:color w:val="000000"/>
          <w:sz w:val="24"/>
          <w:szCs w:val="24"/>
        </w:rPr>
        <w:t xml:space="preserve"> (</w:t>
      </w:r>
      <w:r w:rsidR="007B00F4" w:rsidRPr="001E5CE2">
        <w:rPr>
          <w:rFonts w:ascii="Times New Roman" w:hAnsi="Times New Roman"/>
          <w:color w:val="000000"/>
          <w:sz w:val="24"/>
          <w:szCs w:val="24"/>
        </w:rPr>
        <w:t>obt</w:t>
      </w:r>
      <w:r>
        <w:rPr>
          <w:rFonts w:ascii="Times New Roman" w:hAnsi="Times New Roman"/>
          <w:color w:val="000000"/>
          <w:sz w:val="24"/>
          <w:szCs w:val="24"/>
        </w:rPr>
        <w:t xml:space="preserve">enidas </w:t>
      </w:r>
      <w:r w:rsidR="007B00F4" w:rsidRPr="001E5CE2">
        <w:rPr>
          <w:rFonts w:ascii="Times New Roman" w:hAnsi="Times New Roman"/>
          <w:color w:val="000000"/>
          <w:sz w:val="24"/>
          <w:szCs w:val="24"/>
        </w:rPr>
        <w:t>a partir de las gomas crudas, por un proceso de secado-deshidratado y enfriamiento</w:t>
      </w:r>
      <w:r w:rsidR="003E08A0">
        <w:rPr>
          <w:rFonts w:ascii="Times New Roman" w:hAnsi="Times New Roman"/>
          <w:color w:val="000000"/>
          <w:sz w:val="24"/>
          <w:szCs w:val="24"/>
        </w:rPr>
        <w:t>)</w:t>
      </w:r>
      <w:r w:rsidR="007B00F4" w:rsidRPr="001E5CE2">
        <w:rPr>
          <w:rFonts w:ascii="Times New Roman" w:hAnsi="Times New Roman"/>
          <w:color w:val="000000"/>
          <w:sz w:val="24"/>
          <w:szCs w:val="24"/>
        </w:rPr>
        <w:t xml:space="preserve">. </w:t>
      </w:r>
    </w:p>
    <w:p w14:paraId="386E0816" w14:textId="4DDF23AD" w:rsidR="007B00F4" w:rsidRPr="001E5CE2" w:rsidRDefault="0005530C"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Respecto a las gomas, las mismas están presentes</w:t>
      </w:r>
      <w:r w:rsidR="007B00F4" w:rsidRPr="001E5CE2">
        <w:rPr>
          <w:rFonts w:ascii="Times New Roman" w:hAnsi="Times New Roman"/>
          <w:color w:val="000000"/>
          <w:sz w:val="24"/>
          <w:szCs w:val="24"/>
        </w:rPr>
        <w:t xml:space="preserve"> en un 2%</w:t>
      </w:r>
      <w:r>
        <w:rPr>
          <w:rFonts w:ascii="Times New Roman" w:hAnsi="Times New Roman"/>
          <w:color w:val="000000"/>
          <w:sz w:val="24"/>
          <w:szCs w:val="24"/>
        </w:rPr>
        <w:t xml:space="preserve"> en el aceite, y se </w:t>
      </w:r>
      <w:r w:rsidR="007B00F4" w:rsidRPr="001E5CE2">
        <w:rPr>
          <w:rFonts w:ascii="Times New Roman" w:hAnsi="Times New Roman"/>
          <w:color w:val="000000"/>
          <w:sz w:val="24"/>
          <w:szCs w:val="24"/>
        </w:rPr>
        <w:t xml:space="preserve">obtienen como producto secundario </w:t>
      </w:r>
      <w:r>
        <w:rPr>
          <w:rFonts w:ascii="Times New Roman" w:hAnsi="Times New Roman"/>
          <w:color w:val="000000"/>
          <w:sz w:val="24"/>
          <w:szCs w:val="24"/>
        </w:rPr>
        <w:t>(</w:t>
      </w:r>
      <w:r w:rsidR="007B00F4" w:rsidRPr="001E5CE2">
        <w:rPr>
          <w:rFonts w:ascii="Times New Roman" w:hAnsi="Times New Roman"/>
          <w:color w:val="000000"/>
          <w:sz w:val="24"/>
          <w:szCs w:val="24"/>
        </w:rPr>
        <w:t>gomas crudas o húmedas</w:t>
      </w:r>
      <w:r>
        <w:rPr>
          <w:rFonts w:ascii="Times New Roman" w:hAnsi="Times New Roman"/>
          <w:color w:val="000000"/>
          <w:sz w:val="24"/>
          <w:szCs w:val="24"/>
        </w:rPr>
        <w:t>)</w:t>
      </w:r>
      <w:r w:rsidR="005C08E9">
        <w:rPr>
          <w:rFonts w:ascii="Times New Roman" w:hAnsi="Times New Roman"/>
          <w:color w:val="000000"/>
          <w:sz w:val="24"/>
          <w:szCs w:val="24"/>
        </w:rPr>
        <w:t xml:space="preserve">; </w:t>
      </w:r>
      <w:r w:rsidR="007B00F4" w:rsidRPr="001E5CE2">
        <w:rPr>
          <w:rFonts w:ascii="Times New Roman" w:hAnsi="Times New Roman"/>
          <w:color w:val="000000"/>
          <w:sz w:val="24"/>
          <w:szCs w:val="24"/>
        </w:rPr>
        <w:t>sin embargo, las mismas</w:t>
      </w:r>
      <w:r w:rsidR="005C08E9">
        <w:rPr>
          <w:rFonts w:ascii="Times New Roman" w:hAnsi="Times New Roman"/>
          <w:color w:val="000000"/>
          <w:sz w:val="24"/>
          <w:szCs w:val="24"/>
        </w:rPr>
        <w:t>,</w:t>
      </w:r>
      <w:r w:rsidR="007B00F4" w:rsidRPr="001E5CE2">
        <w:rPr>
          <w:rFonts w:ascii="Times New Roman" w:hAnsi="Times New Roman"/>
          <w:color w:val="000000"/>
          <w:sz w:val="24"/>
          <w:szCs w:val="24"/>
        </w:rPr>
        <w:t xml:space="preserve"> no pueden ser comercializadas en ese estado</w:t>
      </w:r>
      <w:r>
        <w:rPr>
          <w:rFonts w:ascii="Times New Roman" w:hAnsi="Times New Roman"/>
          <w:color w:val="000000"/>
          <w:sz w:val="24"/>
          <w:szCs w:val="24"/>
        </w:rPr>
        <w:t xml:space="preserve">, </w:t>
      </w:r>
      <w:r w:rsidR="005C08E9">
        <w:rPr>
          <w:rFonts w:ascii="Times New Roman" w:hAnsi="Times New Roman"/>
          <w:color w:val="000000"/>
          <w:sz w:val="24"/>
          <w:szCs w:val="24"/>
        </w:rPr>
        <w:t>ya que</w:t>
      </w:r>
      <w:r>
        <w:rPr>
          <w:rFonts w:ascii="Times New Roman" w:hAnsi="Times New Roman"/>
          <w:color w:val="000000"/>
          <w:sz w:val="24"/>
          <w:szCs w:val="24"/>
        </w:rPr>
        <w:t xml:space="preserve"> </w:t>
      </w:r>
      <w:r w:rsidR="007B00F4" w:rsidRPr="001E5CE2">
        <w:rPr>
          <w:rFonts w:ascii="Times New Roman" w:hAnsi="Times New Roman"/>
          <w:color w:val="000000"/>
          <w:sz w:val="24"/>
          <w:szCs w:val="24"/>
        </w:rPr>
        <w:t xml:space="preserve">requieren un tratamiento de secado o deshidratado que permita reducir </w:t>
      </w:r>
      <w:r w:rsidR="005C08E9">
        <w:rPr>
          <w:rFonts w:ascii="Times New Roman" w:hAnsi="Times New Roman"/>
          <w:color w:val="000000"/>
          <w:sz w:val="24"/>
          <w:szCs w:val="24"/>
        </w:rPr>
        <w:t>los</w:t>
      </w:r>
      <w:r w:rsidR="007B00F4" w:rsidRPr="001E5CE2">
        <w:rPr>
          <w:rFonts w:ascii="Times New Roman" w:hAnsi="Times New Roman"/>
          <w:color w:val="000000"/>
          <w:sz w:val="24"/>
          <w:szCs w:val="24"/>
        </w:rPr>
        <w:t xml:space="preserve"> valores </w:t>
      </w:r>
      <w:r w:rsidR="005C08E9">
        <w:rPr>
          <w:rFonts w:ascii="Times New Roman" w:hAnsi="Times New Roman"/>
          <w:color w:val="000000"/>
          <w:sz w:val="24"/>
          <w:szCs w:val="24"/>
        </w:rPr>
        <w:t xml:space="preserve">iniciales </w:t>
      </w:r>
      <w:r>
        <w:rPr>
          <w:rFonts w:ascii="Times New Roman" w:hAnsi="Times New Roman"/>
          <w:color w:val="000000"/>
          <w:sz w:val="24"/>
          <w:szCs w:val="24"/>
        </w:rPr>
        <w:t>de humedad del 40% a</w:t>
      </w:r>
      <w:r w:rsidR="005C08E9">
        <w:rPr>
          <w:rFonts w:ascii="Times New Roman" w:hAnsi="Times New Roman"/>
          <w:color w:val="000000"/>
          <w:sz w:val="24"/>
          <w:szCs w:val="24"/>
        </w:rPr>
        <w:t xml:space="preserve"> otros, </w:t>
      </w:r>
      <w:r w:rsidR="007B00F4" w:rsidRPr="001E5CE2">
        <w:rPr>
          <w:rFonts w:ascii="Times New Roman" w:hAnsi="Times New Roman"/>
          <w:color w:val="000000"/>
          <w:sz w:val="24"/>
          <w:szCs w:val="24"/>
        </w:rPr>
        <w:t>menores al 1,5%</w:t>
      </w:r>
      <w:r w:rsidR="005C08E9">
        <w:rPr>
          <w:rFonts w:ascii="Times New Roman" w:hAnsi="Times New Roman"/>
          <w:color w:val="000000"/>
          <w:sz w:val="24"/>
          <w:szCs w:val="24"/>
        </w:rPr>
        <w:t>; con ello, se</w:t>
      </w:r>
      <w:r w:rsidR="007B00F4" w:rsidRPr="001E5CE2">
        <w:rPr>
          <w:rFonts w:ascii="Times New Roman" w:hAnsi="Times New Roman"/>
          <w:color w:val="000000"/>
          <w:sz w:val="24"/>
          <w:szCs w:val="24"/>
        </w:rPr>
        <w:t xml:space="preserve"> prev</w:t>
      </w:r>
      <w:r w:rsidR="005C08E9">
        <w:rPr>
          <w:rFonts w:ascii="Times New Roman" w:hAnsi="Times New Roman"/>
          <w:color w:val="000000"/>
          <w:sz w:val="24"/>
          <w:szCs w:val="24"/>
        </w:rPr>
        <w:t>iene</w:t>
      </w:r>
      <w:r w:rsidR="007B00F4" w:rsidRPr="001E5CE2">
        <w:rPr>
          <w:rFonts w:ascii="Times New Roman" w:hAnsi="Times New Roman"/>
          <w:color w:val="000000"/>
          <w:sz w:val="24"/>
          <w:szCs w:val="24"/>
        </w:rPr>
        <w:t xml:space="preserve"> </w:t>
      </w:r>
      <w:r w:rsidR="005C08E9">
        <w:rPr>
          <w:rFonts w:ascii="Times New Roman" w:hAnsi="Times New Roman"/>
          <w:color w:val="000000"/>
          <w:sz w:val="24"/>
          <w:szCs w:val="24"/>
        </w:rPr>
        <w:t>la</w:t>
      </w:r>
      <w:r w:rsidR="007B00F4" w:rsidRPr="001E5CE2">
        <w:rPr>
          <w:rFonts w:ascii="Times New Roman" w:hAnsi="Times New Roman"/>
          <w:color w:val="000000"/>
          <w:sz w:val="24"/>
          <w:szCs w:val="24"/>
        </w:rPr>
        <w:t xml:space="preserve"> descompo</w:t>
      </w:r>
      <w:r w:rsidR="005C08E9">
        <w:rPr>
          <w:rFonts w:ascii="Times New Roman" w:hAnsi="Times New Roman"/>
          <w:color w:val="000000"/>
          <w:sz w:val="24"/>
          <w:szCs w:val="24"/>
        </w:rPr>
        <w:t xml:space="preserve">sición </w:t>
      </w:r>
      <w:r w:rsidR="007B00F4" w:rsidRPr="001E5CE2">
        <w:rPr>
          <w:rFonts w:ascii="Times New Roman" w:hAnsi="Times New Roman"/>
          <w:color w:val="000000"/>
          <w:sz w:val="24"/>
          <w:szCs w:val="24"/>
        </w:rPr>
        <w:t xml:space="preserve">y </w:t>
      </w:r>
      <w:r w:rsidR="005C08E9">
        <w:rPr>
          <w:rFonts w:ascii="Times New Roman" w:hAnsi="Times New Roman"/>
          <w:color w:val="000000"/>
          <w:sz w:val="24"/>
          <w:szCs w:val="24"/>
        </w:rPr>
        <w:t xml:space="preserve">permite </w:t>
      </w:r>
      <w:r w:rsidR="007B00F4" w:rsidRPr="001E5CE2">
        <w:rPr>
          <w:rFonts w:ascii="Times New Roman" w:hAnsi="Times New Roman"/>
          <w:color w:val="000000"/>
          <w:sz w:val="24"/>
          <w:szCs w:val="24"/>
        </w:rPr>
        <w:t>cumplir con los requisitos de comercialización</w:t>
      </w:r>
      <w:r>
        <w:rPr>
          <w:rStyle w:val="Refdenotaalpie"/>
          <w:rFonts w:ascii="Times New Roman" w:hAnsi="Times New Roman"/>
          <w:color w:val="000000"/>
          <w:sz w:val="24"/>
          <w:szCs w:val="24"/>
        </w:rPr>
        <w:footnoteReference w:id="5"/>
      </w:r>
      <w:r w:rsidR="007B00F4" w:rsidRPr="001E5CE2">
        <w:rPr>
          <w:rFonts w:ascii="Times New Roman" w:hAnsi="Times New Roman"/>
          <w:color w:val="000000"/>
          <w:sz w:val="24"/>
          <w:szCs w:val="24"/>
        </w:rPr>
        <w:t xml:space="preserve">. </w:t>
      </w:r>
      <w:r w:rsidR="005C08E9">
        <w:rPr>
          <w:rFonts w:ascii="Times New Roman" w:hAnsi="Times New Roman"/>
          <w:color w:val="000000"/>
          <w:sz w:val="24"/>
          <w:szCs w:val="24"/>
        </w:rPr>
        <w:t>Por</w:t>
      </w:r>
      <w:r>
        <w:rPr>
          <w:rFonts w:ascii="Times New Roman" w:hAnsi="Times New Roman"/>
          <w:color w:val="000000"/>
          <w:sz w:val="24"/>
          <w:szCs w:val="24"/>
        </w:rPr>
        <w:t xml:space="preserve"> ello, se hace </w:t>
      </w:r>
      <w:r w:rsidRPr="001E5CE2">
        <w:rPr>
          <w:rFonts w:ascii="Times New Roman" w:hAnsi="Times New Roman"/>
          <w:color w:val="000000"/>
          <w:sz w:val="24"/>
          <w:szCs w:val="24"/>
        </w:rPr>
        <w:t>necesario</w:t>
      </w:r>
      <w:r>
        <w:rPr>
          <w:rFonts w:ascii="Times New Roman" w:hAnsi="Times New Roman"/>
          <w:color w:val="000000"/>
          <w:sz w:val="24"/>
          <w:szCs w:val="24"/>
        </w:rPr>
        <w:t xml:space="preserve"> que</w:t>
      </w:r>
      <w:r w:rsidR="007B00F4" w:rsidRPr="001E5CE2">
        <w:rPr>
          <w:rFonts w:ascii="Times New Roman" w:hAnsi="Times New Roman"/>
          <w:color w:val="000000"/>
          <w:sz w:val="24"/>
          <w:szCs w:val="24"/>
        </w:rPr>
        <w:t xml:space="preserve"> una planta de lecitina se ubique relativamente cerca de </w:t>
      </w:r>
      <w:r w:rsidR="005C08E9">
        <w:rPr>
          <w:rFonts w:ascii="Times New Roman" w:hAnsi="Times New Roman"/>
          <w:color w:val="000000"/>
          <w:sz w:val="24"/>
          <w:szCs w:val="24"/>
        </w:rPr>
        <w:t>la</w:t>
      </w:r>
      <w:r w:rsidR="007B00F4" w:rsidRPr="001E5CE2">
        <w:rPr>
          <w:rFonts w:ascii="Times New Roman" w:hAnsi="Times New Roman"/>
          <w:color w:val="000000"/>
          <w:sz w:val="24"/>
          <w:szCs w:val="24"/>
        </w:rPr>
        <w:t xml:space="preserve"> planta aceitera</w:t>
      </w:r>
      <w:r w:rsidR="005C08E9">
        <w:rPr>
          <w:rFonts w:ascii="Times New Roman" w:hAnsi="Times New Roman"/>
          <w:color w:val="000000"/>
          <w:sz w:val="24"/>
          <w:szCs w:val="24"/>
        </w:rPr>
        <w:t xml:space="preserve"> a la que</w:t>
      </w:r>
      <w:r w:rsidR="007B00F4" w:rsidRPr="001E5CE2">
        <w:rPr>
          <w:rFonts w:ascii="Times New Roman" w:hAnsi="Times New Roman"/>
          <w:color w:val="000000"/>
          <w:sz w:val="24"/>
          <w:szCs w:val="24"/>
        </w:rPr>
        <w:t xml:space="preserve"> </w:t>
      </w:r>
      <w:r w:rsidR="005C08E9">
        <w:rPr>
          <w:rFonts w:ascii="Times New Roman" w:hAnsi="Times New Roman"/>
          <w:color w:val="000000"/>
          <w:sz w:val="24"/>
          <w:szCs w:val="24"/>
        </w:rPr>
        <w:t>p</w:t>
      </w:r>
      <w:r w:rsidR="007B00F4" w:rsidRPr="001E5CE2">
        <w:rPr>
          <w:rFonts w:ascii="Times New Roman" w:hAnsi="Times New Roman"/>
          <w:color w:val="000000"/>
          <w:sz w:val="24"/>
          <w:szCs w:val="24"/>
        </w:rPr>
        <w:t>roveer</w:t>
      </w:r>
      <w:r w:rsidR="005C08E9">
        <w:rPr>
          <w:rFonts w:ascii="Times New Roman" w:hAnsi="Times New Roman"/>
          <w:color w:val="000000"/>
          <w:sz w:val="24"/>
          <w:szCs w:val="24"/>
        </w:rPr>
        <w:t>á</w:t>
      </w:r>
      <w:r w:rsidR="007B00F4" w:rsidRPr="001E5CE2">
        <w:rPr>
          <w:rFonts w:ascii="Times New Roman" w:hAnsi="Times New Roman"/>
          <w:color w:val="000000"/>
          <w:sz w:val="24"/>
          <w:szCs w:val="24"/>
        </w:rPr>
        <w:t xml:space="preserve"> las materias primas (goma cruda)</w:t>
      </w:r>
      <w:r w:rsidR="005C08E9">
        <w:rPr>
          <w:rFonts w:ascii="Times New Roman" w:hAnsi="Times New Roman"/>
          <w:color w:val="000000"/>
          <w:sz w:val="24"/>
          <w:szCs w:val="24"/>
        </w:rPr>
        <w:t>.</w:t>
      </w:r>
    </w:p>
    <w:p w14:paraId="7038FA7F" w14:textId="2A24A52E" w:rsidR="007B00F4" w:rsidRPr="001E5CE2" w:rsidRDefault="0005530C"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t>Entre los</w:t>
      </w:r>
      <w:r w:rsidR="007B00F4" w:rsidRPr="001E5CE2">
        <w:rPr>
          <w:rFonts w:ascii="Times New Roman" w:hAnsi="Times New Roman"/>
          <w:color w:val="000000"/>
          <w:sz w:val="24"/>
          <w:szCs w:val="24"/>
        </w:rPr>
        <w:t xml:space="preserve"> principales destinos industriales de la lecitina </w:t>
      </w:r>
      <w:r>
        <w:rPr>
          <w:rFonts w:ascii="Times New Roman" w:hAnsi="Times New Roman"/>
          <w:color w:val="000000"/>
          <w:sz w:val="24"/>
          <w:szCs w:val="24"/>
        </w:rPr>
        <w:t>se</w:t>
      </w:r>
      <w:r w:rsidR="001E62A0">
        <w:rPr>
          <w:rFonts w:ascii="Times New Roman" w:hAnsi="Times New Roman"/>
          <w:color w:val="000000"/>
          <w:sz w:val="24"/>
          <w:szCs w:val="24"/>
        </w:rPr>
        <w:t xml:space="preserve"> encuentran</w:t>
      </w:r>
      <w:r w:rsidR="007B00F4" w:rsidRPr="001E5CE2">
        <w:rPr>
          <w:rFonts w:ascii="Times New Roman" w:hAnsi="Times New Roman"/>
          <w:color w:val="000000"/>
          <w:sz w:val="24"/>
          <w:szCs w:val="24"/>
        </w:rPr>
        <w:t xml:space="preserve"> la aplicación en cuero, textiles, caucho y plástico, cerámica, papel, pinturas, etc.; su utilización en la industria alimentaria </w:t>
      </w:r>
      <w:r>
        <w:rPr>
          <w:rFonts w:ascii="Times New Roman" w:hAnsi="Times New Roman"/>
          <w:color w:val="000000"/>
          <w:sz w:val="24"/>
          <w:szCs w:val="24"/>
        </w:rPr>
        <w:t>y</w:t>
      </w:r>
      <w:r w:rsidR="007B00F4" w:rsidRPr="001E5CE2">
        <w:rPr>
          <w:rFonts w:ascii="Times New Roman" w:hAnsi="Times New Roman"/>
          <w:color w:val="000000"/>
          <w:sz w:val="24"/>
          <w:szCs w:val="24"/>
        </w:rPr>
        <w:t xml:space="preserve"> en la farmacéutica.  </w:t>
      </w:r>
    </w:p>
    <w:p w14:paraId="54EED76A" w14:textId="77777777" w:rsidR="007B00F4" w:rsidRPr="001E5CE2"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Los principales destinos de dichas producciones son para el aceite</w:t>
      </w:r>
      <w:r w:rsidR="005E21D1" w:rsidRPr="001E5CE2">
        <w:rPr>
          <w:rFonts w:ascii="Times New Roman" w:hAnsi="Times New Roman"/>
          <w:color w:val="000000"/>
          <w:sz w:val="24"/>
          <w:szCs w:val="24"/>
        </w:rPr>
        <w:t>,</w:t>
      </w:r>
      <w:r w:rsidRPr="001E5CE2">
        <w:rPr>
          <w:rFonts w:ascii="Times New Roman" w:hAnsi="Times New Roman"/>
          <w:color w:val="000000"/>
          <w:sz w:val="24"/>
          <w:szCs w:val="24"/>
        </w:rPr>
        <w:t xml:space="preserve"> las pequeñas y medianas plantas elaboradoras de biodiesel</w:t>
      </w:r>
      <w:r w:rsidR="005E21D1" w:rsidRPr="001E5CE2">
        <w:rPr>
          <w:rFonts w:ascii="Times New Roman" w:hAnsi="Times New Roman"/>
          <w:color w:val="000000"/>
          <w:sz w:val="24"/>
          <w:szCs w:val="24"/>
        </w:rPr>
        <w:t>,</w:t>
      </w:r>
      <w:r w:rsidRPr="001E5CE2">
        <w:rPr>
          <w:rFonts w:ascii="Times New Roman" w:hAnsi="Times New Roman"/>
          <w:color w:val="000000"/>
          <w:sz w:val="24"/>
          <w:szCs w:val="24"/>
        </w:rPr>
        <w:t xml:space="preserve"> y en menor medida</w:t>
      </w:r>
      <w:r w:rsidR="005E21D1" w:rsidRPr="001E5CE2">
        <w:rPr>
          <w:rFonts w:ascii="Times New Roman" w:hAnsi="Times New Roman"/>
          <w:color w:val="000000"/>
          <w:sz w:val="24"/>
          <w:szCs w:val="24"/>
        </w:rPr>
        <w:t>,</w:t>
      </w:r>
      <w:r w:rsidRPr="001E5CE2">
        <w:rPr>
          <w:rFonts w:ascii="Times New Roman" w:hAnsi="Times New Roman"/>
          <w:color w:val="000000"/>
          <w:sz w:val="24"/>
          <w:szCs w:val="24"/>
        </w:rPr>
        <w:t xml:space="preserve"> la venta a refinerías; mientras que</w:t>
      </w:r>
      <w:r w:rsidR="005E21D1" w:rsidRPr="001E5CE2">
        <w:rPr>
          <w:rFonts w:ascii="Times New Roman" w:hAnsi="Times New Roman"/>
          <w:color w:val="000000"/>
          <w:sz w:val="24"/>
          <w:szCs w:val="24"/>
        </w:rPr>
        <w:t>,</w:t>
      </w:r>
      <w:r w:rsidRPr="001E5CE2">
        <w:rPr>
          <w:rFonts w:ascii="Times New Roman" w:hAnsi="Times New Roman"/>
          <w:color w:val="000000"/>
          <w:sz w:val="24"/>
          <w:szCs w:val="24"/>
        </w:rPr>
        <w:t xml:space="preserve"> para el </w:t>
      </w:r>
      <w:proofErr w:type="spellStart"/>
      <w:r w:rsidRPr="001E5CE2">
        <w:rPr>
          <w:rFonts w:ascii="Times New Roman" w:hAnsi="Times New Roman"/>
          <w:color w:val="000000"/>
          <w:sz w:val="24"/>
          <w:szCs w:val="24"/>
        </w:rPr>
        <w:t>expeller</w:t>
      </w:r>
      <w:proofErr w:type="spellEnd"/>
      <w:r w:rsidR="005E21D1" w:rsidRPr="001E5CE2">
        <w:rPr>
          <w:rFonts w:ascii="Times New Roman" w:hAnsi="Times New Roman"/>
          <w:color w:val="000000"/>
          <w:sz w:val="24"/>
          <w:szCs w:val="24"/>
        </w:rPr>
        <w:t>,</w:t>
      </w:r>
      <w:r w:rsidRPr="001E5CE2">
        <w:rPr>
          <w:rFonts w:ascii="Times New Roman" w:hAnsi="Times New Roman"/>
          <w:color w:val="000000"/>
          <w:sz w:val="24"/>
          <w:szCs w:val="24"/>
        </w:rPr>
        <w:t xml:space="preserve"> son plantas en general pequeñas y medianas</w:t>
      </w:r>
      <w:r w:rsidR="005E21D1" w:rsidRPr="001E5CE2">
        <w:rPr>
          <w:rFonts w:ascii="Times New Roman" w:hAnsi="Times New Roman"/>
          <w:color w:val="000000"/>
          <w:sz w:val="24"/>
          <w:szCs w:val="24"/>
        </w:rPr>
        <w:t>,</w:t>
      </w:r>
      <w:r w:rsidRPr="001E5CE2">
        <w:rPr>
          <w:rFonts w:ascii="Times New Roman" w:hAnsi="Times New Roman"/>
          <w:color w:val="000000"/>
          <w:sz w:val="24"/>
          <w:szCs w:val="24"/>
        </w:rPr>
        <w:t xml:space="preserve"> ubicad</w:t>
      </w:r>
      <w:r w:rsidR="005E21D1" w:rsidRPr="001E5CE2">
        <w:rPr>
          <w:rFonts w:ascii="Times New Roman" w:hAnsi="Times New Roman"/>
          <w:color w:val="000000"/>
          <w:sz w:val="24"/>
          <w:szCs w:val="24"/>
        </w:rPr>
        <w:t>a</w:t>
      </w:r>
      <w:r w:rsidRPr="001E5CE2">
        <w:rPr>
          <w:rFonts w:ascii="Times New Roman" w:hAnsi="Times New Roman"/>
          <w:color w:val="000000"/>
          <w:sz w:val="24"/>
          <w:szCs w:val="24"/>
        </w:rPr>
        <w:t xml:space="preserve">s relativamente cerca de las plantas de </w:t>
      </w:r>
      <w:proofErr w:type="spellStart"/>
      <w:r w:rsidRPr="001E5CE2">
        <w:rPr>
          <w:rFonts w:ascii="Times New Roman" w:hAnsi="Times New Roman"/>
          <w:color w:val="000000"/>
          <w:sz w:val="24"/>
          <w:szCs w:val="24"/>
        </w:rPr>
        <w:t>extrusado</w:t>
      </w:r>
      <w:proofErr w:type="spellEnd"/>
      <w:r w:rsidRPr="001E5CE2">
        <w:rPr>
          <w:rFonts w:ascii="Times New Roman" w:hAnsi="Times New Roman"/>
          <w:color w:val="000000"/>
          <w:sz w:val="24"/>
          <w:szCs w:val="24"/>
        </w:rPr>
        <w:t xml:space="preserve">, dedicadas a la producción de alimentos balanceados, porcinos, productos avícolas, tamberos y ganaderos. </w:t>
      </w:r>
    </w:p>
    <w:p w14:paraId="29BF1473" w14:textId="77777777" w:rsidR="007B00F4" w:rsidRPr="001E5CE2" w:rsidRDefault="007B00F4" w:rsidP="001E5CE2">
      <w:pPr>
        <w:tabs>
          <w:tab w:val="center" w:pos="4419"/>
        </w:tabs>
        <w:spacing w:after="0" w:line="360" w:lineRule="auto"/>
        <w:jc w:val="both"/>
        <w:rPr>
          <w:rFonts w:ascii="Times New Roman" w:hAnsi="Times New Roman"/>
          <w:color w:val="222222"/>
          <w:sz w:val="24"/>
          <w:szCs w:val="24"/>
          <w:shd w:val="clear" w:color="auto" w:fill="FFFFFF"/>
        </w:rPr>
      </w:pPr>
    </w:p>
    <w:p w14:paraId="22803F65" w14:textId="794A80DC" w:rsidR="007B00F4" w:rsidRDefault="00857712" w:rsidP="001E5CE2">
      <w:pPr>
        <w:spacing w:after="0" w:line="360" w:lineRule="auto"/>
        <w:jc w:val="center"/>
        <w:rPr>
          <w:rFonts w:ascii="Times New Roman" w:hAnsi="Times New Roman"/>
          <w:color w:val="222222"/>
          <w:sz w:val="24"/>
          <w:szCs w:val="24"/>
          <w:shd w:val="clear" w:color="auto" w:fill="FFFFFF"/>
        </w:rPr>
      </w:pPr>
      <w:r w:rsidRPr="001E62A0">
        <w:rPr>
          <w:rFonts w:ascii="Times New Roman" w:hAnsi="Times New Roman"/>
          <w:color w:val="222222"/>
          <w:sz w:val="24"/>
          <w:szCs w:val="24"/>
          <w:shd w:val="clear" w:color="auto" w:fill="FFFFFF"/>
        </w:rPr>
        <w:t>Gráfico 3:</w:t>
      </w:r>
      <w:r w:rsidRPr="001E5CE2">
        <w:rPr>
          <w:rFonts w:ascii="Times New Roman" w:hAnsi="Times New Roman"/>
          <w:color w:val="222222"/>
          <w:sz w:val="24"/>
          <w:szCs w:val="24"/>
          <w:shd w:val="clear" w:color="auto" w:fill="FFFFFF"/>
        </w:rPr>
        <w:t xml:space="preserve"> Producción </w:t>
      </w:r>
      <w:r>
        <w:rPr>
          <w:rFonts w:ascii="Times New Roman" w:eastAsia="Times New Roman" w:hAnsi="Times New Roman"/>
          <w:color w:val="000000"/>
          <w:sz w:val="24"/>
          <w:szCs w:val="24"/>
          <w:lang w:eastAsia="es-ES"/>
        </w:rPr>
        <w:t xml:space="preserve">de </w:t>
      </w:r>
      <w:proofErr w:type="spellStart"/>
      <w:r>
        <w:rPr>
          <w:rFonts w:ascii="Times New Roman" w:eastAsia="Times New Roman" w:hAnsi="Times New Roman"/>
          <w:color w:val="000000"/>
          <w:sz w:val="24"/>
          <w:szCs w:val="24"/>
          <w:lang w:eastAsia="es-ES"/>
        </w:rPr>
        <w:t>Expeller</w:t>
      </w:r>
      <w:proofErr w:type="spellEnd"/>
      <w:r>
        <w:rPr>
          <w:rFonts w:ascii="Times New Roman" w:eastAsia="Times New Roman" w:hAnsi="Times New Roman"/>
          <w:color w:val="000000"/>
          <w:sz w:val="24"/>
          <w:szCs w:val="24"/>
          <w:lang w:eastAsia="es-ES"/>
        </w:rPr>
        <w:t xml:space="preserve"> para Argentina</w:t>
      </w:r>
      <w:r w:rsidR="007B00F4" w:rsidRPr="001E5CE2">
        <w:rPr>
          <w:rFonts w:ascii="Times New Roman" w:hAnsi="Times New Roman"/>
          <w:color w:val="222222"/>
          <w:sz w:val="24"/>
          <w:szCs w:val="24"/>
          <w:shd w:val="clear" w:color="auto" w:fill="FFFFFF"/>
        </w:rPr>
        <w:t>. Periodo 2010-</w:t>
      </w:r>
      <w:r w:rsidR="00E14EBF" w:rsidRPr="001E5CE2">
        <w:rPr>
          <w:rFonts w:ascii="Times New Roman" w:hAnsi="Times New Roman"/>
          <w:color w:val="222222"/>
          <w:sz w:val="24"/>
          <w:szCs w:val="24"/>
          <w:shd w:val="clear" w:color="auto" w:fill="FFFFFF"/>
        </w:rPr>
        <w:t>1</w:t>
      </w:r>
      <w:r>
        <w:rPr>
          <w:rFonts w:ascii="Times New Roman" w:hAnsi="Times New Roman"/>
          <w:color w:val="222222"/>
          <w:sz w:val="24"/>
          <w:szCs w:val="24"/>
          <w:shd w:val="clear" w:color="auto" w:fill="FFFFFF"/>
        </w:rPr>
        <w:t>8</w:t>
      </w:r>
    </w:p>
    <w:p w14:paraId="2D0CC156" w14:textId="77777777" w:rsidR="00857712" w:rsidRPr="001E5CE2" w:rsidRDefault="00A768D6" w:rsidP="001E5CE2">
      <w:pPr>
        <w:spacing w:after="0" w:line="360" w:lineRule="auto"/>
        <w:jc w:val="center"/>
        <w:rPr>
          <w:rFonts w:ascii="Times New Roman" w:hAnsi="Times New Roman"/>
          <w:color w:val="222222"/>
          <w:sz w:val="24"/>
          <w:szCs w:val="24"/>
          <w:shd w:val="clear" w:color="auto" w:fill="FFFFFF"/>
        </w:rPr>
      </w:pPr>
      <w:r>
        <w:rPr>
          <w:noProof/>
          <w:lang w:eastAsia="es-AR"/>
        </w:rPr>
        <w:drawing>
          <wp:inline distT="0" distB="0" distL="0" distR="0" wp14:anchorId="6D719DF7" wp14:editId="3AC60D29">
            <wp:extent cx="5175251" cy="2760661"/>
            <wp:effectExtent l="0" t="0" r="6350" b="1905"/>
            <wp:docPr id="12" name="Gráfico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61CA32" w14:textId="77777777" w:rsidR="00A768D6" w:rsidRPr="001E62A0" w:rsidRDefault="00A768D6" w:rsidP="00A768D6">
      <w:pPr>
        <w:spacing w:after="0" w:line="360" w:lineRule="auto"/>
        <w:jc w:val="center"/>
        <w:rPr>
          <w:rFonts w:ascii="Times New Roman" w:hAnsi="Times New Roman"/>
          <w:i/>
          <w:color w:val="222222"/>
          <w:sz w:val="20"/>
          <w:szCs w:val="20"/>
          <w:shd w:val="clear" w:color="auto" w:fill="FFFFFF"/>
        </w:rPr>
      </w:pPr>
      <w:r w:rsidRPr="001E62A0">
        <w:rPr>
          <w:rFonts w:ascii="Times New Roman" w:hAnsi="Times New Roman"/>
          <w:i/>
          <w:color w:val="222222"/>
          <w:sz w:val="20"/>
          <w:szCs w:val="20"/>
          <w:shd w:val="clear" w:color="auto" w:fill="FFFFFF"/>
        </w:rPr>
        <w:t xml:space="preserve">Fuente: Elaboración propia en base a datos de la Secretaría de Agroindustria. </w:t>
      </w:r>
    </w:p>
    <w:p w14:paraId="40BCEC8D" w14:textId="104AC560" w:rsidR="001E62A0" w:rsidRPr="001E5CE2" w:rsidRDefault="001E62A0" w:rsidP="001E62A0">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Tanto el</w:t>
      </w:r>
      <w:r w:rsidRPr="001E5CE2">
        <w:rPr>
          <w:rFonts w:ascii="Times New Roman" w:hAnsi="Times New Roman"/>
          <w:color w:val="000000"/>
          <w:sz w:val="24"/>
          <w:szCs w:val="24"/>
        </w:rPr>
        <w:t xml:space="preserve"> </w:t>
      </w:r>
      <w:proofErr w:type="spellStart"/>
      <w:r w:rsidRPr="001E5CE2">
        <w:rPr>
          <w:rFonts w:ascii="Times New Roman" w:hAnsi="Times New Roman"/>
          <w:color w:val="000000"/>
          <w:sz w:val="24"/>
          <w:szCs w:val="24"/>
        </w:rPr>
        <w:t>expeller</w:t>
      </w:r>
      <w:proofErr w:type="spellEnd"/>
      <w:r w:rsidRPr="001E5CE2">
        <w:rPr>
          <w:rFonts w:ascii="Times New Roman" w:hAnsi="Times New Roman"/>
          <w:color w:val="000000"/>
          <w:sz w:val="24"/>
          <w:szCs w:val="24"/>
        </w:rPr>
        <w:t xml:space="preserve"> </w:t>
      </w:r>
      <w:r>
        <w:rPr>
          <w:rFonts w:ascii="Times New Roman" w:hAnsi="Times New Roman"/>
          <w:color w:val="000000"/>
          <w:sz w:val="24"/>
          <w:szCs w:val="24"/>
        </w:rPr>
        <w:t>como las</w:t>
      </w:r>
      <w:r w:rsidRPr="001E5CE2">
        <w:rPr>
          <w:rFonts w:ascii="Times New Roman" w:hAnsi="Times New Roman"/>
          <w:color w:val="000000"/>
          <w:sz w:val="24"/>
          <w:szCs w:val="24"/>
        </w:rPr>
        <w:t xml:space="preserve"> harinas </w:t>
      </w:r>
      <w:r>
        <w:rPr>
          <w:rFonts w:ascii="Times New Roman" w:hAnsi="Times New Roman"/>
          <w:color w:val="000000"/>
          <w:sz w:val="24"/>
          <w:szCs w:val="24"/>
        </w:rPr>
        <w:t>de soja son</w:t>
      </w:r>
      <w:r w:rsidRPr="001E5CE2">
        <w:rPr>
          <w:rFonts w:ascii="Times New Roman" w:hAnsi="Times New Roman"/>
          <w:color w:val="000000"/>
          <w:sz w:val="24"/>
          <w:szCs w:val="24"/>
        </w:rPr>
        <w:t xml:space="preserve"> un residuo sólido que se obtienen como subproducto por la extracción de aceite. El </w:t>
      </w:r>
      <w:proofErr w:type="spellStart"/>
      <w:r w:rsidRPr="001E5CE2">
        <w:rPr>
          <w:rFonts w:ascii="Times New Roman" w:hAnsi="Times New Roman"/>
          <w:color w:val="000000"/>
          <w:sz w:val="24"/>
          <w:szCs w:val="24"/>
        </w:rPr>
        <w:t>expeller</w:t>
      </w:r>
      <w:proofErr w:type="spellEnd"/>
      <w:r w:rsidRPr="001E5CE2">
        <w:rPr>
          <w:rFonts w:ascii="Times New Roman" w:hAnsi="Times New Roman"/>
          <w:color w:val="000000"/>
          <w:sz w:val="24"/>
          <w:szCs w:val="24"/>
        </w:rPr>
        <w:t>, cuenta con un contenido de aceite de entre el 5 y 7%, mientras que</w:t>
      </w:r>
      <w:r>
        <w:rPr>
          <w:rFonts w:ascii="Times New Roman" w:hAnsi="Times New Roman"/>
          <w:color w:val="000000"/>
          <w:sz w:val="24"/>
          <w:szCs w:val="24"/>
        </w:rPr>
        <w:t xml:space="preserve"> en</w:t>
      </w:r>
      <w:r w:rsidRPr="001E5CE2">
        <w:rPr>
          <w:rFonts w:ascii="Times New Roman" w:hAnsi="Times New Roman"/>
          <w:color w:val="000000"/>
          <w:sz w:val="24"/>
          <w:szCs w:val="24"/>
        </w:rPr>
        <w:t xml:space="preserve"> la harina de soja es entre 0,5 y 2%. Ambos</w:t>
      </w:r>
      <w:r>
        <w:rPr>
          <w:rFonts w:ascii="Times New Roman" w:hAnsi="Times New Roman"/>
          <w:color w:val="000000"/>
          <w:sz w:val="24"/>
          <w:szCs w:val="24"/>
        </w:rPr>
        <w:t>,</w:t>
      </w:r>
      <w:r w:rsidRPr="001E5CE2">
        <w:rPr>
          <w:rFonts w:ascii="Times New Roman" w:hAnsi="Times New Roman"/>
          <w:color w:val="000000"/>
          <w:sz w:val="24"/>
          <w:szCs w:val="24"/>
        </w:rPr>
        <w:t xml:space="preserve"> son concentrados con un contenido proteico de entre 40</w:t>
      </w:r>
      <w:r>
        <w:rPr>
          <w:rFonts w:ascii="Times New Roman" w:hAnsi="Times New Roman"/>
          <w:color w:val="000000"/>
          <w:sz w:val="24"/>
          <w:szCs w:val="24"/>
        </w:rPr>
        <w:t>%</w:t>
      </w:r>
      <w:r w:rsidRPr="001E5CE2">
        <w:rPr>
          <w:rFonts w:ascii="Times New Roman" w:hAnsi="Times New Roman"/>
          <w:color w:val="000000"/>
          <w:sz w:val="24"/>
          <w:szCs w:val="24"/>
        </w:rPr>
        <w:t xml:space="preserve"> y 47% de sustancia seca </w:t>
      </w:r>
      <w:r>
        <w:rPr>
          <w:rFonts w:ascii="Times New Roman" w:hAnsi="Times New Roman"/>
          <w:color w:val="000000"/>
          <w:sz w:val="24"/>
          <w:szCs w:val="24"/>
        </w:rPr>
        <w:t>(</w:t>
      </w:r>
      <w:r w:rsidRPr="001E5CE2">
        <w:rPr>
          <w:rFonts w:ascii="Times New Roman" w:hAnsi="Times New Roman"/>
          <w:color w:val="000000"/>
          <w:sz w:val="24"/>
          <w:szCs w:val="24"/>
        </w:rPr>
        <w:t>fuente de proteína</w:t>
      </w:r>
      <w:r>
        <w:rPr>
          <w:rFonts w:ascii="Times New Roman" w:hAnsi="Times New Roman"/>
          <w:color w:val="000000"/>
          <w:sz w:val="24"/>
          <w:szCs w:val="24"/>
        </w:rPr>
        <w:t xml:space="preserve"> alimentaria)</w:t>
      </w:r>
      <w:r w:rsidRPr="001E5CE2">
        <w:rPr>
          <w:rFonts w:ascii="Times New Roman" w:hAnsi="Times New Roman"/>
          <w:color w:val="000000"/>
          <w:sz w:val="24"/>
          <w:szCs w:val="24"/>
        </w:rPr>
        <w:t xml:space="preserve">. El </w:t>
      </w:r>
      <w:proofErr w:type="spellStart"/>
      <w:r w:rsidRPr="001E5CE2">
        <w:rPr>
          <w:rFonts w:ascii="Times New Roman" w:hAnsi="Times New Roman"/>
          <w:color w:val="000000"/>
          <w:sz w:val="24"/>
          <w:szCs w:val="24"/>
        </w:rPr>
        <w:t>expeller</w:t>
      </w:r>
      <w:proofErr w:type="spellEnd"/>
      <w:r w:rsidRPr="001E5CE2">
        <w:rPr>
          <w:rFonts w:ascii="Times New Roman" w:hAnsi="Times New Roman"/>
          <w:color w:val="000000"/>
          <w:sz w:val="24"/>
          <w:szCs w:val="24"/>
        </w:rPr>
        <w:t xml:space="preserve"> posee una ventaja en relación a las harinas, ya que si el proceso de </w:t>
      </w:r>
      <w:proofErr w:type="spellStart"/>
      <w:r w:rsidRPr="001E5CE2">
        <w:rPr>
          <w:rFonts w:ascii="Times New Roman" w:hAnsi="Times New Roman"/>
          <w:color w:val="000000"/>
          <w:sz w:val="24"/>
          <w:szCs w:val="24"/>
        </w:rPr>
        <w:t>extrusado</w:t>
      </w:r>
      <w:proofErr w:type="spellEnd"/>
      <w:r w:rsidRPr="001E5CE2">
        <w:rPr>
          <w:rFonts w:ascii="Times New Roman" w:hAnsi="Times New Roman"/>
          <w:color w:val="000000"/>
          <w:sz w:val="24"/>
          <w:szCs w:val="24"/>
        </w:rPr>
        <w:t>-prensado está controlado respecto a la temperatura que alcanza el mismo, generaría una modificación en la estructura de la proteína que favorece</w:t>
      </w:r>
      <w:r>
        <w:rPr>
          <w:rFonts w:ascii="Times New Roman" w:hAnsi="Times New Roman"/>
          <w:color w:val="000000"/>
          <w:sz w:val="24"/>
          <w:szCs w:val="24"/>
        </w:rPr>
        <w:t xml:space="preserve"> </w:t>
      </w:r>
      <w:r w:rsidRPr="001E5CE2">
        <w:rPr>
          <w:rFonts w:ascii="Times New Roman" w:hAnsi="Times New Roman"/>
          <w:color w:val="000000"/>
          <w:sz w:val="24"/>
          <w:szCs w:val="24"/>
        </w:rPr>
        <w:t>su digestibilidad, considerándose por ello un producto de mayor calidad.</w:t>
      </w:r>
    </w:p>
    <w:p w14:paraId="0B96C4B9" w14:textId="77777777" w:rsidR="00221265" w:rsidRDefault="00221265" w:rsidP="001E5CE2">
      <w:pPr>
        <w:spacing w:after="0" w:line="360" w:lineRule="auto"/>
        <w:jc w:val="both"/>
        <w:rPr>
          <w:rFonts w:ascii="Times New Roman" w:hAnsi="Times New Roman"/>
          <w:color w:val="000000"/>
          <w:sz w:val="24"/>
          <w:szCs w:val="24"/>
        </w:rPr>
      </w:pPr>
    </w:p>
    <w:p w14:paraId="3205978B" w14:textId="4B391D79" w:rsidR="00B70518" w:rsidRDefault="00B70518" w:rsidP="00B70518">
      <w:pPr>
        <w:spacing w:after="0" w:line="360" w:lineRule="auto"/>
        <w:jc w:val="center"/>
        <w:rPr>
          <w:rFonts w:ascii="Times New Roman" w:hAnsi="Times New Roman"/>
          <w:color w:val="222222"/>
          <w:sz w:val="24"/>
          <w:szCs w:val="24"/>
          <w:shd w:val="clear" w:color="auto" w:fill="FFFFFF"/>
        </w:rPr>
      </w:pPr>
      <w:r w:rsidRPr="001E62A0">
        <w:rPr>
          <w:rFonts w:ascii="Times New Roman" w:hAnsi="Times New Roman"/>
          <w:color w:val="222222"/>
          <w:sz w:val="24"/>
          <w:szCs w:val="24"/>
          <w:shd w:val="clear" w:color="auto" w:fill="FFFFFF"/>
        </w:rPr>
        <w:t>Gráfico  4:</w:t>
      </w:r>
      <w:r w:rsidRPr="001E5CE2">
        <w:rPr>
          <w:rFonts w:ascii="Times New Roman" w:hAnsi="Times New Roman"/>
          <w:color w:val="222222"/>
          <w:sz w:val="24"/>
          <w:szCs w:val="24"/>
          <w:shd w:val="clear" w:color="auto" w:fill="FFFFFF"/>
        </w:rPr>
        <w:t xml:space="preserve"> Producción y </w:t>
      </w:r>
      <w:r>
        <w:rPr>
          <w:rFonts w:ascii="Times New Roman" w:hAnsi="Times New Roman"/>
          <w:color w:val="222222"/>
          <w:sz w:val="24"/>
          <w:szCs w:val="24"/>
          <w:shd w:val="clear" w:color="auto" w:fill="FFFFFF"/>
        </w:rPr>
        <w:t>exportación</w:t>
      </w:r>
      <w:r w:rsidRPr="001E5CE2">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de </w:t>
      </w:r>
      <w:r w:rsidRPr="001E5CE2">
        <w:rPr>
          <w:rFonts w:ascii="Times New Roman" w:eastAsia="Times New Roman" w:hAnsi="Times New Roman"/>
          <w:color w:val="000000"/>
          <w:sz w:val="24"/>
          <w:szCs w:val="24"/>
          <w:lang w:eastAsia="es-ES"/>
        </w:rPr>
        <w:t>Harina/Pellets</w:t>
      </w:r>
      <w:r w:rsidR="00260B90">
        <w:rPr>
          <w:rStyle w:val="Refdenotaalpie"/>
          <w:rFonts w:ascii="Times New Roman" w:eastAsia="Times New Roman" w:hAnsi="Times New Roman"/>
          <w:color w:val="000000"/>
          <w:sz w:val="24"/>
          <w:szCs w:val="24"/>
          <w:lang w:eastAsia="es-ES"/>
        </w:rPr>
        <w:footnoteReference w:id="6"/>
      </w:r>
      <w:r>
        <w:rPr>
          <w:rFonts w:ascii="Times New Roman" w:eastAsia="Times New Roman" w:hAnsi="Times New Roman"/>
          <w:color w:val="000000"/>
          <w:sz w:val="24"/>
          <w:szCs w:val="24"/>
          <w:lang w:eastAsia="es-ES"/>
        </w:rPr>
        <w:t xml:space="preserve"> para Argentina</w:t>
      </w:r>
      <w:r w:rsidRPr="001E5CE2">
        <w:rPr>
          <w:rFonts w:ascii="Times New Roman" w:hAnsi="Times New Roman"/>
          <w:color w:val="222222"/>
          <w:sz w:val="24"/>
          <w:szCs w:val="24"/>
          <w:shd w:val="clear" w:color="auto" w:fill="FFFFFF"/>
        </w:rPr>
        <w:t>. Periodo 2010-1</w:t>
      </w:r>
      <w:r>
        <w:rPr>
          <w:rFonts w:ascii="Times New Roman" w:hAnsi="Times New Roman"/>
          <w:color w:val="222222"/>
          <w:sz w:val="24"/>
          <w:szCs w:val="24"/>
          <w:shd w:val="clear" w:color="auto" w:fill="FFFFFF"/>
        </w:rPr>
        <w:t>8</w:t>
      </w:r>
    </w:p>
    <w:p w14:paraId="1B937B07" w14:textId="77777777" w:rsidR="00B70518" w:rsidRPr="001E5CE2" w:rsidRDefault="00A768D6" w:rsidP="00B70518">
      <w:pPr>
        <w:spacing w:after="0" w:line="360" w:lineRule="auto"/>
        <w:jc w:val="center"/>
        <w:rPr>
          <w:rFonts w:ascii="Times New Roman" w:hAnsi="Times New Roman"/>
          <w:color w:val="222222"/>
          <w:sz w:val="24"/>
          <w:szCs w:val="24"/>
          <w:shd w:val="clear" w:color="auto" w:fill="FFFFFF"/>
        </w:rPr>
      </w:pPr>
      <w:r>
        <w:rPr>
          <w:noProof/>
          <w:lang w:eastAsia="es-AR"/>
        </w:rPr>
        <w:drawing>
          <wp:inline distT="0" distB="0" distL="0" distR="0" wp14:anchorId="5AF39E42" wp14:editId="4F0B24F0">
            <wp:extent cx="4905376" cy="2760662"/>
            <wp:effectExtent l="0" t="0" r="9525" b="1905"/>
            <wp:docPr id="13" name="Gráfico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E3729F" w14:textId="77777777" w:rsidR="00A768D6" w:rsidRPr="001E62A0" w:rsidRDefault="00A768D6" w:rsidP="00A768D6">
      <w:pPr>
        <w:spacing w:after="0" w:line="360" w:lineRule="auto"/>
        <w:jc w:val="center"/>
        <w:rPr>
          <w:rFonts w:ascii="Times New Roman" w:hAnsi="Times New Roman"/>
          <w:i/>
          <w:color w:val="222222"/>
          <w:sz w:val="20"/>
          <w:szCs w:val="20"/>
          <w:shd w:val="clear" w:color="auto" w:fill="FFFFFF"/>
        </w:rPr>
      </w:pPr>
      <w:r w:rsidRPr="001E62A0">
        <w:rPr>
          <w:rFonts w:ascii="Times New Roman" w:hAnsi="Times New Roman"/>
          <w:i/>
          <w:color w:val="222222"/>
          <w:sz w:val="20"/>
          <w:szCs w:val="20"/>
          <w:shd w:val="clear" w:color="auto" w:fill="FFFFFF"/>
        </w:rPr>
        <w:t xml:space="preserve">Fuente: Elaboración propia en base a datos de la Secretaría de Agroindustria. </w:t>
      </w:r>
    </w:p>
    <w:p w14:paraId="47B0DE48" w14:textId="77777777" w:rsidR="00B70518" w:rsidRDefault="00B70518" w:rsidP="001E5CE2">
      <w:pPr>
        <w:spacing w:after="0" w:line="360" w:lineRule="auto"/>
        <w:jc w:val="both"/>
        <w:rPr>
          <w:rFonts w:ascii="Times New Roman" w:hAnsi="Times New Roman"/>
          <w:color w:val="000000"/>
          <w:sz w:val="24"/>
          <w:szCs w:val="24"/>
        </w:rPr>
      </w:pPr>
    </w:p>
    <w:p w14:paraId="674C438D" w14:textId="027C17CC" w:rsidR="007B00F4"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Según datos del MINAGRI, el nivel de producción de </w:t>
      </w:r>
      <w:proofErr w:type="spellStart"/>
      <w:r w:rsidRPr="001E5CE2">
        <w:rPr>
          <w:rFonts w:ascii="Times New Roman" w:hAnsi="Times New Roman"/>
          <w:color w:val="000000"/>
          <w:sz w:val="24"/>
          <w:szCs w:val="24"/>
        </w:rPr>
        <w:t>expeller</w:t>
      </w:r>
      <w:proofErr w:type="spellEnd"/>
      <w:r w:rsidR="001E62A0">
        <w:rPr>
          <w:rFonts w:ascii="Times New Roman" w:hAnsi="Times New Roman"/>
          <w:color w:val="000000"/>
          <w:sz w:val="24"/>
          <w:szCs w:val="24"/>
        </w:rPr>
        <w:t>, mostrado en el Gráfico 3,</w:t>
      </w:r>
      <w:r w:rsidRPr="001E5CE2">
        <w:rPr>
          <w:rFonts w:ascii="Times New Roman" w:hAnsi="Times New Roman"/>
          <w:color w:val="000000"/>
          <w:sz w:val="24"/>
          <w:szCs w:val="24"/>
        </w:rPr>
        <w:t xml:space="preserve"> </w:t>
      </w:r>
      <w:r w:rsidR="00E604C7">
        <w:rPr>
          <w:rFonts w:ascii="Times New Roman" w:hAnsi="Times New Roman"/>
          <w:color w:val="000000"/>
          <w:sz w:val="24"/>
          <w:szCs w:val="24"/>
        </w:rPr>
        <w:t>se incrementa desde la campaña 2009/10, mientras que</w:t>
      </w:r>
      <w:r w:rsidR="00B6415C">
        <w:rPr>
          <w:rFonts w:ascii="Times New Roman" w:hAnsi="Times New Roman"/>
          <w:color w:val="000000"/>
          <w:sz w:val="24"/>
          <w:szCs w:val="24"/>
        </w:rPr>
        <w:t>,</w:t>
      </w:r>
      <w:r w:rsidR="00E604C7">
        <w:rPr>
          <w:rFonts w:ascii="Times New Roman" w:hAnsi="Times New Roman"/>
          <w:color w:val="000000"/>
          <w:sz w:val="24"/>
          <w:szCs w:val="24"/>
        </w:rPr>
        <w:t xml:space="preserve"> para el caso </w:t>
      </w:r>
      <w:r w:rsidR="00B6415C">
        <w:rPr>
          <w:rFonts w:ascii="Times New Roman" w:hAnsi="Times New Roman"/>
          <w:color w:val="000000"/>
          <w:sz w:val="24"/>
          <w:szCs w:val="24"/>
        </w:rPr>
        <w:t xml:space="preserve">del </w:t>
      </w:r>
      <w:r w:rsidR="00B6415C" w:rsidRPr="001E5CE2">
        <w:rPr>
          <w:rFonts w:ascii="Times New Roman" w:hAnsi="Times New Roman"/>
          <w:color w:val="000000"/>
          <w:sz w:val="24"/>
          <w:szCs w:val="24"/>
        </w:rPr>
        <w:t>pellet</w:t>
      </w:r>
      <w:r w:rsidR="008B7291">
        <w:rPr>
          <w:rFonts w:ascii="Times New Roman" w:hAnsi="Times New Roman"/>
          <w:color w:val="000000"/>
          <w:sz w:val="24"/>
          <w:szCs w:val="24"/>
        </w:rPr>
        <w:t>, tal como se observa en el Gráfico 4,</w:t>
      </w:r>
      <w:r w:rsidRPr="001E5CE2">
        <w:rPr>
          <w:rFonts w:ascii="Times New Roman" w:hAnsi="Times New Roman"/>
          <w:color w:val="000000"/>
          <w:sz w:val="24"/>
          <w:szCs w:val="24"/>
        </w:rPr>
        <w:t xml:space="preserve"> se han mantenido relativamente estable en el período bajo estudio</w:t>
      </w:r>
      <w:r w:rsidR="005B2D41">
        <w:rPr>
          <w:rFonts w:ascii="Times New Roman" w:hAnsi="Times New Roman"/>
          <w:color w:val="000000"/>
          <w:sz w:val="24"/>
          <w:szCs w:val="24"/>
        </w:rPr>
        <w:t xml:space="preserve"> (siguiendo las variaciones de la producción de granos)</w:t>
      </w:r>
      <w:r w:rsidRPr="001E5CE2">
        <w:rPr>
          <w:rFonts w:ascii="Times New Roman" w:hAnsi="Times New Roman"/>
          <w:color w:val="000000"/>
          <w:sz w:val="24"/>
          <w:szCs w:val="24"/>
        </w:rPr>
        <w:t xml:space="preserve">. Sólo se publican datos de exportación de pellets, presentando en informes </w:t>
      </w:r>
      <w:r w:rsidR="001E62A0">
        <w:rPr>
          <w:rFonts w:ascii="Times New Roman" w:hAnsi="Times New Roman"/>
          <w:color w:val="000000"/>
          <w:sz w:val="24"/>
          <w:szCs w:val="24"/>
        </w:rPr>
        <w:t xml:space="preserve">ya </w:t>
      </w:r>
      <w:r w:rsidRPr="001E5CE2">
        <w:rPr>
          <w:rFonts w:ascii="Times New Roman" w:hAnsi="Times New Roman"/>
          <w:color w:val="000000"/>
          <w:sz w:val="24"/>
          <w:szCs w:val="24"/>
        </w:rPr>
        <w:t xml:space="preserve">que no hay registros de exportaciones de </w:t>
      </w:r>
      <w:proofErr w:type="spellStart"/>
      <w:r w:rsidRPr="001E5CE2">
        <w:rPr>
          <w:rFonts w:ascii="Times New Roman" w:hAnsi="Times New Roman"/>
          <w:color w:val="000000"/>
          <w:sz w:val="24"/>
          <w:szCs w:val="24"/>
        </w:rPr>
        <w:t>expeller</w:t>
      </w:r>
      <w:proofErr w:type="spellEnd"/>
      <w:r w:rsidRPr="001E5CE2">
        <w:rPr>
          <w:rFonts w:ascii="Times New Roman" w:hAnsi="Times New Roman"/>
          <w:color w:val="000000"/>
          <w:sz w:val="24"/>
          <w:szCs w:val="24"/>
        </w:rPr>
        <w:t xml:space="preserve"> </w:t>
      </w:r>
      <w:r w:rsidR="00E14EBF" w:rsidRPr="001E5CE2">
        <w:rPr>
          <w:rFonts w:ascii="Times New Roman" w:hAnsi="Times New Roman"/>
          <w:color w:val="000000"/>
          <w:sz w:val="24"/>
          <w:szCs w:val="24"/>
        </w:rPr>
        <w:t xml:space="preserve">porque </w:t>
      </w:r>
      <w:r w:rsidRPr="001E5CE2">
        <w:rPr>
          <w:rFonts w:ascii="Times New Roman" w:hAnsi="Times New Roman"/>
          <w:color w:val="000000"/>
          <w:sz w:val="24"/>
          <w:szCs w:val="24"/>
        </w:rPr>
        <w:t xml:space="preserve">dicho producto se </w:t>
      </w:r>
      <w:r w:rsidR="00E14EBF" w:rsidRPr="001E5CE2">
        <w:rPr>
          <w:rFonts w:ascii="Times New Roman" w:hAnsi="Times New Roman"/>
          <w:color w:val="000000"/>
          <w:sz w:val="24"/>
          <w:szCs w:val="24"/>
        </w:rPr>
        <w:t xml:space="preserve">destina solo </w:t>
      </w:r>
      <w:r w:rsidRPr="001E5CE2">
        <w:rPr>
          <w:rFonts w:ascii="Times New Roman" w:hAnsi="Times New Roman"/>
          <w:color w:val="000000"/>
          <w:sz w:val="24"/>
          <w:szCs w:val="24"/>
        </w:rPr>
        <w:t>para consumo interno.</w:t>
      </w:r>
    </w:p>
    <w:p w14:paraId="06979410" w14:textId="5DCA8EC1" w:rsidR="00BB5D89" w:rsidRPr="001E5CE2" w:rsidRDefault="008F3CFD" w:rsidP="00BB5D89">
      <w:pPr>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BB5D89">
        <w:rPr>
          <w:rFonts w:ascii="Times New Roman" w:hAnsi="Times New Roman"/>
          <w:color w:val="000000"/>
          <w:sz w:val="24"/>
          <w:szCs w:val="24"/>
        </w:rPr>
        <w:t>l estudio de la cadena</w:t>
      </w:r>
      <w:r>
        <w:rPr>
          <w:rFonts w:ascii="Times New Roman" w:hAnsi="Times New Roman"/>
          <w:color w:val="000000"/>
          <w:sz w:val="24"/>
          <w:szCs w:val="24"/>
        </w:rPr>
        <w:t xml:space="preserve"> se cierra con el análisis de </w:t>
      </w:r>
      <w:r w:rsidR="00BB5D89">
        <w:rPr>
          <w:rFonts w:ascii="Times New Roman" w:hAnsi="Times New Roman"/>
          <w:color w:val="000000"/>
          <w:sz w:val="24"/>
          <w:szCs w:val="24"/>
        </w:rPr>
        <w:t>la industria de</w:t>
      </w:r>
      <w:r w:rsidR="00BB5D89" w:rsidRPr="001E5CE2">
        <w:rPr>
          <w:rFonts w:ascii="Times New Roman" w:hAnsi="Times New Roman"/>
          <w:color w:val="000000"/>
          <w:sz w:val="24"/>
          <w:szCs w:val="24"/>
        </w:rPr>
        <w:t>l Biodiesel</w:t>
      </w:r>
      <w:r w:rsidR="00BB5D89">
        <w:rPr>
          <w:rFonts w:ascii="Times New Roman" w:hAnsi="Times New Roman"/>
          <w:color w:val="000000"/>
          <w:sz w:val="24"/>
          <w:szCs w:val="24"/>
        </w:rPr>
        <w:t>. Este biocombustible</w:t>
      </w:r>
      <w:r w:rsidR="00BB5D89" w:rsidRPr="001E5CE2">
        <w:rPr>
          <w:rFonts w:ascii="Times New Roman" w:hAnsi="Times New Roman"/>
          <w:color w:val="000000"/>
          <w:sz w:val="24"/>
          <w:szCs w:val="24"/>
        </w:rPr>
        <w:t xml:space="preserve"> es elaborado a partir de aceites y grasas, siendo la soja la principal materia prima usada para su elaboración en Argentina, a partir del aceite de soja refinado. Es apto </w:t>
      </w:r>
      <w:r w:rsidR="00BB5D89" w:rsidRPr="001E5CE2">
        <w:rPr>
          <w:rFonts w:ascii="Times New Roman" w:hAnsi="Times New Roman"/>
          <w:color w:val="000000"/>
          <w:sz w:val="24"/>
          <w:szCs w:val="24"/>
        </w:rPr>
        <w:lastRenderedPageBreak/>
        <w:t xml:space="preserve">para su empleo como sustituto parcial o total del gasoil en motores diésel, sin </w:t>
      </w:r>
      <w:r w:rsidR="00BB5D89">
        <w:rPr>
          <w:rFonts w:ascii="Times New Roman" w:hAnsi="Times New Roman"/>
          <w:color w:val="000000"/>
          <w:sz w:val="24"/>
          <w:szCs w:val="24"/>
        </w:rPr>
        <w:t xml:space="preserve">que </w:t>
      </w:r>
      <w:r w:rsidR="00BB5D89" w:rsidRPr="001E5CE2">
        <w:rPr>
          <w:rFonts w:ascii="Times New Roman" w:hAnsi="Times New Roman"/>
          <w:color w:val="000000"/>
          <w:sz w:val="24"/>
          <w:szCs w:val="24"/>
        </w:rPr>
        <w:t>se realicen conversiones, ajustes o regulaciones especiales en el motor.</w:t>
      </w:r>
    </w:p>
    <w:p w14:paraId="0017D80C" w14:textId="77777777" w:rsidR="00BB5D89" w:rsidRPr="001E5CE2" w:rsidRDefault="00BB5D89" w:rsidP="00BB5D89">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Se produce a través del proceso químico de transesterificación, a través del cual la glicerina es separada de las grasas o de los aceites, continuando luego con el proceso de decantación, destilación y purificación, obteniendo con ello dos productos: ésteres metílicos (biodiesel) y glicerina.</w:t>
      </w:r>
    </w:p>
    <w:p w14:paraId="2DC7FA9C" w14:textId="095E0149" w:rsidR="00BB5D89" w:rsidRPr="001E5CE2" w:rsidRDefault="00BB5D89" w:rsidP="00BB5D89">
      <w:pPr>
        <w:spacing w:after="0" w:line="360" w:lineRule="auto"/>
        <w:jc w:val="both"/>
        <w:rPr>
          <w:rFonts w:ascii="Times New Roman" w:eastAsia="Times New Roman" w:hAnsi="Times New Roman"/>
          <w:color w:val="000000"/>
          <w:sz w:val="24"/>
          <w:szCs w:val="24"/>
          <w:lang w:eastAsia="es-ES"/>
        </w:rPr>
      </w:pPr>
      <w:r w:rsidRPr="001E5CE2">
        <w:rPr>
          <w:rFonts w:ascii="Times New Roman" w:hAnsi="Times New Roman"/>
          <w:color w:val="000000"/>
          <w:sz w:val="24"/>
          <w:szCs w:val="24"/>
        </w:rPr>
        <w:t>La evolución de la producción anual del biod</w:t>
      </w:r>
      <w:r w:rsidR="00260B90">
        <w:rPr>
          <w:rFonts w:ascii="Times New Roman" w:hAnsi="Times New Roman"/>
          <w:color w:val="000000"/>
          <w:sz w:val="24"/>
          <w:szCs w:val="24"/>
        </w:rPr>
        <w:t>i</w:t>
      </w:r>
      <w:r w:rsidRPr="001E5CE2">
        <w:rPr>
          <w:rFonts w:ascii="Times New Roman" w:hAnsi="Times New Roman"/>
          <w:color w:val="000000"/>
          <w:sz w:val="24"/>
          <w:szCs w:val="24"/>
        </w:rPr>
        <w:t xml:space="preserve">esel, que depende de las ventas internas y de las exportaciones, </w:t>
      </w:r>
      <w:r w:rsidR="008F3CFD">
        <w:rPr>
          <w:rFonts w:ascii="Times New Roman" w:hAnsi="Times New Roman"/>
          <w:color w:val="000000"/>
          <w:sz w:val="24"/>
          <w:szCs w:val="24"/>
        </w:rPr>
        <w:t>presentó un</w:t>
      </w:r>
      <w:r w:rsidRPr="001E5CE2">
        <w:rPr>
          <w:rFonts w:ascii="Times New Roman" w:hAnsi="Times New Roman"/>
          <w:color w:val="000000"/>
          <w:sz w:val="24"/>
          <w:szCs w:val="24"/>
        </w:rPr>
        <w:t xml:space="preserve"> continuo </w:t>
      </w:r>
      <w:r w:rsidR="008F3CFD">
        <w:rPr>
          <w:rFonts w:ascii="Times New Roman" w:hAnsi="Times New Roman"/>
          <w:color w:val="000000"/>
          <w:sz w:val="24"/>
          <w:szCs w:val="24"/>
        </w:rPr>
        <w:t>crecimiento</w:t>
      </w:r>
      <w:r w:rsidRPr="001E5CE2">
        <w:rPr>
          <w:rFonts w:ascii="Times New Roman" w:hAnsi="Times New Roman"/>
          <w:color w:val="000000"/>
          <w:sz w:val="24"/>
          <w:szCs w:val="24"/>
        </w:rPr>
        <w:t xml:space="preserve"> hasta el año 2012, cuando por un conflicto comercial con la Unión Europea (UE)</w:t>
      </w:r>
      <w:r w:rsidR="008F3CFD">
        <w:rPr>
          <w:rFonts w:ascii="Times New Roman" w:hAnsi="Times New Roman"/>
          <w:color w:val="000000"/>
          <w:sz w:val="24"/>
          <w:szCs w:val="24"/>
        </w:rPr>
        <w:t xml:space="preserve"> -</w:t>
      </w:r>
      <w:r w:rsidRPr="001E5CE2">
        <w:rPr>
          <w:rFonts w:ascii="Times New Roman" w:hAnsi="Times New Roman"/>
          <w:color w:val="000000"/>
          <w:sz w:val="24"/>
          <w:szCs w:val="24"/>
        </w:rPr>
        <w:t>principal destino de las exportaciones nacionales en ese momento</w:t>
      </w:r>
      <w:r w:rsidR="008F3CFD">
        <w:rPr>
          <w:rFonts w:ascii="Times New Roman" w:hAnsi="Times New Roman"/>
          <w:color w:val="000000"/>
          <w:sz w:val="24"/>
          <w:szCs w:val="24"/>
        </w:rPr>
        <w:t>- cayó</w:t>
      </w:r>
      <w:r w:rsidRPr="001E5CE2">
        <w:rPr>
          <w:rFonts w:ascii="Times New Roman" w:hAnsi="Times New Roman"/>
          <w:color w:val="000000"/>
          <w:sz w:val="24"/>
          <w:szCs w:val="24"/>
        </w:rPr>
        <w:t xml:space="preserve"> en un 6,4%. La situación se agudizó en el año 2013, con una caída en variación interanual de las ventas externas del 25,5%. </w:t>
      </w:r>
      <w:r w:rsidRPr="001E5CE2">
        <w:rPr>
          <w:rFonts w:ascii="Times New Roman" w:eastAsia="Times New Roman" w:hAnsi="Times New Roman"/>
          <w:color w:val="000000"/>
          <w:sz w:val="24"/>
          <w:szCs w:val="24"/>
          <w:lang w:eastAsia="es-ES"/>
        </w:rPr>
        <w:t xml:space="preserve">En el </w:t>
      </w:r>
      <w:r w:rsidR="008F3CFD">
        <w:rPr>
          <w:rFonts w:ascii="Times New Roman" w:eastAsia="Times New Roman" w:hAnsi="Times New Roman"/>
          <w:color w:val="000000"/>
          <w:sz w:val="24"/>
          <w:szCs w:val="24"/>
          <w:lang w:eastAsia="es-ES"/>
        </w:rPr>
        <w:t xml:space="preserve">año </w:t>
      </w:r>
      <w:r w:rsidRPr="001E5CE2">
        <w:rPr>
          <w:rFonts w:ascii="Times New Roman" w:eastAsia="Times New Roman" w:hAnsi="Times New Roman"/>
          <w:color w:val="000000"/>
          <w:sz w:val="24"/>
          <w:szCs w:val="24"/>
          <w:lang w:eastAsia="es-ES"/>
        </w:rPr>
        <w:t>2014</w:t>
      </w:r>
      <w:r w:rsidR="008F3CFD">
        <w:rPr>
          <w:rFonts w:ascii="Times New Roman" w:eastAsia="Times New Roman" w:hAnsi="Times New Roman"/>
          <w:color w:val="000000"/>
          <w:sz w:val="24"/>
          <w:szCs w:val="24"/>
          <w:lang w:eastAsia="es-ES"/>
        </w:rPr>
        <w:t>,</w:t>
      </w:r>
      <w:r w:rsidRPr="001E5CE2">
        <w:rPr>
          <w:rFonts w:ascii="Times New Roman" w:eastAsia="Times New Roman" w:hAnsi="Times New Roman"/>
          <w:color w:val="000000"/>
          <w:sz w:val="24"/>
          <w:szCs w:val="24"/>
          <w:lang w:eastAsia="es-ES"/>
        </w:rPr>
        <w:t xml:space="preserve"> se </w:t>
      </w:r>
      <w:r w:rsidR="008F3CFD">
        <w:rPr>
          <w:rFonts w:ascii="Times New Roman" w:eastAsia="Times New Roman" w:hAnsi="Times New Roman"/>
          <w:color w:val="000000"/>
          <w:sz w:val="24"/>
          <w:szCs w:val="24"/>
          <w:lang w:eastAsia="es-ES"/>
        </w:rPr>
        <w:t>produjeron</w:t>
      </w:r>
      <w:r w:rsidRPr="001E5CE2">
        <w:rPr>
          <w:rFonts w:ascii="Times New Roman" w:eastAsia="Times New Roman" w:hAnsi="Times New Roman"/>
          <w:color w:val="000000"/>
          <w:sz w:val="24"/>
          <w:szCs w:val="24"/>
          <w:lang w:eastAsia="es-ES"/>
        </w:rPr>
        <w:t xml:space="preserve"> niveles más elevados de biodiesel, </w:t>
      </w:r>
      <w:r w:rsidR="008F3CFD">
        <w:rPr>
          <w:rFonts w:ascii="Times New Roman" w:eastAsia="Times New Roman" w:hAnsi="Times New Roman"/>
          <w:color w:val="000000"/>
          <w:sz w:val="24"/>
          <w:szCs w:val="24"/>
          <w:lang w:eastAsia="es-ES"/>
        </w:rPr>
        <w:t xml:space="preserve">como respuesta a </w:t>
      </w:r>
      <w:r w:rsidRPr="001E5CE2">
        <w:rPr>
          <w:rFonts w:ascii="Times New Roman" w:eastAsia="Times New Roman" w:hAnsi="Times New Roman"/>
          <w:color w:val="000000"/>
          <w:sz w:val="24"/>
          <w:szCs w:val="24"/>
          <w:lang w:eastAsia="es-ES"/>
        </w:rPr>
        <w:t xml:space="preserve">una importante </w:t>
      </w:r>
      <w:r w:rsidR="008F3CFD">
        <w:rPr>
          <w:rFonts w:ascii="Times New Roman" w:eastAsia="Times New Roman" w:hAnsi="Times New Roman"/>
          <w:color w:val="000000"/>
          <w:sz w:val="24"/>
          <w:szCs w:val="24"/>
          <w:lang w:eastAsia="es-ES"/>
        </w:rPr>
        <w:t>reducción</w:t>
      </w:r>
      <w:r w:rsidRPr="001E5CE2">
        <w:rPr>
          <w:rFonts w:ascii="Times New Roman" w:eastAsia="Times New Roman" w:hAnsi="Times New Roman"/>
          <w:color w:val="000000"/>
          <w:sz w:val="24"/>
          <w:szCs w:val="24"/>
          <w:lang w:eastAsia="es-ES"/>
        </w:rPr>
        <w:t xml:space="preserve"> de </w:t>
      </w:r>
      <w:r w:rsidR="008F3CFD">
        <w:rPr>
          <w:rFonts w:ascii="Times New Roman" w:eastAsia="Times New Roman" w:hAnsi="Times New Roman"/>
          <w:color w:val="000000"/>
          <w:sz w:val="24"/>
          <w:szCs w:val="24"/>
          <w:lang w:eastAsia="es-ES"/>
        </w:rPr>
        <w:t xml:space="preserve">las </w:t>
      </w:r>
      <w:r w:rsidRPr="001E5CE2">
        <w:rPr>
          <w:rFonts w:ascii="Times New Roman" w:eastAsia="Times New Roman" w:hAnsi="Times New Roman"/>
          <w:color w:val="000000"/>
          <w:sz w:val="24"/>
          <w:szCs w:val="24"/>
          <w:lang w:eastAsia="es-ES"/>
        </w:rPr>
        <w:t>retenciones</w:t>
      </w:r>
      <w:r w:rsidR="008F3CFD">
        <w:rPr>
          <w:rFonts w:ascii="Times New Roman" w:eastAsia="Times New Roman" w:hAnsi="Times New Roman"/>
          <w:color w:val="000000"/>
          <w:sz w:val="24"/>
          <w:szCs w:val="24"/>
          <w:lang w:eastAsia="es-ES"/>
        </w:rPr>
        <w:t>.</w:t>
      </w:r>
      <w:r w:rsidRPr="001E5CE2">
        <w:rPr>
          <w:rFonts w:ascii="Times New Roman" w:eastAsia="Times New Roman" w:hAnsi="Times New Roman"/>
          <w:color w:val="000000"/>
          <w:sz w:val="24"/>
          <w:szCs w:val="24"/>
          <w:lang w:eastAsia="es-ES"/>
        </w:rPr>
        <w:t xml:space="preserve"> La </w:t>
      </w:r>
      <w:r w:rsidR="008F3CFD">
        <w:rPr>
          <w:rFonts w:ascii="Times New Roman" w:eastAsia="Times New Roman" w:hAnsi="Times New Roman"/>
          <w:color w:val="000000"/>
          <w:sz w:val="24"/>
          <w:szCs w:val="24"/>
          <w:lang w:eastAsia="es-ES"/>
        </w:rPr>
        <w:t>caída del año</w:t>
      </w:r>
      <w:r w:rsidRPr="001E5CE2">
        <w:rPr>
          <w:rFonts w:ascii="Times New Roman" w:eastAsia="Times New Roman" w:hAnsi="Times New Roman"/>
          <w:color w:val="000000"/>
          <w:sz w:val="24"/>
          <w:szCs w:val="24"/>
          <w:lang w:eastAsia="es-ES"/>
        </w:rPr>
        <w:t xml:space="preserve"> 2015</w:t>
      </w:r>
      <w:r w:rsidR="008F3CFD">
        <w:rPr>
          <w:rFonts w:ascii="Times New Roman" w:eastAsia="Times New Roman" w:hAnsi="Times New Roman"/>
          <w:color w:val="000000"/>
          <w:sz w:val="24"/>
          <w:szCs w:val="24"/>
          <w:lang w:eastAsia="es-ES"/>
        </w:rPr>
        <w:t xml:space="preserve">, respondió </w:t>
      </w:r>
      <w:r w:rsidRPr="001E5CE2">
        <w:rPr>
          <w:rFonts w:ascii="Times New Roman" w:eastAsia="Times New Roman" w:hAnsi="Times New Roman"/>
          <w:color w:val="000000"/>
          <w:sz w:val="24"/>
          <w:szCs w:val="24"/>
          <w:lang w:eastAsia="es-ES"/>
        </w:rPr>
        <w:t xml:space="preserve">a la fuerte </w:t>
      </w:r>
      <w:r w:rsidR="008F3CFD">
        <w:rPr>
          <w:rFonts w:ascii="Times New Roman" w:eastAsia="Times New Roman" w:hAnsi="Times New Roman"/>
          <w:color w:val="000000"/>
          <w:sz w:val="24"/>
          <w:szCs w:val="24"/>
          <w:lang w:eastAsia="es-ES"/>
        </w:rPr>
        <w:t>baja</w:t>
      </w:r>
      <w:r w:rsidRPr="001E5CE2">
        <w:rPr>
          <w:rFonts w:ascii="Times New Roman" w:eastAsia="Times New Roman" w:hAnsi="Times New Roman"/>
          <w:color w:val="000000"/>
          <w:sz w:val="24"/>
          <w:szCs w:val="24"/>
          <w:lang w:eastAsia="es-ES"/>
        </w:rPr>
        <w:t xml:space="preserve"> del precio del petróleo. El crecimiento de</w:t>
      </w:r>
      <w:r w:rsidR="008F3CFD">
        <w:rPr>
          <w:rFonts w:ascii="Times New Roman" w:eastAsia="Times New Roman" w:hAnsi="Times New Roman"/>
          <w:color w:val="000000"/>
          <w:sz w:val="24"/>
          <w:szCs w:val="24"/>
          <w:lang w:eastAsia="es-ES"/>
        </w:rPr>
        <w:t xml:space="preserve">l año </w:t>
      </w:r>
      <w:r w:rsidRPr="001E5CE2">
        <w:rPr>
          <w:rFonts w:ascii="Times New Roman" w:eastAsia="Times New Roman" w:hAnsi="Times New Roman"/>
          <w:color w:val="000000"/>
          <w:sz w:val="24"/>
          <w:szCs w:val="24"/>
          <w:lang w:eastAsia="es-ES"/>
        </w:rPr>
        <w:t>2016 fue fomentado por la apertura de nuevos mercados externos</w:t>
      </w:r>
      <w:r w:rsidR="008F3CFD">
        <w:rPr>
          <w:rFonts w:ascii="Times New Roman" w:eastAsia="Times New Roman" w:hAnsi="Times New Roman"/>
          <w:color w:val="000000"/>
          <w:sz w:val="24"/>
          <w:szCs w:val="24"/>
          <w:lang w:eastAsia="es-ES"/>
        </w:rPr>
        <w:t>,</w:t>
      </w:r>
      <w:r w:rsidRPr="001E5CE2">
        <w:rPr>
          <w:rFonts w:ascii="Times New Roman" w:eastAsia="Times New Roman" w:hAnsi="Times New Roman"/>
          <w:color w:val="000000"/>
          <w:sz w:val="24"/>
          <w:szCs w:val="24"/>
          <w:lang w:eastAsia="es-ES"/>
        </w:rPr>
        <w:t xml:space="preserve"> en particular</w:t>
      </w:r>
      <w:r w:rsidR="008F3CFD">
        <w:rPr>
          <w:rFonts w:ascii="Times New Roman" w:eastAsia="Times New Roman" w:hAnsi="Times New Roman"/>
          <w:color w:val="000000"/>
          <w:sz w:val="24"/>
          <w:szCs w:val="24"/>
          <w:lang w:eastAsia="es-ES"/>
        </w:rPr>
        <w:t>,</w:t>
      </w:r>
      <w:r w:rsidRPr="001E5CE2">
        <w:rPr>
          <w:rFonts w:ascii="Times New Roman" w:eastAsia="Times New Roman" w:hAnsi="Times New Roman"/>
          <w:color w:val="000000"/>
          <w:sz w:val="24"/>
          <w:szCs w:val="24"/>
          <w:lang w:eastAsia="es-ES"/>
        </w:rPr>
        <w:t xml:space="preserve"> Estados Unidos, que compró más del 90% de las </w:t>
      </w:r>
      <w:r w:rsidR="008F3CFD">
        <w:rPr>
          <w:rFonts w:ascii="Times New Roman" w:eastAsia="Times New Roman" w:hAnsi="Times New Roman"/>
          <w:color w:val="000000"/>
          <w:sz w:val="24"/>
          <w:szCs w:val="24"/>
          <w:lang w:eastAsia="es-ES"/>
        </w:rPr>
        <w:t>exportaciones.</w:t>
      </w:r>
      <w:r w:rsidRPr="001E5CE2">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 el año 2017 continú</w:t>
      </w:r>
      <w:r w:rsidR="008F3CFD">
        <w:rPr>
          <w:rFonts w:ascii="Times New Roman" w:eastAsia="Times New Roman" w:hAnsi="Times New Roman"/>
          <w:color w:val="000000"/>
          <w:sz w:val="24"/>
          <w:szCs w:val="24"/>
          <w:lang w:eastAsia="es-ES"/>
        </w:rPr>
        <w:t>o</w:t>
      </w:r>
      <w:r>
        <w:rPr>
          <w:rFonts w:ascii="Times New Roman" w:eastAsia="Times New Roman" w:hAnsi="Times New Roman"/>
          <w:color w:val="000000"/>
          <w:sz w:val="24"/>
          <w:szCs w:val="24"/>
          <w:lang w:eastAsia="es-ES"/>
        </w:rPr>
        <w:t xml:space="preserve"> el crecimiento de manera leve</w:t>
      </w:r>
      <w:r w:rsidR="008F3CFD">
        <w:rPr>
          <w:rFonts w:ascii="Times New Roman" w:eastAsia="Times New Roman" w:hAnsi="Times New Roman"/>
          <w:color w:val="000000"/>
          <w:sz w:val="24"/>
          <w:szCs w:val="24"/>
          <w:lang w:eastAsia="es-ES"/>
        </w:rPr>
        <w:t>,</w:t>
      </w:r>
      <w:r>
        <w:rPr>
          <w:rFonts w:ascii="Times New Roman" w:eastAsia="Times New Roman" w:hAnsi="Times New Roman"/>
          <w:color w:val="000000"/>
          <w:sz w:val="24"/>
          <w:szCs w:val="24"/>
          <w:lang w:eastAsia="es-ES"/>
        </w:rPr>
        <w:t xml:space="preserve"> debido principalmente</w:t>
      </w:r>
      <w:r w:rsidR="008F3CFD">
        <w:rPr>
          <w:rFonts w:ascii="Times New Roman" w:eastAsia="Times New Roman" w:hAnsi="Times New Roman"/>
          <w:color w:val="000000"/>
          <w:sz w:val="24"/>
          <w:szCs w:val="24"/>
          <w:lang w:eastAsia="es-ES"/>
        </w:rPr>
        <w:t>,</w:t>
      </w:r>
      <w:r>
        <w:rPr>
          <w:rFonts w:ascii="Times New Roman" w:eastAsia="Times New Roman" w:hAnsi="Times New Roman"/>
          <w:color w:val="000000"/>
          <w:sz w:val="24"/>
          <w:szCs w:val="24"/>
          <w:lang w:eastAsia="es-ES"/>
        </w:rPr>
        <w:t xml:space="preserve"> a</w:t>
      </w:r>
      <w:r w:rsidR="008F3CFD">
        <w:rPr>
          <w:rFonts w:ascii="Times New Roman" w:eastAsia="Times New Roman" w:hAnsi="Times New Roman"/>
          <w:color w:val="000000"/>
          <w:sz w:val="24"/>
          <w:szCs w:val="24"/>
          <w:lang w:eastAsia="es-ES"/>
        </w:rPr>
        <w:t xml:space="preserve"> las compras de la</w:t>
      </w:r>
      <w:r>
        <w:rPr>
          <w:rFonts w:ascii="Times New Roman" w:eastAsia="Times New Roman" w:hAnsi="Times New Roman"/>
          <w:color w:val="000000"/>
          <w:sz w:val="24"/>
          <w:szCs w:val="24"/>
          <w:lang w:eastAsia="es-ES"/>
        </w:rPr>
        <w:t xml:space="preserve"> Unión Europea</w:t>
      </w:r>
      <w:r w:rsidR="008F3CFD">
        <w:rPr>
          <w:rFonts w:ascii="Times New Roman" w:eastAsia="Times New Roman" w:hAnsi="Times New Roman"/>
          <w:color w:val="000000"/>
          <w:sz w:val="24"/>
          <w:szCs w:val="24"/>
          <w:lang w:eastAsia="es-ES"/>
        </w:rPr>
        <w:t>,</w:t>
      </w:r>
      <w:r>
        <w:rPr>
          <w:rFonts w:ascii="Times New Roman" w:eastAsia="Times New Roman" w:hAnsi="Times New Roman"/>
          <w:color w:val="000000"/>
          <w:sz w:val="24"/>
          <w:szCs w:val="24"/>
          <w:lang w:eastAsia="es-ES"/>
        </w:rPr>
        <w:t xml:space="preserve"> aunque se observa el cierre del mercado estadounidense en octubre de ese </w:t>
      </w:r>
      <w:r w:rsidR="008F3CFD">
        <w:rPr>
          <w:rFonts w:ascii="Times New Roman" w:eastAsia="Times New Roman" w:hAnsi="Times New Roman"/>
          <w:color w:val="000000"/>
          <w:sz w:val="24"/>
          <w:szCs w:val="24"/>
          <w:lang w:eastAsia="es-ES"/>
        </w:rPr>
        <w:t xml:space="preserve">mismo </w:t>
      </w:r>
      <w:r>
        <w:rPr>
          <w:rFonts w:ascii="Times New Roman" w:eastAsia="Times New Roman" w:hAnsi="Times New Roman"/>
          <w:color w:val="000000"/>
          <w:sz w:val="24"/>
          <w:szCs w:val="24"/>
          <w:lang w:eastAsia="es-ES"/>
        </w:rPr>
        <w:t xml:space="preserve">año por la </w:t>
      </w:r>
      <w:r w:rsidR="008F3CFD">
        <w:rPr>
          <w:rFonts w:ascii="Times New Roman" w:eastAsia="Times New Roman" w:hAnsi="Times New Roman"/>
          <w:color w:val="000000"/>
          <w:sz w:val="24"/>
          <w:szCs w:val="24"/>
          <w:lang w:eastAsia="es-ES"/>
        </w:rPr>
        <w:t>denuncia</w:t>
      </w:r>
      <w:r>
        <w:rPr>
          <w:rFonts w:ascii="Times New Roman" w:eastAsia="Times New Roman" w:hAnsi="Times New Roman"/>
          <w:color w:val="000000"/>
          <w:sz w:val="24"/>
          <w:szCs w:val="24"/>
          <w:lang w:eastAsia="es-ES"/>
        </w:rPr>
        <w:t xml:space="preserve"> de dumping. En el año 2018</w:t>
      </w:r>
      <w:r w:rsidR="006C2CE9">
        <w:rPr>
          <w:rFonts w:ascii="Times New Roman" w:eastAsia="Times New Roman" w:hAnsi="Times New Roman"/>
          <w:color w:val="000000"/>
          <w:sz w:val="24"/>
          <w:szCs w:val="24"/>
          <w:lang w:eastAsia="es-ES"/>
        </w:rPr>
        <w:t>,</w:t>
      </w:r>
      <w:r>
        <w:rPr>
          <w:rFonts w:ascii="Times New Roman" w:eastAsia="Times New Roman" w:hAnsi="Times New Roman"/>
          <w:color w:val="000000"/>
          <w:sz w:val="24"/>
          <w:szCs w:val="24"/>
          <w:lang w:eastAsia="es-ES"/>
        </w:rPr>
        <w:t xml:space="preserve"> caen las exportaciones un 15% y se destina más del 90% de las exportaciones a la Unión Europea.</w:t>
      </w:r>
    </w:p>
    <w:p w14:paraId="6BE5F9A1" w14:textId="1B52828B" w:rsidR="00BB5D89" w:rsidRDefault="00894580" w:rsidP="00BB5D89">
      <w:pPr>
        <w:spacing w:after="0" w:line="36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es-ES"/>
        </w:rPr>
        <w:t xml:space="preserve">El </w:t>
      </w:r>
      <w:r w:rsidR="00366BDE">
        <w:rPr>
          <w:rFonts w:ascii="Times New Roman" w:eastAsia="Times New Roman" w:hAnsi="Times New Roman"/>
          <w:color w:val="000000"/>
          <w:sz w:val="24"/>
          <w:szCs w:val="24"/>
          <w:lang w:eastAsia="es-ES"/>
        </w:rPr>
        <w:t>continuo</w:t>
      </w:r>
      <w:r>
        <w:rPr>
          <w:rFonts w:ascii="Times New Roman" w:eastAsia="Times New Roman" w:hAnsi="Times New Roman"/>
          <w:color w:val="000000"/>
          <w:sz w:val="24"/>
          <w:szCs w:val="24"/>
          <w:lang w:eastAsia="es-ES"/>
        </w:rPr>
        <w:t xml:space="preserve"> incremento de l</w:t>
      </w:r>
      <w:r w:rsidR="00BB5D89" w:rsidRPr="001E5CE2">
        <w:rPr>
          <w:rFonts w:ascii="Times New Roman" w:hAnsi="Times New Roman"/>
          <w:color w:val="000000"/>
          <w:sz w:val="24"/>
          <w:szCs w:val="24"/>
        </w:rPr>
        <w:t xml:space="preserve">as ventas al mercado interno, </w:t>
      </w:r>
      <w:r>
        <w:rPr>
          <w:rFonts w:ascii="Times New Roman" w:hAnsi="Times New Roman"/>
          <w:color w:val="000000"/>
          <w:sz w:val="24"/>
          <w:szCs w:val="24"/>
        </w:rPr>
        <w:t xml:space="preserve">paliaron </w:t>
      </w:r>
      <w:r w:rsidR="00BB5D89" w:rsidRPr="001E5CE2">
        <w:rPr>
          <w:rFonts w:ascii="Times New Roman" w:hAnsi="Times New Roman"/>
          <w:color w:val="000000"/>
          <w:sz w:val="24"/>
          <w:szCs w:val="24"/>
        </w:rPr>
        <w:t xml:space="preserve">la reducción de las </w:t>
      </w:r>
      <w:r>
        <w:rPr>
          <w:rFonts w:ascii="Times New Roman" w:hAnsi="Times New Roman"/>
          <w:color w:val="000000"/>
          <w:sz w:val="24"/>
          <w:szCs w:val="24"/>
        </w:rPr>
        <w:t>exportaciones. Estudiar</w:t>
      </w:r>
      <w:r w:rsidR="00BB5D89" w:rsidRPr="001E5CE2">
        <w:rPr>
          <w:rFonts w:ascii="Times New Roman" w:hAnsi="Times New Roman"/>
          <w:color w:val="000000"/>
          <w:sz w:val="24"/>
          <w:szCs w:val="24"/>
        </w:rPr>
        <w:t xml:space="preserve"> el comportamiento de las ventas internas, </w:t>
      </w:r>
      <w:r>
        <w:rPr>
          <w:rFonts w:ascii="Times New Roman" w:hAnsi="Times New Roman"/>
          <w:color w:val="000000"/>
          <w:sz w:val="24"/>
          <w:szCs w:val="24"/>
        </w:rPr>
        <w:t>hace</w:t>
      </w:r>
      <w:r w:rsidR="00BB5D89" w:rsidRPr="001E5CE2">
        <w:rPr>
          <w:rFonts w:ascii="Times New Roman" w:hAnsi="Times New Roman"/>
          <w:color w:val="000000"/>
          <w:sz w:val="24"/>
          <w:szCs w:val="24"/>
        </w:rPr>
        <w:t xml:space="preserve"> necesario </w:t>
      </w:r>
      <w:r>
        <w:rPr>
          <w:rFonts w:ascii="Times New Roman" w:hAnsi="Times New Roman"/>
          <w:color w:val="000000"/>
          <w:sz w:val="24"/>
          <w:szCs w:val="24"/>
        </w:rPr>
        <w:t>analizar</w:t>
      </w:r>
      <w:r w:rsidR="00BB5D89" w:rsidRPr="001E5CE2">
        <w:rPr>
          <w:rFonts w:ascii="Times New Roman" w:hAnsi="Times New Roman"/>
          <w:color w:val="000000"/>
          <w:sz w:val="24"/>
          <w:szCs w:val="24"/>
        </w:rPr>
        <w:t xml:space="preserve"> lo que sucede con el corte</w:t>
      </w:r>
      <w:r>
        <w:rPr>
          <w:rFonts w:ascii="Times New Roman" w:hAnsi="Times New Roman"/>
          <w:color w:val="000000"/>
          <w:sz w:val="24"/>
          <w:szCs w:val="24"/>
        </w:rPr>
        <w:t xml:space="preserve"> -</w:t>
      </w:r>
      <w:r w:rsidR="00BB5D89" w:rsidRPr="001E5CE2">
        <w:rPr>
          <w:rFonts w:ascii="Times New Roman" w:hAnsi="Times New Roman"/>
          <w:color w:val="000000"/>
          <w:sz w:val="24"/>
          <w:szCs w:val="24"/>
        </w:rPr>
        <w:t>porcentaje de mezcla del biocombustible con gasoil</w:t>
      </w:r>
      <w:r>
        <w:rPr>
          <w:rFonts w:ascii="Times New Roman" w:hAnsi="Times New Roman"/>
          <w:color w:val="000000"/>
          <w:sz w:val="24"/>
          <w:szCs w:val="24"/>
        </w:rPr>
        <w:t>-</w:t>
      </w:r>
      <w:r w:rsidR="00BB5D89" w:rsidRPr="001E5CE2">
        <w:rPr>
          <w:rFonts w:ascii="Times New Roman" w:hAnsi="Times New Roman"/>
          <w:color w:val="000000"/>
          <w:sz w:val="24"/>
          <w:szCs w:val="24"/>
        </w:rPr>
        <w:t xml:space="preserve">. En el año 2010, se incrementa considerablemente el uso el biocombustible en el mercado interno por la entrada en vigencia del cupo B5 (mezcla de un 5% de biodiesel con el 95% de gasoil), que cambió en el mismo año a B7. Cuando, el cupo estaba fijado en un 10%, el corte real (u operativo) era menor, debido a </w:t>
      </w:r>
      <w:r w:rsidR="006C2CE9">
        <w:rPr>
          <w:rFonts w:ascii="Times New Roman" w:hAnsi="Times New Roman"/>
          <w:color w:val="000000"/>
          <w:sz w:val="24"/>
          <w:szCs w:val="24"/>
        </w:rPr>
        <w:t xml:space="preserve">las </w:t>
      </w:r>
      <w:r w:rsidR="00BB5D89" w:rsidRPr="001E5CE2">
        <w:rPr>
          <w:rFonts w:ascii="Times New Roman" w:hAnsi="Times New Roman"/>
          <w:color w:val="000000"/>
          <w:sz w:val="24"/>
          <w:szCs w:val="24"/>
        </w:rPr>
        <w:t xml:space="preserve">dificultades tanto en las grandes firmas -que perdían con el precio interno que era menor al precio del aceite de soja, su principal insumo-, como en las chicas </w:t>
      </w:r>
      <w:r w:rsidR="000E6856">
        <w:rPr>
          <w:rFonts w:ascii="Times New Roman" w:hAnsi="Times New Roman"/>
          <w:color w:val="000000"/>
          <w:sz w:val="24"/>
          <w:szCs w:val="24"/>
        </w:rPr>
        <w:t>-</w:t>
      </w:r>
      <w:r w:rsidR="00BB5D89" w:rsidRPr="001E5CE2">
        <w:rPr>
          <w:rFonts w:ascii="Times New Roman" w:hAnsi="Times New Roman"/>
          <w:color w:val="000000"/>
          <w:sz w:val="24"/>
          <w:szCs w:val="24"/>
        </w:rPr>
        <w:t>si bien tenían un precio interno mayor, no p</w:t>
      </w:r>
      <w:r w:rsidR="006C2CE9">
        <w:rPr>
          <w:rFonts w:ascii="Times New Roman" w:hAnsi="Times New Roman"/>
          <w:color w:val="000000"/>
          <w:sz w:val="24"/>
          <w:szCs w:val="24"/>
        </w:rPr>
        <w:t>odían</w:t>
      </w:r>
      <w:r w:rsidR="00BB5D89" w:rsidRPr="001E5CE2">
        <w:rPr>
          <w:rFonts w:ascii="Times New Roman" w:hAnsi="Times New Roman"/>
          <w:color w:val="000000"/>
          <w:sz w:val="24"/>
          <w:szCs w:val="24"/>
        </w:rPr>
        <w:t xml:space="preserve"> absorber los altos costos fijos</w:t>
      </w:r>
      <w:r w:rsidR="000E6856">
        <w:rPr>
          <w:rFonts w:ascii="Times New Roman" w:hAnsi="Times New Roman"/>
          <w:color w:val="000000"/>
          <w:sz w:val="24"/>
          <w:szCs w:val="24"/>
        </w:rPr>
        <w:t>-</w:t>
      </w:r>
      <w:r w:rsidR="00BB5D89" w:rsidRPr="001E5CE2">
        <w:rPr>
          <w:rFonts w:ascii="Times New Roman" w:hAnsi="Times New Roman"/>
          <w:color w:val="000000"/>
          <w:sz w:val="24"/>
          <w:szCs w:val="24"/>
        </w:rPr>
        <w:t xml:space="preserve">. </w:t>
      </w:r>
      <w:r w:rsidR="006C2CE9">
        <w:rPr>
          <w:rFonts w:ascii="Times New Roman" w:hAnsi="Times New Roman"/>
          <w:color w:val="000000"/>
          <w:sz w:val="24"/>
          <w:szCs w:val="24"/>
        </w:rPr>
        <w:t>P</w:t>
      </w:r>
      <w:r w:rsidR="00BB5D89" w:rsidRPr="001E5CE2">
        <w:rPr>
          <w:rFonts w:ascii="Times New Roman" w:hAnsi="Times New Roman"/>
          <w:color w:val="000000"/>
          <w:sz w:val="24"/>
          <w:szCs w:val="24"/>
        </w:rPr>
        <w:t xml:space="preserve">or ello, desde la intervención del gobierno en </w:t>
      </w:r>
      <w:r w:rsidR="000E6856">
        <w:rPr>
          <w:rFonts w:ascii="Times New Roman" w:hAnsi="Times New Roman"/>
          <w:color w:val="000000"/>
          <w:sz w:val="24"/>
          <w:szCs w:val="24"/>
        </w:rPr>
        <w:t xml:space="preserve">el año </w:t>
      </w:r>
      <w:r w:rsidR="00BB5D89" w:rsidRPr="001E5CE2">
        <w:rPr>
          <w:rFonts w:ascii="Times New Roman" w:hAnsi="Times New Roman"/>
          <w:color w:val="000000"/>
          <w:sz w:val="24"/>
          <w:szCs w:val="24"/>
        </w:rPr>
        <w:t xml:space="preserve">2012, no </w:t>
      </w:r>
      <w:r w:rsidR="006C2CE9">
        <w:rPr>
          <w:rFonts w:ascii="Times New Roman" w:hAnsi="Times New Roman"/>
          <w:color w:val="000000"/>
          <w:sz w:val="24"/>
          <w:szCs w:val="24"/>
        </w:rPr>
        <w:t>fue rentable</w:t>
      </w:r>
      <w:r w:rsidR="00BB5D89" w:rsidRPr="001E5CE2">
        <w:rPr>
          <w:rFonts w:ascii="Times New Roman" w:hAnsi="Times New Roman"/>
          <w:color w:val="000000"/>
          <w:sz w:val="24"/>
          <w:szCs w:val="24"/>
        </w:rPr>
        <w:t xml:space="preserve"> vender biodiesel al precio del cupo interno, en especial con la estructura de las empresas grandes. </w:t>
      </w:r>
      <w:r w:rsidR="000E6856">
        <w:rPr>
          <w:rFonts w:ascii="Times New Roman" w:hAnsi="Times New Roman"/>
          <w:color w:val="000000"/>
          <w:sz w:val="24"/>
          <w:szCs w:val="24"/>
        </w:rPr>
        <w:t>Tal</w:t>
      </w:r>
      <w:r w:rsidR="00BB5D89" w:rsidRPr="001E5CE2">
        <w:rPr>
          <w:rFonts w:ascii="Times New Roman" w:hAnsi="Times New Roman"/>
          <w:color w:val="000000"/>
          <w:sz w:val="24"/>
          <w:szCs w:val="24"/>
        </w:rPr>
        <w:t xml:space="preserve"> situación empezó a modificarse con el cambio de gobierno en diciembre de 2015, </w:t>
      </w:r>
      <w:r w:rsidR="000E6856">
        <w:rPr>
          <w:rFonts w:ascii="Times New Roman" w:hAnsi="Times New Roman"/>
          <w:color w:val="000000"/>
          <w:sz w:val="24"/>
          <w:szCs w:val="24"/>
        </w:rPr>
        <w:t>que</w:t>
      </w:r>
      <w:r w:rsidR="00BB5D89" w:rsidRPr="001E5CE2">
        <w:rPr>
          <w:rFonts w:ascii="Times New Roman" w:hAnsi="Times New Roman"/>
          <w:color w:val="000000"/>
          <w:sz w:val="24"/>
          <w:szCs w:val="24"/>
        </w:rPr>
        <w:t xml:space="preserve"> redu</w:t>
      </w:r>
      <w:r w:rsidR="000E6856">
        <w:rPr>
          <w:rFonts w:ascii="Times New Roman" w:hAnsi="Times New Roman"/>
          <w:color w:val="000000"/>
          <w:sz w:val="24"/>
          <w:szCs w:val="24"/>
        </w:rPr>
        <w:t>jo</w:t>
      </w:r>
      <w:r w:rsidR="00BB5D89" w:rsidRPr="001E5CE2">
        <w:rPr>
          <w:rFonts w:ascii="Times New Roman" w:hAnsi="Times New Roman"/>
          <w:color w:val="000000"/>
          <w:sz w:val="24"/>
          <w:szCs w:val="24"/>
        </w:rPr>
        <w:t xml:space="preserve"> la diferencia </w:t>
      </w:r>
      <w:r w:rsidR="000E6856">
        <w:rPr>
          <w:rFonts w:ascii="Times New Roman" w:hAnsi="Times New Roman"/>
          <w:color w:val="000000"/>
          <w:sz w:val="24"/>
          <w:szCs w:val="24"/>
        </w:rPr>
        <w:t>entre el</w:t>
      </w:r>
      <w:r w:rsidR="00BB5D89" w:rsidRPr="001E5CE2">
        <w:rPr>
          <w:rFonts w:ascii="Times New Roman" w:hAnsi="Times New Roman"/>
          <w:color w:val="000000"/>
          <w:sz w:val="24"/>
          <w:szCs w:val="24"/>
        </w:rPr>
        <w:t xml:space="preserve"> precio externo del biodiesel (neto de retenciones) y su precio interno (que </w:t>
      </w:r>
      <w:r w:rsidR="000E6856">
        <w:rPr>
          <w:rFonts w:ascii="Times New Roman" w:hAnsi="Times New Roman"/>
          <w:color w:val="000000"/>
          <w:sz w:val="24"/>
          <w:szCs w:val="24"/>
        </w:rPr>
        <w:t xml:space="preserve">había tenido un </w:t>
      </w:r>
      <w:r w:rsidR="000E6856" w:rsidRPr="001E5CE2">
        <w:rPr>
          <w:rFonts w:ascii="Times New Roman" w:hAnsi="Times New Roman"/>
          <w:color w:val="000000"/>
          <w:sz w:val="24"/>
          <w:szCs w:val="24"/>
        </w:rPr>
        <w:t xml:space="preserve">importante crecimiento </w:t>
      </w:r>
      <w:r w:rsidR="000E6856">
        <w:rPr>
          <w:rFonts w:ascii="Times New Roman" w:hAnsi="Times New Roman"/>
          <w:color w:val="000000"/>
          <w:sz w:val="24"/>
          <w:szCs w:val="24"/>
        </w:rPr>
        <w:t>en</w:t>
      </w:r>
      <w:r w:rsidR="00BB5D89" w:rsidRPr="001E5CE2">
        <w:rPr>
          <w:rFonts w:ascii="Times New Roman" w:hAnsi="Times New Roman"/>
          <w:color w:val="000000"/>
          <w:sz w:val="24"/>
          <w:szCs w:val="24"/>
        </w:rPr>
        <w:t xml:space="preserve"> 2016</w:t>
      </w:r>
      <w:r w:rsidR="000E6856">
        <w:rPr>
          <w:rFonts w:ascii="Times New Roman" w:hAnsi="Times New Roman"/>
          <w:color w:val="000000"/>
          <w:sz w:val="24"/>
          <w:szCs w:val="24"/>
        </w:rPr>
        <w:t>).</w:t>
      </w:r>
      <w:r w:rsidR="00BB5D89" w:rsidRPr="001E5CE2">
        <w:rPr>
          <w:rFonts w:ascii="Times New Roman" w:hAnsi="Times New Roman"/>
          <w:color w:val="000000"/>
          <w:sz w:val="24"/>
          <w:szCs w:val="24"/>
        </w:rPr>
        <w:t xml:space="preserve"> </w:t>
      </w:r>
      <w:r w:rsidR="000E6856">
        <w:rPr>
          <w:rFonts w:ascii="Times New Roman" w:hAnsi="Times New Roman"/>
          <w:color w:val="000000"/>
          <w:sz w:val="24"/>
          <w:szCs w:val="24"/>
        </w:rPr>
        <w:t>Los</w:t>
      </w:r>
      <w:r w:rsidR="00BB5D89" w:rsidRPr="001E5CE2">
        <w:rPr>
          <w:rFonts w:ascii="Times New Roman" w:hAnsi="Times New Roman"/>
          <w:color w:val="000000"/>
          <w:sz w:val="24"/>
          <w:szCs w:val="24"/>
        </w:rPr>
        <w:t xml:space="preserve"> guarismos se muestran en </w:t>
      </w:r>
      <w:r w:rsidR="006C2CE9">
        <w:rPr>
          <w:rFonts w:ascii="Times New Roman" w:hAnsi="Times New Roman"/>
          <w:color w:val="000000"/>
          <w:sz w:val="24"/>
          <w:szCs w:val="24"/>
        </w:rPr>
        <w:t>el Gráfico 5.</w:t>
      </w:r>
      <w:r w:rsidR="00BB5D89" w:rsidRPr="001E5CE2">
        <w:rPr>
          <w:rFonts w:ascii="Times New Roman" w:hAnsi="Times New Roman"/>
          <w:color w:val="000000"/>
          <w:sz w:val="24"/>
          <w:szCs w:val="24"/>
        </w:rPr>
        <w:t xml:space="preserve"> </w:t>
      </w:r>
    </w:p>
    <w:p w14:paraId="3E2902BF" w14:textId="39B8EB4D" w:rsidR="00BB5D89" w:rsidRDefault="00BB5D89" w:rsidP="00BB5D89">
      <w:pPr>
        <w:spacing w:after="0" w:line="360" w:lineRule="auto"/>
        <w:jc w:val="center"/>
        <w:rPr>
          <w:rFonts w:ascii="Times New Roman" w:eastAsia="Times New Roman" w:hAnsi="Times New Roman"/>
          <w:color w:val="000000"/>
          <w:sz w:val="24"/>
          <w:szCs w:val="24"/>
          <w:lang w:eastAsia="es-ES"/>
        </w:rPr>
      </w:pPr>
      <w:r w:rsidRPr="006C2CE9">
        <w:rPr>
          <w:rFonts w:ascii="Times New Roman" w:eastAsia="Times New Roman" w:hAnsi="Times New Roman"/>
          <w:color w:val="000000"/>
          <w:sz w:val="24"/>
          <w:szCs w:val="24"/>
          <w:lang w:eastAsia="es-ES"/>
        </w:rPr>
        <w:lastRenderedPageBreak/>
        <w:t xml:space="preserve">Gráfico </w:t>
      </w:r>
      <w:r w:rsidR="00894580">
        <w:rPr>
          <w:rFonts w:ascii="Times New Roman" w:eastAsia="Times New Roman" w:hAnsi="Times New Roman"/>
          <w:color w:val="000000"/>
          <w:sz w:val="24"/>
          <w:szCs w:val="24"/>
          <w:lang w:eastAsia="es-ES"/>
        </w:rPr>
        <w:t>5</w:t>
      </w:r>
      <w:r w:rsidRPr="006C2CE9">
        <w:rPr>
          <w:rFonts w:ascii="Times New Roman" w:eastAsia="Times New Roman" w:hAnsi="Times New Roman"/>
          <w:color w:val="000000"/>
          <w:sz w:val="24"/>
          <w:szCs w:val="24"/>
          <w:lang w:eastAsia="es-ES"/>
        </w:rPr>
        <w:t>:</w:t>
      </w:r>
      <w:r w:rsidRPr="001E5CE2">
        <w:rPr>
          <w:rFonts w:ascii="Times New Roman" w:eastAsia="Times New Roman" w:hAnsi="Times New Roman"/>
          <w:color w:val="000000"/>
          <w:sz w:val="24"/>
          <w:szCs w:val="24"/>
          <w:lang w:eastAsia="es-ES"/>
        </w:rPr>
        <w:t xml:space="preserve"> Biodiesel: Producción, exportación y </w:t>
      </w:r>
      <w:r>
        <w:rPr>
          <w:rFonts w:ascii="Times New Roman" w:eastAsia="Times New Roman" w:hAnsi="Times New Roman"/>
          <w:color w:val="000000"/>
          <w:sz w:val="24"/>
          <w:szCs w:val="24"/>
          <w:lang w:eastAsia="es-ES"/>
        </w:rPr>
        <w:t>ventas internas en toneladas anuales. Perí</w:t>
      </w:r>
      <w:r w:rsidRPr="001E5CE2">
        <w:rPr>
          <w:rFonts w:ascii="Times New Roman" w:eastAsia="Times New Roman" w:hAnsi="Times New Roman"/>
          <w:color w:val="000000"/>
          <w:sz w:val="24"/>
          <w:szCs w:val="24"/>
          <w:lang w:eastAsia="es-ES"/>
        </w:rPr>
        <w:t>odo 2008-201</w:t>
      </w:r>
      <w:r>
        <w:rPr>
          <w:rFonts w:ascii="Times New Roman" w:eastAsia="Times New Roman" w:hAnsi="Times New Roman"/>
          <w:color w:val="000000"/>
          <w:sz w:val="24"/>
          <w:szCs w:val="24"/>
          <w:lang w:eastAsia="es-ES"/>
        </w:rPr>
        <w:t>8</w:t>
      </w:r>
    </w:p>
    <w:p w14:paraId="465B273D" w14:textId="77777777" w:rsidR="00BB5D89" w:rsidRPr="001E5CE2" w:rsidRDefault="00BB5D89" w:rsidP="00BB5D89">
      <w:pPr>
        <w:spacing w:after="0" w:line="360" w:lineRule="auto"/>
        <w:jc w:val="center"/>
        <w:rPr>
          <w:rFonts w:ascii="Times New Roman" w:eastAsia="Times New Roman" w:hAnsi="Times New Roman"/>
          <w:color w:val="000000"/>
          <w:sz w:val="24"/>
          <w:szCs w:val="24"/>
          <w:lang w:eastAsia="es-ES"/>
        </w:rPr>
      </w:pPr>
      <w:r>
        <w:rPr>
          <w:noProof/>
          <w:lang w:eastAsia="es-AR"/>
        </w:rPr>
        <w:drawing>
          <wp:inline distT="0" distB="0" distL="0" distR="0" wp14:anchorId="416E3378" wp14:editId="177DF9EA">
            <wp:extent cx="5734050" cy="2028825"/>
            <wp:effectExtent l="0" t="0" r="1905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FD1E6F" w14:textId="77777777" w:rsidR="00BB5D89" w:rsidRPr="006C2CE9" w:rsidRDefault="00BB5D89" w:rsidP="00BB5D89">
      <w:pPr>
        <w:spacing w:after="0" w:line="360" w:lineRule="auto"/>
        <w:jc w:val="center"/>
        <w:rPr>
          <w:rFonts w:ascii="Times New Roman" w:eastAsia="Times New Roman" w:hAnsi="Times New Roman"/>
          <w:color w:val="000000"/>
          <w:sz w:val="20"/>
          <w:szCs w:val="20"/>
          <w:lang w:eastAsia="es-ES"/>
        </w:rPr>
      </w:pPr>
      <w:r w:rsidRPr="006C2CE9">
        <w:rPr>
          <w:rFonts w:ascii="Times New Roman" w:eastAsia="Times New Roman" w:hAnsi="Times New Roman"/>
          <w:i/>
          <w:color w:val="000000"/>
          <w:sz w:val="20"/>
          <w:szCs w:val="20"/>
          <w:lang w:eastAsia="es-ES"/>
        </w:rPr>
        <w:t>Fuente: Elaboración propia en base a datos del INDEC y Secretaria de Agroindustria de la Nación</w:t>
      </w:r>
      <w:r w:rsidRPr="006C2CE9">
        <w:rPr>
          <w:rFonts w:ascii="Times New Roman" w:eastAsia="Times New Roman" w:hAnsi="Times New Roman"/>
          <w:color w:val="000000"/>
          <w:sz w:val="20"/>
          <w:szCs w:val="20"/>
          <w:lang w:eastAsia="es-ES"/>
        </w:rPr>
        <w:t>.</w:t>
      </w:r>
    </w:p>
    <w:p w14:paraId="568568E8" w14:textId="77777777" w:rsidR="00BB5D89" w:rsidRPr="001E5CE2" w:rsidRDefault="00BB5D89" w:rsidP="00BB5D89">
      <w:pPr>
        <w:spacing w:after="0" w:line="360" w:lineRule="auto"/>
        <w:jc w:val="both"/>
        <w:rPr>
          <w:rFonts w:ascii="Times New Roman" w:eastAsia="Times New Roman" w:hAnsi="Times New Roman"/>
          <w:color w:val="000000"/>
          <w:sz w:val="24"/>
          <w:szCs w:val="24"/>
          <w:u w:val="single"/>
          <w:lang w:eastAsia="es-ES"/>
        </w:rPr>
      </w:pPr>
    </w:p>
    <w:p w14:paraId="1A16B66F" w14:textId="625AE91F" w:rsidR="00894580" w:rsidRPr="001E5CE2" w:rsidRDefault="00894580" w:rsidP="00894580">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Por otra parte, el tamaño promedio de la capacidad de planta</w:t>
      </w:r>
      <w:r w:rsidR="00730F05">
        <w:rPr>
          <w:rFonts w:ascii="Times New Roman" w:hAnsi="Times New Roman"/>
          <w:color w:val="000000"/>
          <w:sz w:val="24"/>
          <w:szCs w:val="24"/>
        </w:rPr>
        <w:t xml:space="preserve"> (Gráfico 6)</w:t>
      </w:r>
      <w:r w:rsidRPr="001E5CE2">
        <w:rPr>
          <w:rFonts w:ascii="Times New Roman" w:hAnsi="Times New Roman"/>
          <w:color w:val="000000"/>
          <w:sz w:val="24"/>
          <w:szCs w:val="24"/>
        </w:rPr>
        <w:t xml:space="preserve"> </w:t>
      </w:r>
      <w:r w:rsidR="000E6856">
        <w:rPr>
          <w:rFonts w:ascii="Times New Roman" w:hAnsi="Times New Roman"/>
          <w:color w:val="000000"/>
          <w:sz w:val="24"/>
          <w:szCs w:val="24"/>
        </w:rPr>
        <w:t xml:space="preserve">creció </w:t>
      </w:r>
      <w:r w:rsidRPr="001E5CE2">
        <w:rPr>
          <w:rFonts w:ascii="Times New Roman" w:hAnsi="Times New Roman"/>
          <w:color w:val="000000"/>
          <w:sz w:val="24"/>
          <w:szCs w:val="24"/>
        </w:rPr>
        <w:t>de manera continua</w:t>
      </w:r>
      <w:r w:rsidR="000E6856">
        <w:rPr>
          <w:rFonts w:ascii="Times New Roman" w:hAnsi="Times New Roman"/>
          <w:color w:val="000000"/>
          <w:sz w:val="24"/>
          <w:szCs w:val="24"/>
        </w:rPr>
        <w:t>;</w:t>
      </w:r>
      <w:r>
        <w:rPr>
          <w:rFonts w:ascii="Times New Roman" w:hAnsi="Times New Roman"/>
          <w:color w:val="000000"/>
          <w:sz w:val="24"/>
          <w:szCs w:val="24"/>
        </w:rPr>
        <w:t xml:space="preserve"> </w:t>
      </w:r>
      <w:r w:rsidRPr="001E5CE2">
        <w:rPr>
          <w:rFonts w:ascii="Times New Roman" w:hAnsi="Times New Roman"/>
          <w:color w:val="000000"/>
          <w:sz w:val="24"/>
          <w:szCs w:val="24"/>
        </w:rPr>
        <w:t>en el año 2007</w:t>
      </w:r>
      <w:r w:rsidR="000E6856">
        <w:rPr>
          <w:rFonts w:ascii="Times New Roman" w:hAnsi="Times New Roman"/>
          <w:color w:val="000000"/>
          <w:sz w:val="24"/>
          <w:szCs w:val="24"/>
        </w:rPr>
        <w:t>,</w:t>
      </w:r>
      <w:r w:rsidRPr="001E5CE2">
        <w:rPr>
          <w:rFonts w:ascii="Times New Roman" w:hAnsi="Times New Roman"/>
          <w:color w:val="000000"/>
          <w:sz w:val="24"/>
          <w:szCs w:val="24"/>
        </w:rPr>
        <w:t xml:space="preserve"> el tamaño promedio fue de 70.000 toneladas/año; para el 2009</w:t>
      </w:r>
      <w:r w:rsidR="000E6856">
        <w:rPr>
          <w:rFonts w:ascii="Times New Roman" w:hAnsi="Times New Roman"/>
          <w:color w:val="000000"/>
          <w:sz w:val="24"/>
          <w:szCs w:val="24"/>
        </w:rPr>
        <w:t xml:space="preserve">, tuvo </w:t>
      </w:r>
      <w:r w:rsidRPr="001E5CE2">
        <w:rPr>
          <w:rFonts w:ascii="Times New Roman" w:hAnsi="Times New Roman"/>
          <w:color w:val="000000"/>
          <w:sz w:val="24"/>
          <w:szCs w:val="24"/>
        </w:rPr>
        <w:t xml:space="preserve">un promedio </w:t>
      </w:r>
      <w:r w:rsidR="000E6856">
        <w:rPr>
          <w:rFonts w:ascii="Times New Roman" w:hAnsi="Times New Roman"/>
          <w:color w:val="000000"/>
          <w:sz w:val="24"/>
          <w:szCs w:val="24"/>
        </w:rPr>
        <w:t xml:space="preserve">superior </w:t>
      </w:r>
      <w:r w:rsidRPr="001E5CE2">
        <w:rPr>
          <w:rFonts w:ascii="Times New Roman" w:hAnsi="Times New Roman"/>
          <w:color w:val="000000"/>
          <w:sz w:val="24"/>
          <w:szCs w:val="24"/>
        </w:rPr>
        <w:t xml:space="preserve">a 130.400 toneladas/año; en el 2010, disminuyó en un 17% </w:t>
      </w:r>
      <w:r w:rsidR="000E6856">
        <w:rPr>
          <w:rFonts w:ascii="Times New Roman" w:hAnsi="Times New Roman"/>
          <w:color w:val="000000"/>
          <w:sz w:val="24"/>
          <w:szCs w:val="24"/>
        </w:rPr>
        <w:t>-</w:t>
      </w:r>
      <w:r w:rsidRPr="001E5CE2">
        <w:rPr>
          <w:rFonts w:ascii="Times New Roman" w:hAnsi="Times New Roman"/>
          <w:color w:val="000000"/>
          <w:sz w:val="24"/>
          <w:szCs w:val="24"/>
        </w:rPr>
        <w:t>tras la incorporación de seis plantas con capacidad menor a 50.000 toneladas</w:t>
      </w:r>
      <w:r>
        <w:rPr>
          <w:rFonts w:ascii="Times New Roman" w:hAnsi="Times New Roman"/>
          <w:color w:val="000000"/>
          <w:sz w:val="24"/>
          <w:szCs w:val="24"/>
        </w:rPr>
        <w:t xml:space="preserve"> y</w:t>
      </w:r>
      <w:r w:rsidRPr="001E5CE2">
        <w:rPr>
          <w:rFonts w:ascii="Times New Roman" w:hAnsi="Times New Roman"/>
          <w:color w:val="000000"/>
          <w:sz w:val="24"/>
          <w:szCs w:val="24"/>
        </w:rPr>
        <w:t xml:space="preserve"> en 2012 </w:t>
      </w:r>
      <w:r w:rsidR="000E6856">
        <w:rPr>
          <w:rFonts w:ascii="Times New Roman" w:hAnsi="Times New Roman"/>
          <w:color w:val="000000"/>
          <w:sz w:val="24"/>
          <w:szCs w:val="24"/>
        </w:rPr>
        <w:t xml:space="preserve">mostró </w:t>
      </w:r>
      <w:r w:rsidRPr="001E5CE2">
        <w:rPr>
          <w:rFonts w:ascii="Times New Roman" w:hAnsi="Times New Roman"/>
          <w:color w:val="000000"/>
          <w:sz w:val="24"/>
          <w:szCs w:val="24"/>
        </w:rPr>
        <w:t>un leve incremento con la incorporación de las plantas, Renova S.A. y T6 Industrial S.A.</w:t>
      </w:r>
      <w:r w:rsidR="000E6856">
        <w:rPr>
          <w:rFonts w:ascii="Times New Roman" w:hAnsi="Times New Roman"/>
          <w:color w:val="000000"/>
          <w:sz w:val="24"/>
          <w:szCs w:val="24"/>
        </w:rPr>
        <w:t xml:space="preserve">, </w:t>
      </w:r>
      <w:r w:rsidRPr="001E5CE2">
        <w:rPr>
          <w:rFonts w:ascii="Times New Roman" w:hAnsi="Times New Roman"/>
          <w:color w:val="000000"/>
          <w:sz w:val="24"/>
          <w:szCs w:val="24"/>
        </w:rPr>
        <w:t>las más grandes de la industria</w:t>
      </w:r>
      <w:r w:rsidR="000E6856">
        <w:rPr>
          <w:rFonts w:ascii="Times New Roman" w:hAnsi="Times New Roman"/>
          <w:color w:val="000000"/>
          <w:sz w:val="24"/>
          <w:szCs w:val="24"/>
        </w:rPr>
        <w:t xml:space="preserve"> (con </w:t>
      </w:r>
      <w:r w:rsidRPr="001E5CE2">
        <w:rPr>
          <w:rFonts w:ascii="Times New Roman" w:hAnsi="Times New Roman"/>
          <w:color w:val="000000"/>
          <w:sz w:val="24"/>
          <w:szCs w:val="24"/>
        </w:rPr>
        <w:t xml:space="preserve">481.000 y 480.000 </w:t>
      </w:r>
      <w:proofErr w:type="spellStart"/>
      <w:r w:rsidRPr="001E5CE2">
        <w:rPr>
          <w:rFonts w:ascii="Times New Roman" w:hAnsi="Times New Roman"/>
          <w:color w:val="000000"/>
          <w:sz w:val="24"/>
          <w:szCs w:val="24"/>
        </w:rPr>
        <w:t>tn</w:t>
      </w:r>
      <w:proofErr w:type="spellEnd"/>
      <w:r w:rsidR="000E6856">
        <w:rPr>
          <w:rFonts w:ascii="Times New Roman" w:hAnsi="Times New Roman"/>
          <w:color w:val="000000"/>
          <w:sz w:val="24"/>
          <w:szCs w:val="24"/>
        </w:rPr>
        <w:t>./año,</w:t>
      </w:r>
      <w:r w:rsidRPr="001E5CE2">
        <w:rPr>
          <w:rFonts w:ascii="Times New Roman" w:hAnsi="Times New Roman"/>
          <w:color w:val="000000"/>
          <w:sz w:val="24"/>
          <w:szCs w:val="24"/>
        </w:rPr>
        <w:t xml:space="preserve"> respectivamente). </w:t>
      </w:r>
      <w:r>
        <w:rPr>
          <w:rFonts w:ascii="Times New Roman" w:hAnsi="Times New Roman"/>
          <w:color w:val="000000"/>
          <w:sz w:val="24"/>
          <w:szCs w:val="24"/>
        </w:rPr>
        <w:t>N</w:t>
      </w:r>
      <w:r w:rsidRPr="001E5CE2">
        <w:rPr>
          <w:rFonts w:ascii="Times New Roman" w:hAnsi="Times New Roman"/>
          <w:color w:val="000000"/>
          <w:sz w:val="24"/>
          <w:szCs w:val="24"/>
        </w:rPr>
        <w:t>o</w:t>
      </w:r>
      <w:r w:rsidR="00B6415C">
        <w:rPr>
          <w:rFonts w:ascii="Times New Roman" w:hAnsi="Times New Roman"/>
          <w:color w:val="000000"/>
          <w:sz w:val="24"/>
          <w:szCs w:val="24"/>
        </w:rPr>
        <w:t xml:space="preserve"> se</w:t>
      </w:r>
      <w:r w:rsidRPr="001E5CE2">
        <w:rPr>
          <w:rFonts w:ascii="Times New Roman" w:hAnsi="Times New Roman"/>
          <w:color w:val="000000"/>
          <w:sz w:val="24"/>
          <w:szCs w:val="24"/>
        </w:rPr>
        <w:t xml:space="preserve"> </w:t>
      </w:r>
      <w:r w:rsidR="000E6856">
        <w:rPr>
          <w:rFonts w:ascii="Times New Roman" w:hAnsi="Times New Roman"/>
          <w:color w:val="000000"/>
          <w:sz w:val="24"/>
          <w:szCs w:val="24"/>
        </w:rPr>
        <w:t>dispone de</w:t>
      </w:r>
      <w:r>
        <w:rPr>
          <w:rFonts w:ascii="Times New Roman" w:hAnsi="Times New Roman"/>
          <w:color w:val="000000"/>
          <w:sz w:val="24"/>
          <w:szCs w:val="24"/>
        </w:rPr>
        <w:t xml:space="preserve"> información </w:t>
      </w:r>
      <w:r w:rsidRPr="001E5CE2">
        <w:rPr>
          <w:rFonts w:ascii="Times New Roman" w:hAnsi="Times New Roman"/>
          <w:color w:val="000000"/>
          <w:sz w:val="24"/>
          <w:szCs w:val="24"/>
        </w:rPr>
        <w:t>de la capacidad promedio por planta para los años 2013</w:t>
      </w:r>
      <w:r w:rsidR="000E6856">
        <w:rPr>
          <w:rFonts w:ascii="Times New Roman" w:hAnsi="Times New Roman"/>
          <w:color w:val="000000"/>
          <w:sz w:val="24"/>
          <w:szCs w:val="24"/>
        </w:rPr>
        <w:t xml:space="preserve">/4/5; </w:t>
      </w:r>
      <w:r w:rsidRPr="001E5CE2">
        <w:rPr>
          <w:rFonts w:ascii="Times New Roman" w:hAnsi="Times New Roman"/>
          <w:color w:val="000000"/>
          <w:sz w:val="24"/>
          <w:szCs w:val="24"/>
        </w:rPr>
        <w:t>si bien</w:t>
      </w:r>
      <w:r w:rsidR="000E6856">
        <w:rPr>
          <w:rFonts w:ascii="Times New Roman" w:hAnsi="Times New Roman"/>
          <w:color w:val="000000"/>
          <w:sz w:val="24"/>
          <w:szCs w:val="24"/>
        </w:rPr>
        <w:t>,</w:t>
      </w:r>
      <w:r w:rsidRPr="001E5CE2">
        <w:rPr>
          <w:rFonts w:ascii="Times New Roman" w:hAnsi="Times New Roman"/>
          <w:color w:val="000000"/>
          <w:sz w:val="24"/>
          <w:szCs w:val="24"/>
        </w:rPr>
        <w:t xml:space="preserve"> el ritmo de las inversiones en el sector se </w:t>
      </w:r>
      <w:r w:rsidR="00730F05">
        <w:rPr>
          <w:rFonts w:ascii="Times New Roman" w:hAnsi="Times New Roman"/>
          <w:color w:val="000000"/>
          <w:sz w:val="24"/>
          <w:szCs w:val="24"/>
        </w:rPr>
        <w:t>detuvo</w:t>
      </w:r>
      <w:r w:rsidRPr="001E5CE2">
        <w:rPr>
          <w:rFonts w:ascii="Times New Roman" w:hAnsi="Times New Roman"/>
          <w:color w:val="000000"/>
          <w:sz w:val="24"/>
          <w:szCs w:val="24"/>
        </w:rPr>
        <w:t xml:space="preserve"> en los últimos años</w:t>
      </w:r>
      <w:r w:rsidR="00730F05">
        <w:rPr>
          <w:rFonts w:ascii="Times New Roman" w:hAnsi="Times New Roman"/>
          <w:color w:val="000000"/>
          <w:sz w:val="24"/>
          <w:szCs w:val="24"/>
        </w:rPr>
        <w:t xml:space="preserve"> según</w:t>
      </w:r>
      <w:r w:rsidRPr="001E5CE2">
        <w:rPr>
          <w:rFonts w:ascii="Times New Roman" w:hAnsi="Times New Roman"/>
          <w:color w:val="000000"/>
          <w:sz w:val="24"/>
          <w:szCs w:val="24"/>
        </w:rPr>
        <w:t xml:space="preserve"> datos </w:t>
      </w:r>
      <w:r w:rsidR="00730F05">
        <w:rPr>
          <w:rFonts w:ascii="Times New Roman" w:hAnsi="Times New Roman"/>
          <w:color w:val="000000"/>
          <w:sz w:val="24"/>
          <w:szCs w:val="24"/>
        </w:rPr>
        <w:t>de</w:t>
      </w:r>
      <w:r w:rsidRPr="001E5CE2">
        <w:rPr>
          <w:rFonts w:ascii="Times New Roman" w:hAnsi="Times New Roman"/>
          <w:color w:val="000000"/>
          <w:sz w:val="24"/>
          <w:szCs w:val="24"/>
        </w:rPr>
        <w:t xml:space="preserve"> CARBIO y ABH. </w:t>
      </w:r>
    </w:p>
    <w:p w14:paraId="74617B11" w14:textId="77777777" w:rsidR="00894580" w:rsidRDefault="00894580" w:rsidP="00BB5D89">
      <w:pPr>
        <w:spacing w:after="0" w:line="360" w:lineRule="auto"/>
        <w:jc w:val="center"/>
        <w:rPr>
          <w:rFonts w:ascii="Times New Roman" w:eastAsia="Times New Roman" w:hAnsi="Times New Roman"/>
          <w:color w:val="000000"/>
          <w:sz w:val="24"/>
          <w:szCs w:val="24"/>
          <w:u w:val="single"/>
          <w:lang w:eastAsia="es-ES"/>
        </w:rPr>
      </w:pPr>
    </w:p>
    <w:p w14:paraId="57166B4A" w14:textId="19BB0055" w:rsidR="00BB5D89" w:rsidRPr="001E5CE2" w:rsidRDefault="00BB5D89" w:rsidP="00BB5D89">
      <w:pPr>
        <w:spacing w:after="0" w:line="360" w:lineRule="auto"/>
        <w:jc w:val="center"/>
        <w:rPr>
          <w:rFonts w:ascii="Times New Roman" w:eastAsia="Times New Roman" w:hAnsi="Times New Roman"/>
          <w:sz w:val="24"/>
          <w:szCs w:val="24"/>
          <w:lang w:eastAsia="es-ES"/>
        </w:rPr>
      </w:pPr>
      <w:r w:rsidRPr="001E5CE2">
        <w:rPr>
          <w:rFonts w:ascii="Times New Roman" w:eastAsia="Times New Roman" w:hAnsi="Times New Roman"/>
          <w:color w:val="000000"/>
          <w:sz w:val="24"/>
          <w:szCs w:val="24"/>
          <w:u w:val="single"/>
          <w:lang w:eastAsia="es-ES"/>
        </w:rPr>
        <w:t xml:space="preserve">Gráfico </w:t>
      </w:r>
      <w:r w:rsidR="00894580">
        <w:rPr>
          <w:rFonts w:ascii="Times New Roman" w:eastAsia="Times New Roman" w:hAnsi="Times New Roman"/>
          <w:color w:val="000000"/>
          <w:sz w:val="24"/>
          <w:szCs w:val="24"/>
          <w:u w:val="single"/>
          <w:lang w:eastAsia="es-ES"/>
        </w:rPr>
        <w:t>6</w:t>
      </w:r>
      <w:r w:rsidRPr="001E5CE2">
        <w:rPr>
          <w:rFonts w:ascii="Times New Roman" w:eastAsia="Times New Roman" w:hAnsi="Times New Roman"/>
          <w:color w:val="000000"/>
          <w:sz w:val="24"/>
          <w:szCs w:val="24"/>
          <w:lang w:eastAsia="es-ES"/>
        </w:rPr>
        <w:t>: Evolución de la Capacidad promedio de las plantas. Periodo 2006-2012 y año 2016</w:t>
      </w:r>
    </w:p>
    <w:p w14:paraId="121EDC03" w14:textId="77777777" w:rsidR="00BB5D89" w:rsidRPr="001E5CE2" w:rsidRDefault="00BB5D89" w:rsidP="00BB5D89">
      <w:pPr>
        <w:spacing w:after="0" w:line="360" w:lineRule="auto"/>
        <w:jc w:val="both"/>
        <w:rPr>
          <w:rFonts w:ascii="Times New Roman" w:eastAsia="Times New Roman" w:hAnsi="Times New Roman"/>
          <w:color w:val="000000"/>
          <w:sz w:val="24"/>
          <w:szCs w:val="24"/>
          <w:lang w:eastAsia="es-ES"/>
        </w:rPr>
      </w:pPr>
      <w:r w:rsidRPr="001E5CE2">
        <w:rPr>
          <w:rFonts w:ascii="Times New Roman" w:hAnsi="Times New Roman"/>
          <w:noProof/>
          <w:sz w:val="24"/>
          <w:szCs w:val="24"/>
          <w:lang w:eastAsia="es-AR"/>
        </w:rPr>
        <w:drawing>
          <wp:inline distT="0" distB="0" distL="0" distR="0" wp14:anchorId="4EAEFBEE" wp14:editId="6B1F38EF">
            <wp:extent cx="5724525" cy="1914525"/>
            <wp:effectExtent l="0" t="0" r="9525" b="9525"/>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EB28AB" w14:textId="77777777" w:rsidR="00BB5D89" w:rsidRPr="00894580" w:rsidRDefault="00BB5D89" w:rsidP="00BB5D89">
      <w:pPr>
        <w:spacing w:after="0" w:line="360" w:lineRule="auto"/>
        <w:jc w:val="center"/>
        <w:rPr>
          <w:rFonts w:ascii="Times New Roman" w:eastAsia="Times New Roman" w:hAnsi="Times New Roman"/>
          <w:i/>
          <w:color w:val="000000"/>
          <w:sz w:val="20"/>
          <w:szCs w:val="20"/>
          <w:lang w:eastAsia="es-ES"/>
        </w:rPr>
      </w:pPr>
      <w:r w:rsidRPr="00894580">
        <w:rPr>
          <w:rFonts w:ascii="Times New Roman" w:eastAsia="Times New Roman" w:hAnsi="Times New Roman"/>
          <w:i/>
          <w:color w:val="000000"/>
          <w:sz w:val="20"/>
          <w:szCs w:val="20"/>
          <w:lang w:eastAsia="es-ES"/>
        </w:rPr>
        <w:t>Fuente: Elaboración propia en base a datos CADER, Asociación Argentina de Biocombustibles e Hidrógeno (</w:t>
      </w:r>
      <w:r w:rsidRPr="00894580">
        <w:rPr>
          <w:rFonts w:ascii="Times New Roman" w:eastAsia="Times New Roman" w:hAnsi="Times New Roman"/>
          <w:bCs/>
          <w:i/>
          <w:color w:val="000000"/>
          <w:sz w:val="20"/>
          <w:szCs w:val="20"/>
          <w:lang w:eastAsia="es-ES"/>
        </w:rPr>
        <w:t>ABH</w:t>
      </w:r>
      <w:r w:rsidRPr="00894580">
        <w:rPr>
          <w:rFonts w:ascii="Times New Roman" w:eastAsia="Times New Roman" w:hAnsi="Times New Roman"/>
          <w:i/>
          <w:color w:val="000000"/>
          <w:sz w:val="20"/>
          <w:szCs w:val="20"/>
          <w:lang w:eastAsia="es-ES"/>
        </w:rPr>
        <w:t>) y Secretaría de Energía de la Nación.</w:t>
      </w:r>
    </w:p>
    <w:p w14:paraId="0C841033" w14:textId="77777777" w:rsidR="00BB5D89" w:rsidRPr="00894580" w:rsidRDefault="00BB5D89" w:rsidP="00BB5D89">
      <w:pPr>
        <w:spacing w:after="0" w:line="360" w:lineRule="auto"/>
        <w:jc w:val="center"/>
        <w:rPr>
          <w:rFonts w:ascii="Times New Roman" w:eastAsia="Times New Roman" w:hAnsi="Times New Roman"/>
          <w:i/>
          <w:color w:val="000000"/>
          <w:sz w:val="20"/>
          <w:szCs w:val="20"/>
          <w:lang w:eastAsia="es-ES"/>
        </w:rPr>
      </w:pPr>
      <w:r w:rsidRPr="00894580">
        <w:rPr>
          <w:rFonts w:ascii="Times New Roman" w:eastAsia="Times New Roman" w:hAnsi="Times New Roman"/>
          <w:i/>
          <w:color w:val="000000"/>
          <w:sz w:val="20"/>
          <w:szCs w:val="20"/>
          <w:lang w:eastAsia="es-ES"/>
        </w:rPr>
        <w:t>Nota: Información años 2013, 2014 y 2015 no disponible.</w:t>
      </w:r>
    </w:p>
    <w:p w14:paraId="7EED8E07" w14:textId="77777777" w:rsidR="009F37E6" w:rsidRDefault="009F37E6" w:rsidP="00BB5D89">
      <w:pPr>
        <w:spacing w:after="0" w:line="360" w:lineRule="auto"/>
        <w:jc w:val="both"/>
        <w:rPr>
          <w:rFonts w:ascii="Times New Roman" w:hAnsi="Times New Roman"/>
          <w:color w:val="000000"/>
          <w:sz w:val="24"/>
          <w:szCs w:val="24"/>
        </w:rPr>
      </w:pPr>
    </w:p>
    <w:p w14:paraId="5509AABF" w14:textId="2603F9B5" w:rsidR="00BB5D89" w:rsidRPr="001E5CE2" w:rsidRDefault="00B6415C" w:rsidP="00BB5D89">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Por otro lado, e</w:t>
      </w:r>
      <w:r w:rsidR="00BB5D89" w:rsidRPr="001E5CE2">
        <w:rPr>
          <w:rFonts w:ascii="Times New Roman" w:hAnsi="Times New Roman"/>
          <w:color w:val="000000"/>
          <w:sz w:val="24"/>
          <w:szCs w:val="24"/>
        </w:rPr>
        <w:t>l glicerol es el principal subproducto del proceso de fabricación del biodiesel, del que surgen ácidos grasos. El glicerol obtenido, se concentra y refina en distintos grados para convertirse en glicerina. Si bien este proceso de agregado de valor puede llevar a ampliar la gama de productos industrializados exportados de la cadena -</w:t>
      </w:r>
      <w:r w:rsidR="00730F05">
        <w:rPr>
          <w:rFonts w:ascii="Times New Roman" w:hAnsi="Times New Roman"/>
          <w:color w:val="000000"/>
          <w:sz w:val="24"/>
          <w:szCs w:val="24"/>
        </w:rPr>
        <w:t>a</w:t>
      </w:r>
      <w:r w:rsidR="00BB5D89" w:rsidRPr="001E5CE2">
        <w:rPr>
          <w:rFonts w:ascii="Times New Roman" w:hAnsi="Times New Roman"/>
          <w:color w:val="000000"/>
          <w:sz w:val="24"/>
          <w:szCs w:val="24"/>
        </w:rPr>
        <w:t>ctualmente se exporta a más de diez países en forma cruda o grado farmacéutico-, es habitual que en la industria no se le encuentre utilidad y lo gestionen como un residuo.</w:t>
      </w:r>
      <w:r w:rsidR="00730F05">
        <w:rPr>
          <w:rFonts w:ascii="Times New Roman" w:hAnsi="Times New Roman"/>
          <w:color w:val="000000"/>
          <w:sz w:val="24"/>
          <w:szCs w:val="24"/>
        </w:rPr>
        <w:t xml:space="preserve"> Sin embargo, existe un </w:t>
      </w:r>
      <w:r w:rsidR="00BB5D89" w:rsidRPr="001E5CE2">
        <w:rPr>
          <w:rFonts w:ascii="Times New Roman" w:hAnsi="Times New Roman"/>
          <w:color w:val="000000"/>
          <w:sz w:val="24"/>
          <w:szCs w:val="24"/>
        </w:rPr>
        <w:t xml:space="preserve">el alto potencial </w:t>
      </w:r>
      <w:r w:rsidR="00730F05">
        <w:rPr>
          <w:rFonts w:ascii="Times New Roman" w:hAnsi="Times New Roman"/>
          <w:color w:val="000000"/>
          <w:sz w:val="24"/>
          <w:szCs w:val="24"/>
        </w:rPr>
        <w:t xml:space="preserve">en </w:t>
      </w:r>
      <w:r w:rsidR="00BB5D89" w:rsidRPr="001E5CE2">
        <w:rPr>
          <w:rFonts w:ascii="Times New Roman" w:hAnsi="Times New Roman"/>
          <w:color w:val="000000"/>
          <w:sz w:val="24"/>
          <w:szCs w:val="24"/>
        </w:rPr>
        <w:t xml:space="preserve">el desarrollo de esa materia prima (glicerina refinada), </w:t>
      </w:r>
      <w:r w:rsidR="00730F05">
        <w:rPr>
          <w:rFonts w:ascii="Times New Roman" w:hAnsi="Times New Roman"/>
          <w:color w:val="000000"/>
          <w:sz w:val="24"/>
          <w:szCs w:val="24"/>
        </w:rPr>
        <w:t xml:space="preserve">que </w:t>
      </w:r>
      <w:r w:rsidR="003C52E0">
        <w:rPr>
          <w:rFonts w:ascii="Times New Roman" w:hAnsi="Times New Roman"/>
          <w:color w:val="000000"/>
          <w:sz w:val="24"/>
          <w:szCs w:val="24"/>
        </w:rPr>
        <w:t>proviene</w:t>
      </w:r>
      <w:r w:rsidR="00730F05">
        <w:rPr>
          <w:rFonts w:ascii="Times New Roman" w:hAnsi="Times New Roman"/>
          <w:color w:val="000000"/>
          <w:sz w:val="24"/>
          <w:szCs w:val="24"/>
        </w:rPr>
        <w:t xml:space="preserve"> de</w:t>
      </w:r>
      <w:r w:rsidR="00BB5D89" w:rsidRPr="001E5CE2">
        <w:rPr>
          <w:rFonts w:ascii="Times New Roman" w:hAnsi="Times New Roman"/>
          <w:color w:val="000000"/>
          <w:sz w:val="24"/>
          <w:szCs w:val="24"/>
        </w:rPr>
        <w:t xml:space="preserve"> numerosos usos </w:t>
      </w:r>
      <w:r w:rsidR="00730F05">
        <w:rPr>
          <w:rFonts w:ascii="Times New Roman" w:hAnsi="Times New Roman"/>
          <w:color w:val="000000"/>
          <w:sz w:val="24"/>
          <w:szCs w:val="24"/>
        </w:rPr>
        <w:t>industriales tales como</w:t>
      </w:r>
      <w:r w:rsidR="003C52E0">
        <w:rPr>
          <w:rFonts w:ascii="Times New Roman" w:hAnsi="Times New Roman"/>
          <w:color w:val="000000"/>
          <w:sz w:val="24"/>
          <w:szCs w:val="24"/>
        </w:rPr>
        <w:t>,</w:t>
      </w:r>
      <w:r w:rsidR="00730F05">
        <w:rPr>
          <w:rFonts w:ascii="Times New Roman" w:hAnsi="Times New Roman"/>
          <w:color w:val="000000"/>
          <w:sz w:val="24"/>
          <w:szCs w:val="24"/>
        </w:rPr>
        <w:t xml:space="preserve"> su</w:t>
      </w:r>
      <w:r w:rsidR="00BB5D89" w:rsidRPr="001E5CE2">
        <w:rPr>
          <w:rFonts w:ascii="Times New Roman" w:hAnsi="Times New Roman"/>
          <w:color w:val="000000"/>
          <w:sz w:val="24"/>
          <w:szCs w:val="24"/>
        </w:rPr>
        <w:t xml:space="preserve"> </w:t>
      </w:r>
      <w:r w:rsidR="00730F05">
        <w:rPr>
          <w:rFonts w:ascii="Times New Roman" w:hAnsi="Times New Roman"/>
          <w:color w:val="000000"/>
          <w:sz w:val="24"/>
          <w:szCs w:val="24"/>
        </w:rPr>
        <w:t>empleo en</w:t>
      </w:r>
      <w:r w:rsidR="00BB5D89" w:rsidRPr="001E5CE2">
        <w:rPr>
          <w:rFonts w:ascii="Times New Roman" w:hAnsi="Times New Roman"/>
          <w:color w:val="000000"/>
          <w:sz w:val="24"/>
          <w:szCs w:val="24"/>
        </w:rPr>
        <w:t xml:space="preserve"> la industria química y petroquímica </w:t>
      </w:r>
      <w:r w:rsidR="003C52E0">
        <w:rPr>
          <w:rFonts w:ascii="Times New Roman" w:hAnsi="Times New Roman"/>
          <w:color w:val="000000"/>
          <w:sz w:val="24"/>
          <w:szCs w:val="24"/>
        </w:rPr>
        <w:t>-</w:t>
      </w:r>
      <w:r w:rsidR="00BB5D89" w:rsidRPr="001E5CE2">
        <w:rPr>
          <w:rFonts w:ascii="Times New Roman" w:hAnsi="Times New Roman"/>
          <w:color w:val="000000"/>
          <w:sz w:val="24"/>
          <w:szCs w:val="24"/>
        </w:rPr>
        <w:t>fabricación de polímeros plásticos, plaguicidas, fertilizantes, pinturas, celofán y explosivos</w:t>
      </w:r>
      <w:r w:rsidR="003C52E0">
        <w:rPr>
          <w:rFonts w:ascii="Times New Roman" w:hAnsi="Times New Roman"/>
          <w:color w:val="000000"/>
          <w:sz w:val="24"/>
          <w:szCs w:val="24"/>
        </w:rPr>
        <w:t>-</w:t>
      </w:r>
      <w:r w:rsidR="00BB5D89" w:rsidRPr="001E5CE2">
        <w:rPr>
          <w:rFonts w:ascii="Times New Roman" w:hAnsi="Times New Roman"/>
          <w:color w:val="000000"/>
          <w:sz w:val="24"/>
          <w:szCs w:val="24"/>
        </w:rPr>
        <w:t>; para productos farmacéutico</w:t>
      </w:r>
      <w:r w:rsidR="00730F05">
        <w:rPr>
          <w:rFonts w:ascii="Times New Roman" w:hAnsi="Times New Roman"/>
          <w:color w:val="000000"/>
          <w:sz w:val="24"/>
          <w:szCs w:val="24"/>
        </w:rPr>
        <w:t>s</w:t>
      </w:r>
      <w:r w:rsidR="00BB5D89" w:rsidRPr="001E5CE2">
        <w:rPr>
          <w:rFonts w:ascii="Times New Roman" w:hAnsi="Times New Roman"/>
          <w:color w:val="000000"/>
          <w:sz w:val="24"/>
          <w:szCs w:val="24"/>
        </w:rPr>
        <w:t xml:space="preserve"> y cosmético</w:t>
      </w:r>
      <w:r w:rsidR="00730F05">
        <w:rPr>
          <w:rFonts w:ascii="Times New Roman" w:hAnsi="Times New Roman"/>
          <w:color w:val="000000"/>
          <w:sz w:val="24"/>
          <w:szCs w:val="24"/>
        </w:rPr>
        <w:t>s</w:t>
      </w:r>
      <w:r w:rsidR="003C52E0">
        <w:rPr>
          <w:rFonts w:ascii="Times New Roman" w:hAnsi="Times New Roman"/>
          <w:color w:val="000000"/>
          <w:sz w:val="24"/>
          <w:szCs w:val="24"/>
        </w:rPr>
        <w:t xml:space="preserve"> -</w:t>
      </w:r>
      <w:r w:rsidR="00BB5D89" w:rsidRPr="001E5CE2">
        <w:rPr>
          <w:rFonts w:ascii="Times New Roman" w:hAnsi="Times New Roman"/>
          <w:color w:val="000000"/>
          <w:sz w:val="24"/>
          <w:szCs w:val="24"/>
        </w:rPr>
        <w:t>como humectante, suavizante, lubricante</w:t>
      </w:r>
      <w:r w:rsidR="003C52E0">
        <w:rPr>
          <w:rFonts w:ascii="Times New Roman" w:hAnsi="Times New Roman"/>
          <w:color w:val="000000"/>
          <w:sz w:val="24"/>
          <w:szCs w:val="24"/>
        </w:rPr>
        <w:t xml:space="preserve">-; </w:t>
      </w:r>
      <w:r w:rsidR="00BB5D89" w:rsidRPr="001E5CE2">
        <w:rPr>
          <w:rFonts w:ascii="Times New Roman" w:hAnsi="Times New Roman"/>
          <w:color w:val="000000"/>
          <w:sz w:val="24"/>
          <w:szCs w:val="24"/>
        </w:rPr>
        <w:t>en la industria de aliment</w:t>
      </w:r>
      <w:r w:rsidR="003C52E0">
        <w:rPr>
          <w:rFonts w:ascii="Times New Roman" w:hAnsi="Times New Roman"/>
          <w:color w:val="000000"/>
          <w:sz w:val="24"/>
          <w:szCs w:val="24"/>
        </w:rPr>
        <w:t xml:space="preserve">os </w:t>
      </w:r>
      <w:r w:rsidR="00BB5D89" w:rsidRPr="001E5CE2">
        <w:rPr>
          <w:rFonts w:ascii="Times New Roman" w:hAnsi="Times New Roman"/>
          <w:color w:val="000000"/>
          <w:sz w:val="24"/>
          <w:szCs w:val="24"/>
        </w:rPr>
        <w:t>y bebidas</w:t>
      </w:r>
      <w:r w:rsidR="003C52E0">
        <w:rPr>
          <w:rFonts w:ascii="Times New Roman" w:hAnsi="Times New Roman"/>
          <w:color w:val="000000"/>
          <w:sz w:val="24"/>
          <w:szCs w:val="24"/>
        </w:rPr>
        <w:t xml:space="preserve"> -</w:t>
      </w:r>
      <w:r w:rsidR="00BB5D89" w:rsidRPr="001E5CE2">
        <w:rPr>
          <w:rFonts w:ascii="Times New Roman" w:hAnsi="Times New Roman"/>
          <w:color w:val="000000"/>
          <w:sz w:val="24"/>
          <w:szCs w:val="24"/>
        </w:rPr>
        <w:t>como aditivo para productos horneados, conservante</w:t>
      </w:r>
      <w:r w:rsidR="00730F05">
        <w:rPr>
          <w:rFonts w:ascii="Times New Roman" w:hAnsi="Times New Roman"/>
          <w:color w:val="000000"/>
          <w:sz w:val="24"/>
          <w:szCs w:val="24"/>
        </w:rPr>
        <w:t>s</w:t>
      </w:r>
      <w:r w:rsidR="00BB5D89" w:rsidRPr="001E5CE2">
        <w:rPr>
          <w:rFonts w:ascii="Times New Roman" w:hAnsi="Times New Roman"/>
          <w:color w:val="000000"/>
          <w:sz w:val="24"/>
          <w:szCs w:val="24"/>
        </w:rPr>
        <w:t>, reductor de los contenidos de grasas</w:t>
      </w:r>
      <w:r w:rsidR="003C52E0">
        <w:rPr>
          <w:rFonts w:ascii="Times New Roman" w:hAnsi="Times New Roman"/>
          <w:color w:val="000000"/>
          <w:sz w:val="24"/>
          <w:szCs w:val="24"/>
        </w:rPr>
        <w:t>-</w:t>
      </w:r>
      <w:r w:rsidR="00730F05">
        <w:rPr>
          <w:rFonts w:ascii="Times New Roman" w:hAnsi="Times New Roman"/>
          <w:color w:val="000000"/>
          <w:sz w:val="24"/>
          <w:szCs w:val="24"/>
        </w:rPr>
        <w:t xml:space="preserve"> y</w:t>
      </w:r>
      <w:r w:rsidR="00BB5D89" w:rsidRPr="001E5CE2">
        <w:rPr>
          <w:rFonts w:ascii="Times New Roman" w:hAnsi="Times New Roman"/>
          <w:color w:val="000000"/>
          <w:sz w:val="24"/>
          <w:szCs w:val="24"/>
        </w:rPr>
        <w:t xml:space="preserve"> en la industria tabacalera</w:t>
      </w:r>
      <w:r w:rsidR="003C52E0">
        <w:rPr>
          <w:rFonts w:ascii="Times New Roman" w:hAnsi="Times New Roman"/>
          <w:color w:val="000000"/>
          <w:sz w:val="24"/>
          <w:szCs w:val="24"/>
        </w:rPr>
        <w:t xml:space="preserve"> </w:t>
      </w:r>
      <w:r w:rsidR="00BB5D89" w:rsidRPr="001E5CE2">
        <w:rPr>
          <w:rFonts w:ascii="Times New Roman" w:hAnsi="Times New Roman"/>
          <w:color w:val="000000"/>
          <w:sz w:val="24"/>
          <w:szCs w:val="24"/>
        </w:rPr>
        <w:t xml:space="preserve"> </w:t>
      </w:r>
      <w:r w:rsidR="003C52E0">
        <w:rPr>
          <w:rFonts w:ascii="Times New Roman" w:hAnsi="Times New Roman"/>
          <w:color w:val="000000"/>
          <w:sz w:val="24"/>
          <w:szCs w:val="24"/>
        </w:rPr>
        <w:t>-</w:t>
      </w:r>
      <w:r w:rsidR="00BB5D89" w:rsidRPr="001E5CE2">
        <w:rPr>
          <w:rFonts w:ascii="Times New Roman" w:hAnsi="Times New Roman"/>
          <w:color w:val="000000"/>
          <w:sz w:val="24"/>
          <w:szCs w:val="24"/>
        </w:rPr>
        <w:t>preservar la humedad y elaborar filtros</w:t>
      </w:r>
      <w:r w:rsidR="003C52E0">
        <w:rPr>
          <w:rFonts w:ascii="Times New Roman" w:hAnsi="Times New Roman"/>
          <w:color w:val="000000"/>
          <w:sz w:val="24"/>
          <w:szCs w:val="24"/>
        </w:rPr>
        <w:t>-</w:t>
      </w:r>
      <w:r w:rsidR="00BB5D89" w:rsidRPr="001E5CE2">
        <w:rPr>
          <w:rFonts w:ascii="Times New Roman" w:hAnsi="Times New Roman"/>
          <w:color w:val="000000"/>
          <w:sz w:val="24"/>
          <w:szCs w:val="24"/>
        </w:rPr>
        <w:t>.</w:t>
      </w:r>
    </w:p>
    <w:p w14:paraId="6EE8493C" w14:textId="77777777" w:rsidR="00BB5D89" w:rsidRPr="001E5CE2" w:rsidRDefault="00BB5D89" w:rsidP="00BB5D89">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Según un informe de CARBIO (2011): “</w:t>
      </w:r>
      <w:r w:rsidRPr="003C52E0">
        <w:rPr>
          <w:rFonts w:ascii="Times New Roman" w:hAnsi="Times New Roman"/>
          <w:i/>
          <w:color w:val="000000"/>
          <w:sz w:val="24"/>
          <w:szCs w:val="24"/>
        </w:rPr>
        <w:t>El crecimiento mundial de la producción de Glicerina resultante de la Industria de Biocombustibles, generó a comienzos del 2001 una fuerte caída de precios y un aumento en los stocks. Se fueron intensificando entonces las investigaciones para hallar nuevos usos y aplicaciones. Recién es a mediados de 2007 que nuestro país arranca la producción de Biodiesel, 2 años después se inicia la producción interna de Glicerina Refinada</w:t>
      </w:r>
      <w:r w:rsidRPr="001E5CE2">
        <w:rPr>
          <w:rFonts w:ascii="Times New Roman" w:hAnsi="Times New Roman"/>
          <w:color w:val="000000"/>
          <w:sz w:val="24"/>
          <w:szCs w:val="24"/>
        </w:rPr>
        <w:t xml:space="preserve">.” </w:t>
      </w:r>
    </w:p>
    <w:p w14:paraId="604E798E" w14:textId="541B8915" w:rsidR="00BB5D89" w:rsidRPr="001E5CE2" w:rsidRDefault="003C52E0" w:rsidP="00BB5D89">
      <w:pPr>
        <w:spacing w:after="0" w:line="360" w:lineRule="auto"/>
        <w:jc w:val="both"/>
        <w:rPr>
          <w:rFonts w:ascii="Times New Roman" w:hAnsi="Times New Roman"/>
          <w:color w:val="000000"/>
          <w:sz w:val="24"/>
          <w:szCs w:val="24"/>
        </w:rPr>
      </w:pPr>
      <w:r>
        <w:rPr>
          <w:rFonts w:ascii="Times New Roman" w:hAnsi="Times New Roman"/>
          <w:color w:val="000000"/>
          <w:sz w:val="24"/>
          <w:szCs w:val="24"/>
        </w:rPr>
        <w:t>Así,</w:t>
      </w:r>
      <w:r w:rsidR="00BB5D89" w:rsidRPr="001E5CE2">
        <w:rPr>
          <w:rFonts w:ascii="Times New Roman" w:hAnsi="Times New Roman"/>
          <w:color w:val="000000"/>
          <w:sz w:val="24"/>
          <w:szCs w:val="24"/>
        </w:rPr>
        <w:t xml:space="preserve"> se </w:t>
      </w:r>
      <w:r>
        <w:rPr>
          <w:rFonts w:ascii="Times New Roman" w:hAnsi="Times New Roman"/>
          <w:color w:val="000000"/>
          <w:sz w:val="24"/>
          <w:szCs w:val="24"/>
        </w:rPr>
        <w:t>explica</w:t>
      </w:r>
      <w:r w:rsidR="00BB5D89" w:rsidRPr="001E5CE2">
        <w:rPr>
          <w:rFonts w:ascii="Times New Roman" w:hAnsi="Times New Roman"/>
          <w:color w:val="000000"/>
          <w:sz w:val="24"/>
          <w:szCs w:val="24"/>
        </w:rPr>
        <w:t xml:space="preserve"> la creciente oferta del sector, que supera actualmente la demanda de la misma, </w:t>
      </w:r>
      <w:r>
        <w:rPr>
          <w:rFonts w:ascii="Times New Roman" w:hAnsi="Times New Roman"/>
          <w:color w:val="000000"/>
          <w:sz w:val="24"/>
          <w:szCs w:val="24"/>
        </w:rPr>
        <w:t xml:space="preserve">debido, en </w:t>
      </w:r>
      <w:r w:rsidR="00BB5D89" w:rsidRPr="001E5CE2">
        <w:rPr>
          <w:rFonts w:ascii="Times New Roman" w:hAnsi="Times New Roman"/>
          <w:color w:val="000000"/>
          <w:sz w:val="24"/>
          <w:szCs w:val="24"/>
        </w:rPr>
        <w:t>parte</w:t>
      </w:r>
      <w:r>
        <w:rPr>
          <w:rFonts w:ascii="Times New Roman" w:hAnsi="Times New Roman"/>
          <w:color w:val="000000"/>
          <w:sz w:val="24"/>
          <w:szCs w:val="24"/>
        </w:rPr>
        <w:t>, a los</w:t>
      </w:r>
      <w:r w:rsidR="00BB5D89" w:rsidRPr="001E5CE2">
        <w:rPr>
          <w:rFonts w:ascii="Times New Roman" w:hAnsi="Times New Roman"/>
          <w:color w:val="000000"/>
          <w:sz w:val="24"/>
          <w:szCs w:val="24"/>
        </w:rPr>
        <w:t xml:space="preserve"> altos costos de refinamiento de la glicerina cruda </w:t>
      </w:r>
      <w:r>
        <w:rPr>
          <w:rFonts w:ascii="Times New Roman" w:hAnsi="Times New Roman"/>
          <w:color w:val="000000"/>
          <w:sz w:val="24"/>
          <w:szCs w:val="24"/>
        </w:rPr>
        <w:t>–su precio varía</w:t>
      </w:r>
      <w:r w:rsidR="00BB5D89" w:rsidRPr="001E5CE2">
        <w:rPr>
          <w:rFonts w:ascii="Times New Roman" w:hAnsi="Times New Roman"/>
          <w:color w:val="000000"/>
          <w:sz w:val="24"/>
          <w:szCs w:val="24"/>
        </w:rPr>
        <w:t xml:space="preserve"> en función al grado de pureza de la misma</w:t>
      </w:r>
      <w:r>
        <w:rPr>
          <w:rFonts w:ascii="Times New Roman" w:hAnsi="Times New Roman"/>
          <w:color w:val="000000"/>
          <w:sz w:val="24"/>
          <w:szCs w:val="24"/>
        </w:rPr>
        <w:t>-</w:t>
      </w:r>
      <w:r w:rsidR="00BB5D89" w:rsidRPr="001E5CE2">
        <w:rPr>
          <w:rFonts w:ascii="Times New Roman" w:hAnsi="Times New Roman"/>
          <w:color w:val="000000"/>
          <w:sz w:val="24"/>
          <w:szCs w:val="24"/>
        </w:rPr>
        <w:t>. Este desfasaje entre oferta y demanda se traduce en una baja de los precios. No obstante, el consumo interno comienza a incrementa</w:t>
      </w:r>
      <w:r>
        <w:rPr>
          <w:rFonts w:ascii="Times New Roman" w:hAnsi="Times New Roman"/>
          <w:color w:val="000000"/>
          <w:sz w:val="24"/>
          <w:szCs w:val="24"/>
        </w:rPr>
        <w:t>rse</w:t>
      </w:r>
      <w:r w:rsidR="00BB5D89" w:rsidRPr="001E5CE2">
        <w:rPr>
          <w:rFonts w:ascii="Times New Roman" w:hAnsi="Times New Roman"/>
          <w:color w:val="000000"/>
          <w:sz w:val="24"/>
          <w:szCs w:val="24"/>
        </w:rPr>
        <w:t xml:space="preserve"> por los amplios usos derivados de la glicerina, en especial en la industria farmacéutica y alimentaria.</w:t>
      </w:r>
    </w:p>
    <w:p w14:paraId="3D9A390B" w14:textId="16122502" w:rsidR="00BB5D89" w:rsidRPr="001E5CE2" w:rsidRDefault="00BB5D89" w:rsidP="00BB5D89">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En el periodo considerado</w:t>
      </w:r>
      <w:r w:rsidR="003C52E0">
        <w:rPr>
          <w:rFonts w:ascii="Times New Roman" w:hAnsi="Times New Roman"/>
          <w:color w:val="000000"/>
          <w:sz w:val="24"/>
          <w:szCs w:val="24"/>
        </w:rPr>
        <w:t>,</w:t>
      </w:r>
      <w:r w:rsidRPr="001E5CE2">
        <w:rPr>
          <w:rFonts w:ascii="Times New Roman" w:hAnsi="Times New Roman"/>
          <w:color w:val="000000"/>
          <w:sz w:val="24"/>
          <w:szCs w:val="24"/>
        </w:rPr>
        <w:t xml:space="preserve"> se observa una fuerte fluctuación tanto de las toneladas exportadas de este subproducto como del valor en dólares de dichas exportaciones.</w:t>
      </w:r>
      <w:r w:rsidR="003C52E0">
        <w:rPr>
          <w:rFonts w:ascii="Times New Roman" w:hAnsi="Times New Roman"/>
          <w:color w:val="000000"/>
          <w:sz w:val="24"/>
          <w:szCs w:val="24"/>
        </w:rPr>
        <w:t xml:space="preserve"> A</w:t>
      </w:r>
      <w:r w:rsidRPr="001E5CE2">
        <w:rPr>
          <w:rFonts w:ascii="Times New Roman" w:hAnsi="Times New Roman"/>
          <w:color w:val="000000"/>
          <w:sz w:val="24"/>
          <w:szCs w:val="24"/>
        </w:rPr>
        <w:t xml:space="preserve"> partir del año 2013</w:t>
      </w:r>
      <w:r>
        <w:rPr>
          <w:rFonts w:ascii="Times New Roman" w:hAnsi="Times New Roman"/>
          <w:color w:val="000000"/>
          <w:sz w:val="24"/>
          <w:szCs w:val="24"/>
        </w:rPr>
        <w:t xml:space="preserve"> y hasta 2016</w:t>
      </w:r>
      <w:r w:rsidRPr="001E5CE2">
        <w:rPr>
          <w:rFonts w:ascii="Times New Roman" w:hAnsi="Times New Roman"/>
          <w:color w:val="000000"/>
          <w:sz w:val="24"/>
          <w:szCs w:val="24"/>
        </w:rPr>
        <w:t>, hay una caída significativa en el precio externo por tonelada que va en línea con la caída del precio del grano de soja.</w:t>
      </w:r>
      <w:r>
        <w:rPr>
          <w:rFonts w:ascii="Times New Roman" w:hAnsi="Times New Roman"/>
          <w:color w:val="000000"/>
          <w:sz w:val="24"/>
          <w:szCs w:val="24"/>
        </w:rPr>
        <w:t xml:space="preserve"> Desde </w:t>
      </w:r>
      <w:r w:rsidR="003C52E0">
        <w:rPr>
          <w:rFonts w:ascii="Times New Roman" w:hAnsi="Times New Roman"/>
          <w:color w:val="000000"/>
          <w:sz w:val="24"/>
          <w:szCs w:val="24"/>
        </w:rPr>
        <w:t xml:space="preserve">el año </w:t>
      </w:r>
      <w:r>
        <w:rPr>
          <w:rFonts w:ascii="Times New Roman" w:hAnsi="Times New Roman"/>
          <w:color w:val="000000"/>
          <w:sz w:val="24"/>
          <w:szCs w:val="24"/>
        </w:rPr>
        <w:t>2017 se observa una recuperación en los precios internacionales. En todo el periodo</w:t>
      </w:r>
      <w:r w:rsidR="003C52E0">
        <w:rPr>
          <w:rFonts w:ascii="Times New Roman" w:hAnsi="Times New Roman"/>
          <w:color w:val="000000"/>
          <w:sz w:val="24"/>
          <w:szCs w:val="24"/>
        </w:rPr>
        <w:t>,</w:t>
      </w:r>
      <w:r>
        <w:rPr>
          <w:rFonts w:ascii="Times New Roman" w:hAnsi="Times New Roman"/>
          <w:color w:val="000000"/>
          <w:sz w:val="24"/>
          <w:szCs w:val="24"/>
        </w:rPr>
        <w:t xml:space="preserve"> las cantidades máximas exportadas no superaron las 175.000 toneladas, evidenciando dificultades de la industria para superar ese techo, límite que se podría superar si se consiguen nuevos destinos para este </w:t>
      </w:r>
      <w:r w:rsidR="003C52E0">
        <w:rPr>
          <w:rFonts w:ascii="Times New Roman" w:hAnsi="Times New Roman"/>
          <w:color w:val="000000"/>
          <w:sz w:val="24"/>
          <w:szCs w:val="24"/>
        </w:rPr>
        <w:t>producto. (Véase Gráfico 7).</w:t>
      </w:r>
    </w:p>
    <w:p w14:paraId="648CD219" w14:textId="77777777" w:rsidR="003C52E0" w:rsidRDefault="003C52E0" w:rsidP="00BB5D89">
      <w:pPr>
        <w:spacing w:after="0" w:line="360" w:lineRule="auto"/>
        <w:jc w:val="center"/>
        <w:rPr>
          <w:rFonts w:ascii="Times New Roman" w:eastAsia="Times New Roman" w:hAnsi="Times New Roman"/>
          <w:color w:val="000000"/>
          <w:sz w:val="24"/>
          <w:szCs w:val="24"/>
          <w:lang w:eastAsia="es-ES"/>
        </w:rPr>
      </w:pPr>
    </w:p>
    <w:p w14:paraId="0964EBEB" w14:textId="77777777" w:rsidR="003C52E0" w:rsidRDefault="003C52E0" w:rsidP="00BB5D89">
      <w:pPr>
        <w:spacing w:after="0" w:line="360" w:lineRule="auto"/>
        <w:jc w:val="center"/>
        <w:rPr>
          <w:rFonts w:ascii="Times New Roman" w:eastAsia="Times New Roman" w:hAnsi="Times New Roman"/>
          <w:color w:val="000000"/>
          <w:sz w:val="24"/>
          <w:szCs w:val="24"/>
          <w:lang w:eastAsia="es-ES"/>
        </w:rPr>
      </w:pPr>
    </w:p>
    <w:p w14:paraId="7FBB39E2" w14:textId="77777777" w:rsidR="003C52E0" w:rsidRDefault="003C52E0" w:rsidP="00BB5D89">
      <w:pPr>
        <w:spacing w:after="0" w:line="360" w:lineRule="auto"/>
        <w:jc w:val="center"/>
        <w:rPr>
          <w:rFonts w:ascii="Times New Roman" w:eastAsia="Times New Roman" w:hAnsi="Times New Roman"/>
          <w:color w:val="000000"/>
          <w:sz w:val="24"/>
          <w:szCs w:val="24"/>
          <w:lang w:eastAsia="es-ES"/>
        </w:rPr>
      </w:pPr>
    </w:p>
    <w:p w14:paraId="608B2985" w14:textId="5D5016F0" w:rsidR="00BB5D89" w:rsidRPr="001E5CE2" w:rsidRDefault="00BB5D89" w:rsidP="00BB5D89">
      <w:pPr>
        <w:spacing w:after="0" w:line="360" w:lineRule="auto"/>
        <w:jc w:val="center"/>
        <w:rPr>
          <w:rFonts w:ascii="Times New Roman" w:eastAsia="Times New Roman" w:hAnsi="Times New Roman"/>
          <w:color w:val="000000"/>
          <w:sz w:val="24"/>
          <w:szCs w:val="24"/>
          <w:lang w:eastAsia="es-ES"/>
        </w:rPr>
      </w:pPr>
      <w:r w:rsidRPr="003C52E0">
        <w:rPr>
          <w:rFonts w:ascii="Times New Roman" w:eastAsia="Times New Roman" w:hAnsi="Times New Roman"/>
          <w:color w:val="000000"/>
          <w:sz w:val="24"/>
          <w:szCs w:val="24"/>
          <w:lang w:eastAsia="es-ES"/>
        </w:rPr>
        <w:lastRenderedPageBreak/>
        <w:t xml:space="preserve">Gráfico </w:t>
      </w:r>
      <w:r w:rsidR="003C52E0" w:rsidRPr="003C52E0">
        <w:rPr>
          <w:rFonts w:ascii="Times New Roman" w:eastAsia="Times New Roman" w:hAnsi="Times New Roman"/>
          <w:color w:val="000000"/>
          <w:sz w:val="24"/>
          <w:szCs w:val="24"/>
          <w:lang w:eastAsia="es-ES"/>
        </w:rPr>
        <w:t>7</w:t>
      </w:r>
      <w:r w:rsidRPr="003C52E0">
        <w:rPr>
          <w:rFonts w:ascii="Times New Roman" w:eastAsia="Times New Roman" w:hAnsi="Times New Roman"/>
          <w:color w:val="000000"/>
          <w:sz w:val="24"/>
          <w:szCs w:val="24"/>
          <w:lang w:eastAsia="es-ES"/>
        </w:rPr>
        <w:t>:</w:t>
      </w:r>
      <w:r w:rsidRPr="001E5CE2">
        <w:rPr>
          <w:rFonts w:ascii="Times New Roman" w:eastAsia="Times New Roman" w:hAnsi="Times New Roman"/>
          <w:color w:val="000000"/>
          <w:sz w:val="24"/>
          <w:szCs w:val="24"/>
          <w:lang w:eastAsia="es-ES"/>
        </w:rPr>
        <w:t xml:space="preserve"> Glicerol: Exportación en miles de toneladas, y precio en d</w:t>
      </w:r>
      <w:r>
        <w:rPr>
          <w:rFonts w:ascii="Times New Roman" w:eastAsia="Times New Roman" w:hAnsi="Times New Roman"/>
          <w:color w:val="000000"/>
          <w:sz w:val="24"/>
          <w:szCs w:val="24"/>
          <w:lang w:eastAsia="es-ES"/>
        </w:rPr>
        <w:t>ólares por tonelada. Periodo 2008</w:t>
      </w:r>
      <w:r w:rsidRPr="001E5CE2">
        <w:rPr>
          <w:rFonts w:ascii="Times New Roman" w:eastAsia="Times New Roman" w:hAnsi="Times New Roman"/>
          <w:color w:val="000000"/>
          <w:sz w:val="24"/>
          <w:szCs w:val="24"/>
          <w:lang w:eastAsia="es-ES"/>
        </w:rPr>
        <w:t>-201</w:t>
      </w:r>
      <w:r>
        <w:rPr>
          <w:rFonts w:ascii="Times New Roman" w:eastAsia="Times New Roman" w:hAnsi="Times New Roman"/>
          <w:color w:val="000000"/>
          <w:sz w:val="24"/>
          <w:szCs w:val="24"/>
          <w:lang w:eastAsia="es-ES"/>
        </w:rPr>
        <w:t>8</w:t>
      </w:r>
    </w:p>
    <w:p w14:paraId="55C4BAF1" w14:textId="77777777" w:rsidR="00BB5D89" w:rsidRDefault="00BB5D89" w:rsidP="00BB5D89">
      <w:pPr>
        <w:spacing w:after="0" w:line="360" w:lineRule="auto"/>
        <w:jc w:val="center"/>
        <w:rPr>
          <w:rFonts w:ascii="Times New Roman" w:eastAsia="Times New Roman" w:hAnsi="Times New Roman"/>
          <w:i/>
          <w:color w:val="000000"/>
          <w:sz w:val="24"/>
          <w:szCs w:val="24"/>
          <w:lang w:eastAsia="es-ES"/>
        </w:rPr>
      </w:pPr>
      <w:r>
        <w:rPr>
          <w:noProof/>
          <w:lang w:eastAsia="es-AR"/>
        </w:rPr>
        <w:drawing>
          <wp:inline distT="0" distB="0" distL="0" distR="0" wp14:anchorId="1C8B252A" wp14:editId="1707A72B">
            <wp:extent cx="5324475" cy="20574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449167" w14:textId="77777777" w:rsidR="00BB5D89" w:rsidRPr="0097337E" w:rsidRDefault="00BB5D89" w:rsidP="00BB5D89">
      <w:pPr>
        <w:spacing w:after="0" w:line="360" w:lineRule="auto"/>
        <w:jc w:val="center"/>
        <w:rPr>
          <w:rFonts w:ascii="Times New Roman" w:eastAsia="Times New Roman" w:hAnsi="Times New Roman"/>
          <w:color w:val="000000"/>
          <w:sz w:val="20"/>
          <w:szCs w:val="20"/>
          <w:lang w:eastAsia="es-ES"/>
        </w:rPr>
      </w:pPr>
      <w:r w:rsidRPr="0097337E">
        <w:rPr>
          <w:rFonts w:ascii="Times New Roman" w:eastAsia="Times New Roman" w:hAnsi="Times New Roman"/>
          <w:i/>
          <w:color w:val="000000"/>
          <w:sz w:val="20"/>
          <w:szCs w:val="20"/>
          <w:lang w:eastAsia="es-ES"/>
        </w:rPr>
        <w:t>Fuente: Elaboración propia en base a datos del INDEC y Secretaria de Agroindustria de la Nación</w:t>
      </w:r>
      <w:r w:rsidRPr="0097337E">
        <w:rPr>
          <w:rFonts w:ascii="Times New Roman" w:eastAsia="Times New Roman" w:hAnsi="Times New Roman"/>
          <w:color w:val="000000"/>
          <w:sz w:val="20"/>
          <w:szCs w:val="20"/>
          <w:lang w:eastAsia="es-ES"/>
        </w:rPr>
        <w:t>.</w:t>
      </w:r>
    </w:p>
    <w:p w14:paraId="73C8586E" w14:textId="77777777" w:rsidR="00162100" w:rsidRPr="001E5CE2" w:rsidRDefault="00162100" w:rsidP="001E5CE2">
      <w:pPr>
        <w:tabs>
          <w:tab w:val="left" w:pos="993"/>
        </w:tabs>
        <w:spacing w:after="0" w:line="360" w:lineRule="auto"/>
        <w:jc w:val="both"/>
        <w:rPr>
          <w:rFonts w:ascii="Times New Roman" w:hAnsi="Times New Roman"/>
          <w:b/>
          <w:color w:val="222222"/>
          <w:sz w:val="24"/>
          <w:szCs w:val="24"/>
          <w:u w:val="single"/>
          <w:shd w:val="clear" w:color="auto" w:fill="FFFFFF"/>
        </w:rPr>
      </w:pPr>
    </w:p>
    <w:p w14:paraId="67F5567D" w14:textId="2F6CDCA9" w:rsidR="007B00F4" w:rsidRPr="001E5CE2" w:rsidRDefault="00BB5D89" w:rsidP="001E5CE2">
      <w:pPr>
        <w:tabs>
          <w:tab w:val="left" w:pos="993"/>
        </w:tabs>
        <w:spacing w:after="0" w:line="360" w:lineRule="auto"/>
        <w:jc w:val="both"/>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t xml:space="preserve">4. </w:t>
      </w:r>
      <w:r w:rsidR="007B00F4" w:rsidRPr="001E5CE2">
        <w:rPr>
          <w:rFonts w:ascii="Times New Roman" w:hAnsi="Times New Roman"/>
          <w:b/>
          <w:color w:val="222222"/>
          <w:sz w:val="24"/>
          <w:szCs w:val="24"/>
          <w:shd w:val="clear" w:color="auto" w:fill="FFFFFF"/>
        </w:rPr>
        <w:t>Análisis del mercado externo</w:t>
      </w:r>
    </w:p>
    <w:p w14:paraId="4A03F438" w14:textId="6CE8BC03" w:rsidR="007B00F4" w:rsidRPr="001E5CE2" w:rsidRDefault="007B00F4"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En </w:t>
      </w:r>
      <w:r w:rsidR="00A768D6">
        <w:rPr>
          <w:rFonts w:ascii="Times New Roman" w:hAnsi="Times New Roman"/>
          <w:color w:val="000000"/>
          <w:sz w:val="24"/>
          <w:szCs w:val="24"/>
        </w:rPr>
        <w:t xml:space="preserve">el </w:t>
      </w:r>
      <w:r w:rsidR="0019595F">
        <w:rPr>
          <w:rFonts w:ascii="Times New Roman" w:hAnsi="Times New Roman"/>
          <w:color w:val="000000"/>
          <w:sz w:val="24"/>
          <w:szCs w:val="24"/>
        </w:rPr>
        <w:t>G</w:t>
      </w:r>
      <w:r w:rsidR="00A768D6">
        <w:rPr>
          <w:rFonts w:ascii="Times New Roman" w:hAnsi="Times New Roman"/>
          <w:color w:val="000000"/>
          <w:sz w:val="24"/>
          <w:szCs w:val="24"/>
        </w:rPr>
        <w:t>ráfico</w:t>
      </w:r>
      <w:r w:rsidRPr="001E5CE2">
        <w:rPr>
          <w:rFonts w:ascii="Times New Roman" w:hAnsi="Times New Roman"/>
          <w:color w:val="000000"/>
          <w:sz w:val="24"/>
          <w:szCs w:val="24"/>
        </w:rPr>
        <w:t xml:space="preserve"> </w:t>
      </w:r>
      <w:r w:rsidR="0019595F">
        <w:rPr>
          <w:rFonts w:ascii="Times New Roman" w:hAnsi="Times New Roman"/>
          <w:color w:val="000000"/>
          <w:sz w:val="24"/>
          <w:szCs w:val="24"/>
        </w:rPr>
        <w:t>8</w:t>
      </w:r>
      <w:r w:rsidRPr="001E5CE2">
        <w:rPr>
          <w:rFonts w:ascii="Times New Roman" w:hAnsi="Times New Roman"/>
          <w:color w:val="000000"/>
          <w:sz w:val="24"/>
          <w:szCs w:val="24"/>
        </w:rPr>
        <w:t xml:space="preserve"> se </w:t>
      </w:r>
      <w:r w:rsidR="0019595F">
        <w:rPr>
          <w:rFonts w:ascii="Times New Roman" w:hAnsi="Times New Roman"/>
          <w:color w:val="000000"/>
          <w:sz w:val="24"/>
          <w:szCs w:val="24"/>
        </w:rPr>
        <w:t>muestra</w:t>
      </w:r>
      <w:r w:rsidRPr="001E5CE2">
        <w:rPr>
          <w:rFonts w:ascii="Times New Roman" w:hAnsi="Times New Roman"/>
          <w:color w:val="000000"/>
          <w:sz w:val="24"/>
          <w:szCs w:val="24"/>
        </w:rPr>
        <w:t xml:space="preserve"> el comportamiento de los precios promedios del grano</w:t>
      </w:r>
      <w:r w:rsidR="00A768D6">
        <w:rPr>
          <w:rFonts w:ascii="Times New Roman" w:hAnsi="Times New Roman"/>
          <w:color w:val="000000"/>
          <w:sz w:val="24"/>
          <w:szCs w:val="24"/>
        </w:rPr>
        <w:t xml:space="preserve"> de soja</w:t>
      </w:r>
      <w:r w:rsidRPr="001E5CE2">
        <w:rPr>
          <w:rFonts w:ascii="Times New Roman" w:hAnsi="Times New Roman"/>
          <w:color w:val="000000"/>
          <w:sz w:val="24"/>
          <w:szCs w:val="24"/>
        </w:rPr>
        <w:t xml:space="preserve">, </w:t>
      </w:r>
      <w:proofErr w:type="spellStart"/>
      <w:r w:rsidRPr="001E5CE2">
        <w:rPr>
          <w:rFonts w:ascii="Times New Roman" w:hAnsi="Times New Roman"/>
          <w:color w:val="000000"/>
          <w:sz w:val="24"/>
          <w:szCs w:val="24"/>
        </w:rPr>
        <w:t>expeller</w:t>
      </w:r>
      <w:proofErr w:type="spellEnd"/>
      <w:r w:rsidRPr="001E5CE2">
        <w:rPr>
          <w:rFonts w:ascii="Times New Roman" w:hAnsi="Times New Roman"/>
          <w:color w:val="000000"/>
          <w:sz w:val="24"/>
          <w:szCs w:val="24"/>
        </w:rPr>
        <w:t>, harinas</w:t>
      </w:r>
      <w:r w:rsidR="00A768D6">
        <w:rPr>
          <w:rFonts w:ascii="Times New Roman" w:hAnsi="Times New Roman"/>
          <w:color w:val="000000"/>
          <w:sz w:val="24"/>
          <w:szCs w:val="24"/>
        </w:rPr>
        <w:t>/</w:t>
      </w:r>
      <w:r w:rsidRPr="001E5CE2">
        <w:rPr>
          <w:rFonts w:ascii="Times New Roman" w:hAnsi="Times New Roman"/>
          <w:color w:val="000000"/>
          <w:sz w:val="24"/>
          <w:szCs w:val="24"/>
        </w:rPr>
        <w:t xml:space="preserve">pellets y aceite. </w:t>
      </w:r>
      <w:r w:rsidR="00AA581F">
        <w:rPr>
          <w:rFonts w:ascii="Times New Roman" w:hAnsi="Times New Roman"/>
          <w:color w:val="000000"/>
          <w:sz w:val="24"/>
          <w:szCs w:val="24"/>
        </w:rPr>
        <w:t>El</w:t>
      </w:r>
      <w:r w:rsidRPr="001E5CE2">
        <w:rPr>
          <w:rFonts w:ascii="Times New Roman" w:hAnsi="Times New Roman"/>
          <w:color w:val="000000"/>
          <w:sz w:val="24"/>
          <w:szCs w:val="24"/>
        </w:rPr>
        <w:t xml:space="preserve"> precio del aceite </w:t>
      </w:r>
      <w:r w:rsidR="00A768D6">
        <w:rPr>
          <w:rFonts w:ascii="Times New Roman" w:hAnsi="Times New Roman"/>
          <w:color w:val="000000"/>
          <w:sz w:val="24"/>
          <w:szCs w:val="24"/>
        </w:rPr>
        <w:t>c</w:t>
      </w:r>
      <w:r w:rsidRPr="001E5CE2">
        <w:rPr>
          <w:rFonts w:ascii="Times New Roman" w:hAnsi="Times New Roman"/>
          <w:color w:val="000000"/>
          <w:sz w:val="24"/>
          <w:szCs w:val="24"/>
        </w:rPr>
        <w:t>ru</w:t>
      </w:r>
      <w:r w:rsidR="00A768D6">
        <w:rPr>
          <w:rFonts w:ascii="Times New Roman" w:hAnsi="Times New Roman"/>
          <w:color w:val="000000"/>
          <w:sz w:val="24"/>
          <w:szCs w:val="24"/>
        </w:rPr>
        <w:t>d</w:t>
      </w:r>
      <w:r w:rsidRPr="001E5CE2">
        <w:rPr>
          <w:rFonts w:ascii="Times New Roman" w:hAnsi="Times New Roman"/>
          <w:color w:val="000000"/>
          <w:sz w:val="24"/>
          <w:szCs w:val="24"/>
        </w:rPr>
        <w:t>o cae a partir del año 2011</w:t>
      </w:r>
      <w:r w:rsidR="00E14EBF" w:rsidRPr="001E5CE2">
        <w:rPr>
          <w:rFonts w:ascii="Times New Roman" w:hAnsi="Times New Roman"/>
          <w:color w:val="000000"/>
          <w:sz w:val="24"/>
          <w:szCs w:val="24"/>
        </w:rPr>
        <w:t xml:space="preserve"> </w:t>
      </w:r>
      <w:r w:rsidR="0019595F">
        <w:rPr>
          <w:rFonts w:ascii="Times New Roman" w:hAnsi="Times New Roman"/>
          <w:color w:val="000000"/>
          <w:sz w:val="24"/>
          <w:szCs w:val="24"/>
        </w:rPr>
        <w:t>debido fundamentalmente a</w:t>
      </w:r>
      <w:r w:rsidRPr="001E5CE2">
        <w:rPr>
          <w:rFonts w:ascii="Times New Roman" w:hAnsi="Times New Roman"/>
          <w:color w:val="000000"/>
          <w:sz w:val="24"/>
          <w:szCs w:val="24"/>
        </w:rPr>
        <w:t xml:space="preserve"> la expansión de la oferta mundial de aceites vegetales, entre los que se encuentran no sólo el de soja sino también </w:t>
      </w:r>
      <w:r w:rsidR="0019595F">
        <w:rPr>
          <w:rFonts w:ascii="Times New Roman" w:hAnsi="Times New Roman"/>
          <w:color w:val="000000"/>
          <w:sz w:val="24"/>
          <w:szCs w:val="24"/>
        </w:rPr>
        <w:t xml:space="preserve">los de </w:t>
      </w:r>
      <w:r w:rsidRPr="001E5CE2">
        <w:rPr>
          <w:rFonts w:ascii="Times New Roman" w:hAnsi="Times New Roman"/>
          <w:color w:val="000000"/>
          <w:sz w:val="24"/>
          <w:szCs w:val="24"/>
        </w:rPr>
        <w:t>aceite de palma, colza, girasol, almendra de palma, maní, algodón, coco y oliva</w:t>
      </w:r>
      <w:r w:rsidR="0019595F">
        <w:rPr>
          <w:rFonts w:ascii="Times New Roman" w:hAnsi="Times New Roman"/>
          <w:color w:val="000000"/>
          <w:sz w:val="24"/>
          <w:szCs w:val="24"/>
        </w:rPr>
        <w:t xml:space="preserve"> - entre</w:t>
      </w:r>
      <w:r w:rsidR="0019595F" w:rsidRPr="001E5CE2">
        <w:rPr>
          <w:rFonts w:ascii="Times New Roman" w:hAnsi="Times New Roman"/>
          <w:color w:val="000000"/>
          <w:sz w:val="24"/>
          <w:szCs w:val="24"/>
        </w:rPr>
        <w:t xml:space="preserve"> el año 2011 </w:t>
      </w:r>
      <w:r w:rsidR="0019595F">
        <w:rPr>
          <w:rFonts w:ascii="Times New Roman" w:hAnsi="Times New Roman"/>
          <w:color w:val="000000"/>
          <w:sz w:val="24"/>
          <w:szCs w:val="24"/>
        </w:rPr>
        <w:t>y e</w:t>
      </w:r>
      <w:r w:rsidR="0019595F" w:rsidRPr="001E5CE2">
        <w:rPr>
          <w:rFonts w:ascii="Times New Roman" w:hAnsi="Times New Roman"/>
          <w:color w:val="000000"/>
          <w:sz w:val="24"/>
          <w:szCs w:val="24"/>
        </w:rPr>
        <w:t>l 201</w:t>
      </w:r>
      <w:r w:rsidR="0019595F">
        <w:rPr>
          <w:rFonts w:ascii="Times New Roman" w:hAnsi="Times New Roman"/>
          <w:color w:val="000000"/>
          <w:sz w:val="24"/>
          <w:szCs w:val="24"/>
        </w:rPr>
        <w:t>5</w:t>
      </w:r>
      <w:r w:rsidR="0019595F" w:rsidRPr="001E5CE2">
        <w:rPr>
          <w:rFonts w:ascii="Times New Roman" w:hAnsi="Times New Roman"/>
          <w:color w:val="000000"/>
          <w:sz w:val="24"/>
          <w:szCs w:val="24"/>
        </w:rPr>
        <w:t xml:space="preserve">, </w:t>
      </w:r>
      <w:r w:rsidR="0019595F">
        <w:rPr>
          <w:rFonts w:ascii="Times New Roman" w:hAnsi="Times New Roman"/>
          <w:color w:val="000000"/>
          <w:sz w:val="24"/>
          <w:szCs w:val="24"/>
        </w:rPr>
        <w:t>la caída del</w:t>
      </w:r>
      <w:r w:rsidR="0019595F" w:rsidRPr="001E5CE2">
        <w:rPr>
          <w:rFonts w:ascii="Times New Roman" w:hAnsi="Times New Roman"/>
          <w:color w:val="000000"/>
          <w:sz w:val="24"/>
          <w:szCs w:val="24"/>
        </w:rPr>
        <w:t xml:space="preserve"> precio del aceite a granel </w:t>
      </w:r>
      <w:r w:rsidR="0019595F">
        <w:rPr>
          <w:rFonts w:ascii="Times New Roman" w:hAnsi="Times New Roman"/>
          <w:color w:val="000000"/>
          <w:sz w:val="24"/>
          <w:szCs w:val="24"/>
        </w:rPr>
        <w:t>fue en promedio del</w:t>
      </w:r>
      <w:r w:rsidR="0019595F" w:rsidRPr="001E5CE2">
        <w:rPr>
          <w:rFonts w:ascii="Times New Roman" w:hAnsi="Times New Roman"/>
          <w:color w:val="000000"/>
          <w:sz w:val="24"/>
          <w:szCs w:val="24"/>
        </w:rPr>
        <w:t xml:space="preserve"> </w:t>
      </w:r>
      <w:r w:rsidR="0019595F">
        <w:rPr>
          <w:rFonts w:ascii="Times New Roman" w:hAnsi="Times New Roman"/>
          <w:color w:val="000000"/>
          <w:sz w:val="24"/>
          <w:szCs w:val="24"/>
        </w:rPr>
        <w:t>40</w:t>
      </w:r>
      <w:r w:rsidR="0019595F" w:rsidRPr="001E5CE2">
        <w:rPr>
          <w:rFonts w:ascii="Times New Roman" w:hAnsi="Times New Roman"/>
          <w:color w:val="000000"/>
          <w:sz w:val="24"/>
          <w:szCs w:val="24"/>
        </w:rPr>
        <w:t>%</w:t>
      </w:r>
      <w:r w:rsidR="0019595F">
        <w:rPr>
          <w:rFonts w:ascii="Times New Roman" w:hAnsi="Times New Roman"/>
          <w:color w:val="000000"/>
          <w:sz w:val="24"/>
          <w:szCs w:val="24"/>
        </w:rPr>
        <w:t>-</w:t>
      </w:r>
      <w:r w:rsidRPr="001E5CE2">
        <w:rPr>
          <w:rFonts w:ascii="Times New Roman" w:hAnsi="Times New Roman"/>
          <w:color w:val="000000"/>
          <w:sz w:val="24"/>
          <w:szCs w:val="24"/>
        </w:rPr>
        <w:t>. Según datos del USDA</w:t>
      </w:r>
      <w:r w:rsidR="0019595F">
        <w:rPr>
          <w:rFonts w:ascii="Times New Roman" w:hAnsi="Times New Roman"/>
          <w:color w:val="000000"/>
          <w:sz w:val="24"/>
          <w:szCs w:val="24"/>
        </w:rPr>
        <w:t>,</w:t>
      </w:r>
      <w:r w:rsidRPr="001E5CE2">
        <w:rPr>
          <w:rFonts w:ascii="Times New Roman" w:hAnsi="Times New Roman"/>
          <w:color w:val="000000"/>
          <w:sz w:val="24"/>
          <w:szCs w:val="24"/>
        </w:rPr>
        <w:t xml:space="preserve"> la expansión de la oferta de aceite </w:t>
      </w:r>
      <w:r w:rsidR="00AA581F">
        <w:rPr>
          <w:rFonts w:ascii="Times New Roman" w:hAnsi="Times New Roman"/>
          <w:color w:val="000000"/>
          <w:sz w:val="24"/>
          <w:szCs w:val="24"/>
        </w:rPr>
        <w:t>en los años 2011/17</w:t>
      </w:r>
      <w:r w:rsidRPr="001E5CE2">
        <w:rPr>
          <w:rFonts w:ascii="Times New Roman" w:hAnsi="Times New Roman"/>
          <w:color w:val="000000"/>
          <w:sz w:val="24"/>
          <w:szCs w:val="24"/>
        </w:rPr>
        <w:t xml:space="preserve"> fue del 31%; en tanto que el consumo doméstico global</w:t>
      </w:r>
      <w:r w:rsidR="0019595F">
        <w:rPr>
          <w:rFonts w:ascii="Times New Roman" w:hAnsi="Times New Roman"/>
          <w:color w:val="000000"/>
          <w:sz w:val="24"/>
          <w:szCs w:val="24"/>
        </w:rPr>
        <w:t>,</w:t>
      </w:r>
      <w:r w:rsidRPr="001E5CE2">
        <w:rPr>
          <w:rFonts w:ascii="Times New Roman" w:hAnsi="Times New Roman"/>
          <w:color w:val="000000"/>
          <w:sz w:val="24"/>
          <w:szCs w:val="24"/>
        </w:rPr>
        <w:t xml:space="preserve"> creció a un ritmo menor, de</w:t>
      </w:r>
      <w:r w:rsidR="0019595F">
        <w:rPr>
          <w:rFonts w:ascii="Times New Roman" w:hAnsi="Times New Roman"/>
          <w:color w:val="000000"/>
          <w:sz w:val="24"/>
          <w:szCs w:val="24"/>
        </w:rPr>
        <w:t xml:space="preserve">l orden del </w:t>
      </w:r>
      <w:r w:rsidRPr="001E5CE2">
        <w:rPr>
          <w:rFonts w:ascii="Times New Roman" w:hAnsi="Times New Roman"/>
          <w:color w:val="000000"/>
          <w:sz w:val="24"/>
          <w:szCs w:val="24"/>
        </w:rPr>
        <w:t>24,6%.</w:t>
      </w:r>
      <w:r w:rsidR="00A768D6">
        <w:rPr>
          <w:rFonts w:ascii="Times New Roman" w:hAnsi="Times New Roman"/>
          <w:color w:val="000000"/>
          <w:sz w:val="24"/>
          <w:szCs w:val="24"/>
        </w:rPr>
        <w:t xml:space="preserve"> El precio de los otros subproductos se mantiene sin grandes fluctuaciones</w:t>
      </w:r>
      <w:r w:rsidR="00AA581F">
        <w:rPr>
          <w:rFonts w:ascii="Times New Roman" w:hAnsi="Times New Roman"/>
          <w:color w:val="000000"/>
          <w:sz w:val="24"/>
          <w:szCs w:val="24"/>
        </w:rPr>
        <w:t>, aunque con una leve baja hasta 2015, año en que se estabilizan esos precios</w:t>
      </w:r>
      <w:r w:rsidR="00A768D6">
        <w:rPr>
          <w:rFonts w:ascii="Times New Roman" w:hAnsi="Times New Roman"/>
          <w:color w:val="000000"/>
          <w:sz w:val="24"/>
          <w:szCs w:val="24"/>
        </w:rPr>
        <w:t>.</w:t>
      </w:r>
    </w:p>
    <w:p w14:paraId="14BCD705" w14:textId="77777777" w:rsidR="00E75E02" w:rsidRPr="001E5CE2" w:rsidRDefault="00E75E02" w:rsidP="001E5CE2">
      <w:pPr>
        <w:spacing w:after="0" w:line="360" w:lineRule="auto"/>
        <w:jc w:val="center"/>
        <w:rPr>
          <w:rFonts w:ascii="Times New Roman" w:hAnsi="Times New Roman"/>
          <w:color w:val="222222"/>
          <w:sz w:val="24"/>
          <w:szCs w:val="24"/>
          <w:u w:val="single"/>
          <w:shd w:val="clear" w:color="auto" w:fill="FFFFFF"/>
        </w:rPr>
      </w:pPr>
    </w:p>
    <w:p w14:paraId="0E343512" w14:textId="78FC065E" w:rsidR="00A768D6" w:rsidRDefault="00A768D6" w:rsidP="001E5CE2">
      <w:pPr>
        <w:spacing w:after="0" w:line="360" w:lineRule="auto"/>
        <w:jc w:val="center"/>
        <w:rPr>
          <w:rFonts w:ascii="Times New Roman" w:hAnsi="Times New Roman"/>
          <w:i/>
          <w:color w:val="222222"/>
          <w:sz w:val="24"/>
          <w:szCs w:val="24"/>
          <w:shd w:val="clear" w:color="auto" w:fill="FFFFFF"/>
        </w:rPr>
      </w:pPr>
      <w:r w:rsidRPr="00AA4ECE">
        <w:rPr>
          <w:rFonts w:ascii="Times New Roman" w:hAnsi="Times New Roman"/>
          <w:color w:val="222222"/>
          <w:sz w:val="24"/>
          <w:szCs w:val="24"/>
          <w:shd w:val="clear" w:color="auto" w:fill="FFFFFF"/>
        </w:rPr>
        <w:t>Gráfico</w:t>
      </w:r>
      <w:r w:rsidR="007B00F4" w:rsidRPr="00AA4ECE">
        <w:rPr>
          <w:rFonts w:ascii="Times New Roman" w:hAnsi="Times New Roman"/>
          <w:color w:val="222222"/>
          <w:sz w:val="24"/>
          <w:szCs w:val="24"/>
          <w:shd w:val="clear" w:color="auto" w:fill="FFFFFF"/>
        </w:rPr>
        <w:t xml:space="preserve"> </w:t>
      </w:r>
      <w:r w:rsidR="0019595F" w:rsidRPr="00AA4ECE">
        <w:rPr>
          <w:rFonts w:ascii="Times New Roman" w:hAnsi="Times New Roman"/>
          <w:color w:val="222222"/>
          <w:sz w:val="24"/>
          <w:szCs w:val="24"/>
          <w:shd w:val="clear" w:color="auto" w:fill="FFFFFF"/>
        </w:rPr>
        <w:t>8</w:t>
      </w:r>
      <w:r w:rsidR="007B00F4" w:rsidRPr="00AA4ECE">
        <w:rPr>
          <w:rFonts w:ascii="Times New Roman" w:hAnsi="Times New Roman"/>
          <w:color w:val="222222"/>
          <w:sz w:val="24"/>
          <w:szCs w:val="24"/>
          <w:shd w:val="clear" w:color="auto" w:fill="FFFFFF"/>
        </w:rPr>
        <w:t>:</w:t>
      </w:r>
      <w:r w:rsidR="007B00F4" w:rsidRPr="001E5CE2">
        <w:rPr>
          <w:rFonts w:ascii="Times New Roman" w:hAnsi="Times New Roman"/>
          <w:color w:val="222222"/>
          <w:sz w:val="24"/>
          <w:szCs w:val="24"/>
          <w:shd w:val="clear" w:color="auto" w:fill="FFFFFF"/>
        </w:rPr>
        <w:t xml:space="preserve"> Precios FOB promedios en </w:t>
      </w:r>
      <w:proofErr w:type="spellStart"/>
      <w:r w:rsidR="00AA4ECE">
        <w:rPr>
          <w:rFonts w:ascii="Times New Roman" w:hAnsi="Times New Roman"/>
          <w:color w:val="222222"/>
          <w:sz w:val="24"/>
          <w:szCs w:val="24"/>
          <w:shd w:val="clear" w:color="auto" w:fill="FFFFFF"/>
        </w:rPr>
        <w:t>u$s</w:t>
      </w:r>
      <w:proofErr w:type="spellEnd"/>
      <w:r w:rsidR="007B00F4" w:rsidRPr="001E5CE2">
        <w:rPr>
          <w:rFonts w:ascii="Times New Roman" w:hAnsi="Times New Roman"/>
          <w:color w:val="222222"/>
          <w:sz w:val="24"/>
          <w:szCs w:val="24"/>
          <w:shd w:val="clear" w:color="auto" w:fill="FFFFFF"/>
        </w:rPr>
        <w:t xml:space="preserve"> de grano y subproductos de Soja. Periodo 2007</w:t>
      </w:r>
      <w:r w:rsidR="00AA4ECE">
        <w:rPr>
          <w:rFonts w:ascii="Times New Roman" w:hAnsi="Times New Roman"/>
          <w:color w:val="222222"/>
          <w:sz w:val="24"/>
          <w:szCs w:val="24"/>
          <w:shd w:val="clear" w:color="auto" w:fill="FFFFFF"/>
        </w:rPr>
        <w:t>/18</w:t>
      </w:r>
      <w:r>
        <w:rPr>
          <w:noProof/>
          <w:lang w:eastAsia="es-AR"/>
        </w:rPr>
        <w:drawing>
          <wp:inline distT="0" distB="0" distL="0" distR="0" wp14:anchorId="7994F8A8" wp14:editId="6F248B68">
            <wp:extent cx="5181600" cy="2066925"/>
            <wp:effectExtent l="0" t="0" r="19050" b="9525"/>
            <wp:docPr id="14" name="Gráfico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566FB7" w14:textId="77777777" w:rsidR="0019595F" w:rsidRPr="00AA4ECE" w:rsidRDefault="00A768D6" w:rsidP="00A768D6">
      <w:pPr>
        <w:spacing w:after="0" w:line="360" w:lineRule="auto"/>
        <w:jc w:val="center"/>
        <w:rPr>
          <w:rFonts w:ascii="Times New Roman" w:hAnsi="Times New Roman"/>
          <w:i/>
          <w:color w:val="222222"/>
          <w:sz w:val="20"/>
          <w:szCs w:val="20"/>
          <w:shd w:val="clear" w:color="auto" w:fill="FFFFFF"/>
        </w:rPr>
      </w:pPr>
      <w:r w:rsidRPr="00AA4ECE">
        <w:rPr>
          <w:rFonts w:ascii="Times New Roman" w:hAnsi="Times New Roman"/>
          <w:i/>
          <w:color w:val="222222"/>
          <w:sz w:val="20"/>
          <w:szCs w:val="20"/>
          <w:shd w:val="clear" w:color="auto" w:fill="FFFFFF"/>
        </w:rPr>
        <w:t>Fuente: Elaboración propia en base a datos de la Secretaría de Agroindustria.</w:t>
      </w:r>
    </w:p>
    <w:p w14:paraId="03E4B04F" w14:textId="0722C750" w:rsidR="00A768D6" w:rsidRPr="00AA4ECE" w:rsidRDefault="0019595F" w:rsidP="00A768D6">
      <w:pPr>
        <w:spacing w:after="0" w:line="360" w:lineRule="auto"/>
        <w:jc w:val="center"/>
        <w:rPr>
          <w:rFonts w:ascii="Times New Roman" w:hAnsi="Times New Roman"/>
          <w:i/>
          <w:color w:val="222222"/>
          <w:sz w:val="20"/>
          <w:szCs w:val="20"/>
          <w:shd w:val="clear" w:color="auto" w:fill="FFFFFF"/>
        </w:rPr>
      </w:pPr>
      <w:r w:rsidRPr="00AA4ECE">
        <w:rPr>
          <w:rFonts w:ascii="Times New Roman" w:hAnsi="Times New Roman"/>
          <w:i/>
          <w:color w:val="222222"/>
          <w:sz w:val="20"/>
          <w:szCs w:val="20"/>
          <w:shd w:val="clear" w:color="auto" w:fill="FFFFFF"/>
        </w:rPr>
        <w:t xml:space="preserve">Nota: no se publican datos de </w:t>
      </w:r>
      <w:proofErr w:type="spellStart"/>
      <w:r w:rsidRPr="00AA4ECE">
        <w:rPr>
          <w:rFonts w:ascii="Times New Roman" w:hAnsi="Times New Roman"/>
          <w:i/>
          <w:color w:val="222222"/>
          <w:sz w:val="20"/>
          <w:szCs w:val="20"/>
          <w:shd w:val="clear" w:color="auto" w:fill="FFFFFF"/>
        </w:rPr>
        <w:t>expeller</w:t>
      </w:r>
      <w:proofErr w:type="spellEnd"/>
      <w:r w:rsidR="00A768D6" w:rsidRPr="00AA4ECE">
        <w:rPr>
          <w:rFonts w:ascii="Times New Roman" w:hAnsi="Times New Roman"/>
          <w:i/>
          <w:color w:val="222222"/>
          <w:sz w:val="20"/>
          <w:szCs w:val="20"/>
          <w:shd w:val="clear" w:color="auto" w:fill="FFFFFF"/>
        </w:rPr>
        <w:t xml:space="preserve"> </w:t>
      </w:r>
      <w:r w:rsidR="00AA4ECE" w:rsidRPr="00AA4ECE">
        <w:rPr>
          <w:rFonts w:ascii="Times New Roman" w:hAnsi="Times New Roman"/>
          <w:i/>
          <w:color w:val="222222"/>
          <w:sz w:val="20"/>
          <w:szCs w:val="20"/>
          <w:shd w:val="clear" w:color="auto" w:fill="FFFFFF"/>
        </w:rPr>
        <w:t>desde el año 2014</w:t>
      </w:r>
    </w:p>
    <w:p w14:paraId="4DC0ED75" w14:textId="70C92FDF" w:rsidR="00E75E02" w:rsidRPr="001E5CE2" w:rsidRDefault="00AA4ECE" w:rsidP="001E5CE2">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Con</w:t>
      </w:r>
      <w:r w:rsidR="00E75E02" w:rsidRPr="001E5CE2">
        <w:rPr>
          <w:rFonts w:ascii="Times New Roman" w:hAnsi="Times New Roman"/>
          <w:color w:val="000000"/>
          <w:sz w:val="24"/>
          <w:szCs w:val="24"/>
        </w:rPr>
        <w:t xml:space="preserve"> relación a los principales compradores</w:t>
      </w:r>
      <w:r w:rsidR="009C755E">
        <w:rPr>
          <w:rFonts w:ascii="Times New Roman" w:hAnsi="Times New Roman"/>
          <w:color w:val="000000"/>
          <w:sz w:val="24"/>
          <w:szCs w:val="24"/>
        </w:rPr>
        <w:t>,</w:t>
      </w:r>
      <w:r w:rsidR="00E75E02" w:rsidRPr="001E5CE2">
        <w:rPr>
          <w:rFonts w:ascii="Times New Roman" w:hAnsi="Times New Roman"/>
          <w:color w:val="000000"/>
          <w:sz w:val="24"/>
          <w:szCs w:val="24"/>
        </w:rPr>
        <w:t xml:space="preserve"> la situación es diferente </w:t>
      </w:r>
      <w:r>
        <w:rPr>
          <w:rFonts w:ascii="Times New Roman" w:hAnsi="Times New Roman"/>
          <w:color w:val="000000"/>
          <w:sz w:val="24"/>
          <w:szCs w:val="24"/>
        </w:rPr>
        <w:t>según e</w:t>
      </w:r>
      <w:r w:rsidR="00E75E02" w:rsidRPr="001E5CE2">
        <w:rPr>
          <w:rFonts w:ascii="Times New Roman" w:hAnsi="Times New Roman"/>
          <w:color w:val="000000"/>
          <w:sz w:val="24"/>
          <w:szCs w:val="24"/>
        </w:rPr>
        <w:t>l producto o subproducto que se analice</w:t>
      </w:r>
      <w:r>
        <w:rPr>
          <w:rFonts w:ascii="Times New Roman" w:hAnsi="Times New Roman"/>
          <w:color w:val="000000"/>
          <w:sz w:val="24"/>
          <w:szCs w:val="24"/>
        </w:rPr>
        <w:t>.</w:t>
      </w:r>
      <w:r w:rsidR="00E75E02" w:rsidRPr="001E5CE2">
        <w:rPr>
          <w:rFonts w:ascii="Times New Roman" w:hAnsi="Times New Roman"/>
          <w:color w:val="000000"/>
          <w:sz w:val="24"/>
          <w:szCs w:val="24"/>
        </w:rPr>
        <w:t xml:space="preserve"> </w:t>
      </w:r>
      <w:r>
        <w:rPr>
          <w:rFonts w:ascii="Times New Roman" w:hAnsi="Times New Roman"/>
          <w:color w:val="000000"/>
          <w:sz w:val="24"/>
          <w:szCs w:val="24"/>
        </w:rPr>
        <w:t>S</w:t>
      </w:r>
      <w:r w:rsidR="00E75E02" w:rsidRPr="001E5CE2">
        <w:rPr>
          <w:rFonts w:ascii="Times New Roman" w:hAnsi="Times New Roman"/>
          <w:color w:val="000000"/>
          <w:sz w:val="24"/>
          <w:szCs w:val="24"/>
        </w:rPr>
        <w:t>egún datos del INDEC para el año 201</w:t>
      </w:r>
      <w:r w:rsidR="00AA1B69">
        <w:rPr>
          <w:rFonts w:ascii="Times New Roman" w:hAnsi="Times New Roman"/>
          <w:color w:val="000000"/>
          <w:sz w:val="24"/>
          <w:szCs w:val="24"/>
        </w:rPr>
        <w:t>8</w:t>
      </w:r>
      <w:r w:rsidR="00E75E02" w:rsidRPr="001E5CE2">
        <w:rPr>
          <w:rFonts w:ascii="Times New Roman" w:hAnsi="Times New Roman"/>
          <w:color w:val="000000"/>
          <w:sz w:val="24"/>
          <w:szCs w:val="24"/>
        </w:rPr>
        <w:t xml:space="preserve">, el principal comprador del grano de soja fue China </w:t>
      </w:r>
      <w:r>
        <w:rPr>
          <w:rFonts w:ascii="Times New Roman" w:hAnsi="Times New Roman"/>
          <w:color w:val="000000"/>
          <w:sz w:val="24"/>
          <w:szCs w:val="24"/>
        </w:rPr>
        <w:t>–con el</w:t>
      </w:r>
      <w:r w:rsidR="00E75E02" w:rsidRPr="001E5CE2">
        <w:rPr>
          <w:rFonts w:ascii="Times New Roman" w:hAnsi="Times New Roman"/>
          <w:color w:val="000000"/>
          <w:sz w:val="24"/>
          <w:szCs w:val="24"/>
        </w:rPr>
        <w:t xml:space="preserve"> </w:t>
      </w:r>
      <w:r w:rsidR="00AA1B69">
        <w:rPr>
          <w:rFonts w:ascii="Times New Roman" w:hAnsi="Times New Roman"/>
          <w:color w:val="000000"/>
          <w:sz w:val="24"/>
          <w:szCs w:val="24"/>
        </w:rPr>
        <w:t>89</w:t>
      </w:r>
      <w:r w:rsidR="00E75E02" w:rsidRPr="001E5CE2">
        <w:rPr>
          <w:rFonts w:ascii="Times New Roman" w:hAnsi="Times New Roman"/>
          <w:color w:val="000000"/>
          <w:sz w:val="24"/>
          <w:szCs w:val="24"/>
        </w:rPr>
        <w:t>% del comercio externo</w:t>
      </w:r>
      <w:r>
        <w:rPr>
          <w:rFonts w:ascii="Times New Roman" w:hAnsi="Times New Roman"/>
          <w:color w:val="000000"/>
          <w:sz w:val="24"/>
          <w:szCs w:val="24"/>
        </w:rPr>
        <w:t>-</w:t>
      </w:r>
      <w:r w:rsidR="00E75E02" w:rsidRPr="001E5CE2">
        <w:rPr>
          <w:rFonts w:ascii="Times New Roman" w:hAnsi="Times New Roman"/>
          <w:color w:val="000000"/>
          <w:sz w:val="24"/>
          <w:szCs w:val="24"/>
        </w:rPr>
        <w:t xml:space="preserve">, mientras que la demanda externa de harina, proviene de la Unión Europea </w:t>
      </w:r>
      <w:r>
        <w:rPr>
          <w:rFonts w:ascii="Times New Roman" w:hAnsi="Times New Roman"/>
          <w:color w:val="000000"/>
          <w:sz w:val="24"/>
          <w:szCs w:val="24"/>
        </w:rPr>
        <w:t>-</w:t>
      </w:r>
      <w:r w:rsidR="00AA1B69">
        <w:rPr>
          <w:rFonts w:ascii="Times New Roman" w:hAnsi="Times New Roman"/>
          <w:color w:val="000000"/>
          <w:sz w:val="24"/>
          <w:szCs w:val="24"/>
        </w:rPr>
        <w:t>2</w:t>
      </w:r>
      <w:r w:rsidR="00E75E02" w:rsidRPr="001E5CE2">
        <w:rPr>
          <w:rFonts w:ascii="Times New Roman" w:hAnsi="Times New Roman"/>
          <w:color w:val="000000"/>
          <w:sz w:val="24"/>
          <w:szCs w:val="24"/>
        </w:rPr>
        <w:t>2%</w:t>
      </w:r>
      <w:r>
        <w:rPr>
          <w:rFonts w:ascii="Times New Roman" w:hAnsi="Times New Roman"/>
          <w:color w:val="000000"/>
          <w:sz w:val="24"/>
          <w:szCs w:val="24"/>
        </w:rPr>
        <w:t>-</w:t>
      </w:r>
      <w:r w:rsidR="00AA1B69">
        <w:rPr>
          <w:rFonts w:ascii="Times New Roman" w:hAnsi="Times New Roman"/>
          <w:color w:val="000000"/>
          <w:sz w:val="24"/>
          <w:szCs w:val="24"/>
        </w:rPr>
        <w:t xml:space="preserve">, Vietnam </w:t>
      </w:r>
      <w:r>
        <w:rPr>
          <w:rFonts w:ascii="Times New Roman" w:hAnsi="Times New Roman"/>
          <w:color w:val="000000"/>
          <w:sz w:val="24"/>
          <w:szCs w:val="24"/>
        </w:rPr>
        <w:t>-</w:t>
      </w:r>
      <w:r w:rsidR="00AA1B69">
        <w:rPr>
          <w:rFonts w:ascii="Times New Roman" w:hAnsi="Times New Roman"/>
          <w:color w:val="000000"/>
          <w:sz w:val="24"/>
          <w:szCs w:val="24"/>
        </w:rPr>
        <w:t>12%</w:t>
      </w:r>
      <w:r>
        <w:rPr>
          <w:rFonts w:ascii="Times New Roman" w:hAnsi="Times New Roman"/>
          <w:color w:val="000000"/>
          <w:sz w:val="24"/>
          <w:szCs w:val="24"/>
        </w:rPr>
        <w:t>-.</w:t>
      </w:r>
      <w:r w:rsidR="00AA1B69">
        <w:rPr>
          <w:rFonts w:ascii="Times New Roman" w:hAnsi="Times New Roman"/>
          <w:color w:val="000000"/>
          <w:sz w:val="24"/>
          <w:szCs w:val="24"/>
        </w:rPr>
        <w:t xml:space="preserve"> Indonesia </w:t>
      </w:r>
      <w:r>
        <w:rPr>
          <w:rFonts w:ascii="Times New Roman" w:hAnsi="Times New Roman"/>
          <w:color w:val="000000"/>
          <w:sz w:val="24"/>
          <w:szCs w:val="24"/>
        </w:rPr>
        <w:t>-</w:t>
      </w:r>
      <w:r w:rsidR="00AA1B69">
        <w:rPr>
          <w:rFonts w:ascii="Times New Roman" w:hAnsi="Times New Roman"/>
          <w:color w:val="000000"/>
          <w:sz w:val="24"/>
          <w:szCs w:val="24"/>
        </w:rPr>
        <w:t>10%</w:t>
      </w:r>
      <w:r>
        <w:rPr>
          <w:rFonts w:ascii="Times New Roman" w:hAnsi="Times New Roman"/>
          <w:color w:val="000000"/>
          <w:sz w:val="24"/>
          <w:szCs w:val="24"/>
        </w:rPr>
        <w:t xml:space="preserve">- En </w:t>
      </w:r>
      <w:r w:rsidR="00E75E02" w:rsidRPr="001E5CE2">
        <w:rPr>
          <w:rFonts w:ascii="Times New Roman" w:hAnsi="Times New Roman"/>
          <w:color w:val="000000"/>
          <w:sz w:val="24"/>
          <w:szCs w:val="24"/>
        </w:rPr>
        <w:t xml:space="preserve">el caso del aceite, </w:t>
      </w:r>
      <w:r>
        <w:rPr>
          <w:rFonts w:ascii="Times New Roman" w:hAnsi="Times New Roman"/>
          <w:color w:val="000000"/>
          <w:sz w:val="24"/>
          <w:szCs w:val="24"/>
        </w:rPr>
        <w:t xml:space="preserve">el comercio lo concentran </w:t>
      </w:r>
      <w:r w:rsidR="00E75E02" w:rsidRPr="001E5CE2">
        <w:rPr>
          <w:rFonts w:ascii="Times New Roman" w:hAnsi="Times New Roman"/>
          <w:color w:val="000000"/>
          <w:sz w:val="24"/>
          <w:szCs w:val="24"/>
        </w:rPr>
        <w:t xml:space="preserve">India </w:t>
      </w:r>
      <w:r>
        <w:rPr>
          <w:rFonts w:ascii="Times New Roman" w:hAnsi="Times New Roman"/>
          <w:color w:val="000000"/>
          <w:sz w:val="24"/>
          <w:szCs w:val="24"/>
        </w:rPr>
        <w:t>-</w:t>
      </w:r>
      <w:r w:rsidR="00AA1B69">
        <w:rPr>
          <w:rFonts w:ascii="Times New Roman" w:hAnsi="Times New Roman"/>
          <w:color w:val="000000"/>
          <w:sz w:val="24"/>
          <w:szCs w:val="24"/>
        </w:rPr>
        <w:t>46</w:t>
      </w:r>
      <w:r w:rsidR="00E75E02" w:rsidRPr="001E5CE2">
        <w:rPr>
          <w:rFonts w:ascii="Times New Roman" w:hAnsi="Times New Roman"/>
          <w:color w:val="000000"/>
          <w:sz w:val="24"/>
          <w:szCs w:val="24"/>
        </w:rPr>
        <w:t>%</w:t>
      </w:r>
      <w:r>
        <w:rPr>
          <w:rFonts w:ascii="Times New Roman" w:hAnsi="Times New Roman"/>
          <w:color w:val="000000"/>
          <w:sz w:val="24"/>
          <w:szCs w:val="24"/>
        </w:rPr>
        <w:t>-</w:t>
      </w:r>
      <w:r w:rsidR="00AA1B69">
        <w:rPr>
          <w:rFonts w:ascii="Times New Roman" w:hAnsi="Times New Roman"/>
          <w:color w:val="000000"/>
          <w:sz w:val="24"/>
          <w:szCs w:val="24"/>
        </w:rPr>
        <w:t xml:space="preserve"> y</w:t>
      </w:r>
      <w:r w:rsidR="00AA1B69" w:rsidRPr="00AA1B69">
        <w:rPr>
          <w:rFonts w:ascii="Times New Roman" w:hAnsi="Times New Roman"/>
          <w:color w:val="000000"/>
          <w:sz w:val="24"/>
          <w:szCs w:val="24"/>
        </w:rPr>
        <w:t xml:space="preserve"> </w:t>
      </w:r>
      <w:r w:rsidR="00AA1B69">
        <w:rPr>
          <w:rFonts w:ascii="Times New Roman" w:hAnsi="Times New Roman"/>
          <w:color w:val="000000"/>
          <w:sz w:val="24"/>
          <w:szCs w:val="24"/>
        </w:rPr>
        <w:t>Bangladesh</w:t>
      </w:r>
      <w:r w:rsidR="00AA1B69" w:rsidRPr="001E5CE2">
        <w:rPr>
          <w:rFonts w:ascii="Times New Roman" w:hAnsi="Times New Roman"/>
          <w:color w:val="000000"/>
          <w:sz w:val="24"/>
          <w:szCs w:val="24"/>
        </w:rPr>
        <w:t xml:space="preserve"> </w:t>
      </w:r>
      <w:r>
        <w:rPr>
          <w:rFonts w:ascii="Times New Roman" w:hAnsi="Times New Roman"/>
          <w:color w:val="000000"/>
          <w:sz w:val="24"/>
          <w:szCs w:val="24"/>
        </w:rPr>
        <w:t>-</w:t>
      </w:r>
      <w:r w:rsidR="00AA1B69" w:rsidRPr="001E5CE2">
        <w:rPr>
          <w:rFonts w:ascii="Times New Roman" w:hAnsi="Times New Roman"/>
          <w:color w:val="000000"/>
          <w:sz w:val="24"/>
          <w:szCs w:val="24"/>
        </w:rPr>
        <w:t>1</w:t>
      </w:r>
      <w:r w:rsidR="00AA1B69">
        <w:rPr>
          <w:rFonts w:ascii="Times New Roman" w:hAnsi="Times New Roman"/>
          <w:color w:val="000000"/>
          <w:sz w:val="24"/>
          <w:szCs w:val="24"/>
        </w:rPr>
        <w:t>6</w:t>
      </w:r>
      <w:r w:rsidR="00AA1B69" w:rsidRPr="001E5CE2">
        <w:rPr>
          <w:rFonts w:ascii="Times New Roman" w:hAnsi="Times New Roman"/>
          <w:color w:val="000000"/>
          <w:sz w:val="24"/>
          <w:szCs w:val="24"/>
        </w:rPr>
        <w:t>%</w:t>
      </w:r>
      <w:r>
        <w:rPr>
          <w:rFonts w:ascii="Times New Roman" w:hAnsi="Times New Roman"/>
          <w:color w:val="000000"/>
          <w:sz w:val="24"/>
          <w:szCs w:val="24"/>
        </w:rPr>
        <w:t>-</w:t>
      </w:r>
      <w:r w:rsidR="00AA1B69">
        <w:rPr>
          <w:rFonts w:ascii="Times New Roman" w:hAnsi="Times New Roman"/>
          <w:color w:val="000000"/>
          <w:sz w:val="24"/>
          <w:szCs w:val="24"/>
        </w:rPr>
        <w:t>.</w:t>
      </w:r>
    </w:p>
    <w:p w14:paraId="7D6277E5" w14:textId="29F72D36" w:rsidR="00E75E02" w:rsidRPr="001E5CE2" w:rsidRDefault="00E75E02"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 xml:space="preserve">En </w:t>
      </w:r>
      <w:r w:rsidR="000D594C">
        <w:rPr>
          <w:rFonts w:ascii="Times New Roman" w:hAnsi="Times New Roman"/>
          <w:color w:val="000000"/>
          <w:sz w:val="24"/>
          <w:szCs w:val="24"/>
        </w:rPr>
        <w:t>cuanto</w:t>
      </w:r>
      <w:r w:rsidRPr="001E5CE2">
        <w:rPr>
          <w:rFonts w:ascii="Times New Roman" w:hAnsi="Times New Roman"/>
          <w:color w:val="000000"/>
          <w:sz w:val="24"/>
          <w:szCs w:val="24"/>
        </w:rPr>
        <w:t xml:space="preserve"> a las exportaciones del complejo sojero del país, las mismas están directamente relacionadas con la cantidad de producción obtenida en cada una de las campañas. Dentro del complejo, la harina es el subproducto más importante en volumen de ventas al exterior, seguida por el poroto y el aceite. </w:t>
      </w:r>
      <w:r w:rsidR="00CF470A">
        <w:rPr>
          <w:rFonts w:ascii="Times New Roman" w:hAnsi="Times New Roman"/>
          <w:color w:val="000000"/>
          <w:sz w:val="24"/>
          <w:szCs w:val="24"/>
        </w:rPr>
        <w:t>La harina</w:t>
      </w:r>
      <w:r w:rsidRPr="001E5CE2">
        <w:rPr>
          <w:rFonts w:ascii="Times New Roman" w:hAnsi="Times New Roman"/>
          <w:color w:val="000000"/>
          <w:sz w:val="24"/>
          <w:szCs w:val="24"/>
        </w:rPr>
        <w:t xml:space="preserve"> super</w:t>
      </w:r>
      <w:r w:rsidR="000D594C">
        <w:rPr>
          <w:rFonts w:ascii="Times New Roman" w:hAnsi="Times New Roman"/>
          <w:color w:val="000000"/>
          <w:sz w:val="24"/>
          <w:szCs w:val="24"/>
        </w:rPr>
        <w:t>a</w:t>
      </w:r>
      <w:r w:rsidRPr="001E5CE2">
        <w:rPr>
          <w:rFonts w:ascii="Times New Roman" w:hAnsi="Times New Roman"/>
          <w:color w:val="000000"/>
          <w:sz w:val="24"/>
          <w:szCs w:val="24"/>
        </w:rPr>
        <w:t xml:space="preserve"> ampliamente al aceite </w:t>
      </w:r>
      <w:r w:rsidR="000D594C">
        <w:rPr>
          <w:rFonts w:ascii="Times New Roman" w:hAnsi="Times New Roman"/>
          <w:color w:val="000000"/>
          <w:sz w:val="24"/>
          <w:szCs w:val="24"/>
        </w:rPr>
        <w:t xml:space="preserve">debido a que </w:t>
      </w:r>
      <w:r w:rsidRPr="001E5CE2">
        <w:rPr>
          <w:rFonts w:ascii="Times New Roman" w:hAnsi="Times New Roman"/>
          <w:color w:val="000000"/>
          <w:sz w:val="24"/>
          <w:szCs w:val="24"/>
        </w:rPr>
        <w:t xml:space="preserve">a partir del poroto de soja se </w:t>
      </w:r>
      <w:r w:rsidR="000D594C">
        <w:rPr>
          <w:rFonts w:ascii="Times New Roman" w:hAnsi="Times New Roman"/>
          <w:color w:val="000000"/>
          <w:sz w:val="24"/>
          <w:szCs w:val="24"/>
        </w:rPr>
        <w:t>obtiene</w:t>
      </w:r>
      <w:r w:rsidRPr="001E5CE2">
        <w:rPr>
          <w:rFonts w:ascii="Times New Roman" w:hAnsi="Times New Roman"/>
          <w:color w:val="000000"/>
          <w:sz w:val="24"/>
          <w:szCs w:val="24"/>
        </w:rPr>
        <w:t xml:space="preserve"> </w:t>
      </w:r>
      <w:r w:rsidR="00AA1B69">
        <w:rPr>
          <w:rFonts w:ascii="Times New Roman" w:hAnsi="Times New Roman"/>
          <w:color w:val="000000"/>
          <w:sz w:val="24"/>
          <w:szCs w:val="24"/>
        </w:rPr>
        <w:t xml:space="preserve">aproximadamente </w:t>
      </w:r>
      <w:r w:rsidRPr="001E5CE2">
        <w:rPr>
          <w:rFonts w:ascii="Times New Roman" w:hAnsi="Times New Roman"/>
          <w:color w:val="000000"/>
          <w:sz w:val="24"/>
          <w:szCs w:val="24"/>
        </w:rPr>
        <w:t>un 78% de harina, y sólo un 1</w:t>
      </w:r>
      <w:r w:rsidR="00AA1B69">
        <w:rPr>
          <w:rFonts w:ascii="Times New Roman" w:hAnsi="Times New Roman"/>
          <w:color w:val="000000"/>
          <w:sz w:val="24"/>
          <w:szCs w:val="24"/>
        </w:rPr>
        <w:t>8</w:t>
      </w:r>
      <w:r w:rsidRPr="001E5CE2">
        <w:rPr>
          <w:rFonts w:ascii="Times New Roman" w:hAnsi="Times New Roman"/>
          <w:color w:val="000000"/>
          <w:sz w:val="24"/>
          <w:szCs w:val="24"/>
        </w:rPr>
        <w:t>% de aceite.</w:t>
      </w:r>
    </w:p>
    <w:p w14:paraId="09CF0640" w14:textId="48A7652A" w:rsidR="004E131D" w:rsidRDefault="006E26C8" w:rsidP="006E26C8">
      <w:pPr>
        <w:spacing w:after="0" w:line="360" w:lineRule="auto"/>
        <w:jc w:val="both"/>
        <w:rPr>
          <w:rFonts w:ascii="Times New Roman" w:eastAsia="Times New Roman" w:hAnsi="Times New Roman"/>
          <w:color w:val="000000"/>
          <w:sz w:val="24"/>
          <w:szCs w:val="24"/>
          <w:lang w:eastAsia="es-ES"/>
        </w:rPr>
      </w:pPr>
      <w:r w:rsidRPr="006E26C8">
        <w:rPr>
          <w:rFonts w:ascii="Times New Roman" w:eastAsia="Times New Roman" w:hAnsi="Times New Roman"/>
          <w:color w:val="000000"/>
          <w:sz w:val="24"/>
          <w:szCs w:val="24"/>
          <w:lang w:eastAsia="es-ES"/>
        </w:rPr>
        <w:t>El estudio del precio FOB en dólares</w:t>
      </w:r>
      <w:r>
        <w:rPr>
          <w:rFonts w:ascii="Times New Roman" w:eastAsia="Times New Roman" w:hAnsi="Times New Roman"/>
          <w:color w:val="000000"/>
          <w:sz w:val="24"/>
          <w:szCs w:val="24"/>
          <w:lang w:eastAsia="es-ES"/>
        </w:rPr>
        <w:t xml:space="preserve"> del biodiesel </w:t>
      </w:r>
      <w:r w:rsidR="004E131D">
        <w:rPr>
          <w:rFonts w:ascii="Times New Roman" w:eastAsia="Times New Roman" w:hAnsi="Times New Roman"/>
          <w:color w:val="000000"/>
          <w:sz w:val="24"/>
          <w:szCs w:val="24"/>
          <w:lang w:eastAsia="es-ES"/>
        </w:rPr>
        <w:t>requiere observarlo de manera conjunta con el precio FOB del aceite</w:t>
      </w:r>
      <w:r w:rsidR="000D594C">
        <w:rPr>
          <w:rFonts w:ascii="Times New Roman" w:eastAsia="Times New Roman" w:hAnsi="Times New Roman"/>
          <w:color w:val="000000"/>
          <w:sz w:val="24"/>
          <w:szCs w:val="24"/>
          <w:lang w:eastAsia="es-ES"/>
        </w:rPr>
        <w:t xml:space="preserve"> -</w:t>
      </w:r>
      <w:r w:rsidR="004E131D">
        <w:rPr>
          <w:rFonts w:ascii="Times New Roman" w:eastAsia="Times New Roman" w:hAnsi="Times New Roman"/>
          <w:color w:val="000000"/>
          <w:sz w:val="24"/>
          <w:szCs w:val="24"/>
          <w:lang w:eastAsia="es-ES"/>
        </w:rPr>
        <w:t>su materia prima</w:t>
      </w:r>
      <w:r w:rsidR="000D594C">
        <w:rPr>
          <w:rFonts w:ascii="Times New Roman" w:eastAsia="Times New Roman" w:hAnsi="Times New Roman"/>
          <w:color w:val="000000"/>
          <w:sz w:val="24"/>
          <w:szCs w:val="24"/>
          <w:lang w:eastAsia="es-ES"/>
        </w:rPr>
        <w:t>-</w:t>
      </w:r>
      <w:r w:rsidR="004E131D">
        <w:rPr>
          <w:rFonts w:ascii="Times New Roman" w:eastAsia="Times New Roman" w:hAnsi="Times New Roman"/>
          <w:color w:val="000000"/>
          <w:sz w:val="24"/>
          <w:szCs w:val="24"/>
          <w:lang w:eastAsia="es-ES"/>
        </w:rPr>
        <w:t xml:space="preserve">. Para ello, se examinan los precios FOB en dólares netos de retenciones efectivas de ambos bienes, de ello surge que en casi todo el periodo bajo análisis es </w:t>
      </w:r>
      <w:r w:rsidR="000D594C">
        <w:rPr>
          <w:rFonts w:ascii="Times New Roman" w:eastAsia="Times New Roman" w:hAnsi="Times New Roman"/>
          <w:color w:val="000000"/>
          <w:sz w:val="24"/>
          <w:szCs w:val="24"/>
          <w:lang w:eastAsia="es-ES"/>
        </w:rPr>
        <w:t>fue</w:t>
      </w:r>
      <w:r w:rsidR="004E131D">
        <w:rPr>
          <w:rFonts w:ascii="Times New Roman" w:eastAsia="Times New Roman" w:hAnsi="Times New Roman"/>
          <w:color w:val="000000"/>
          <w:sz w:val="24"/>
          <w:szCs w:val="24"/>
          <w:lang w:eastAsia="es-ES"/>
        </w:rPr>
        <w:t xml:space="preserve"> rentable exportar el bien final, biodiesel, que el aceite. Sin embargo, es importante aclarar que ello se debe a la existencia de las retenciones, sin estás hubiera sido más favorable la exportación del insumo</w:t>
      </w:r>
      <w:r w:rsidR="000D594C">
        <w:rPr>
          <w:rFonts w:ascii="Times New Roman" w:eastAsia="Times New Roman" w:hAnsi="Times New Roman"/>
          <w:color w:val="000000"/>
          <w:sz w:val="24"/>
          <w:szCs w:val="24"/>
          <w:lang w:eastAsia="es-ES"/>
        </w:rPr>
        <w:t>. En el Gráfico 9 se muestra lo anterior.</w:t>
      </w:r>
    </w:p>
    <w:p w14:paraId="58E0C769" w14:textId="77777777" w:rsidR="000D594C" w:rsidRDefault="000D594C" w:rsidP="006E26C8">
      <w:pPr>
        <w:spacing w:after="0" w:line="360" w:lineRule="auto"/>
        <w:jc w:val="both"/>
        <w:rPr>
          <w:rFonts w:ascii="Times New Roman" w:eastAsia="Times New Roman" w:hAnsi="Times New Roman"/>
          <w:color w:val="000000"/>
          <w:sz w:val="24"/>
          <w:szCs w:val="24"/>
          <w:lang w:eastAsia="es-ES"/>
        </w:rPr>
      </w:pPr>
    </w:p>
    <w:p w14:paraId="662F88FC" w14:textId="37C54411" w:rsidR="006E26C8" w:rsidRDefault="006E26C8" w:rsidP="006E26C8">
      <w:pPr>
        <w:spacing w:after="0" w:line="360" w:lineRule="auto"/>
        <w:jc w:val="center"/>
        <w:rPr>
          <w:rFonts w:ascii="Times New Roman" w:eastAsia="Times New Roman" w:hAnsi="Times New Roman"/>
          <w:color w:val="000000"/>
          <w:sz w:val="24"/>
          <w:szCs w:val="24"/>
          <w:lang w:eastAsia="es-ES"/>
        </w:rPr>
      </w:pPr>
      <w:r w:rsidRPr="000D594C">
        <w:rPr>
          <w:rFonts w:ascii="Times New Roman" w:eastAsia="Times New Roman" w:hAnsi="Times New Roman"/>
          <w:color w:val="000000"/>
          <w:sz w:val="24"/>
          <w:szCs w:val="24"/>
          <w:lang w:eastAsia="es-ES"/>
        </w:rPr>
        <w:t xml:space="preserve">Gráfico </w:t>
      </w:r>
      <w:r w:rsidR="000D594C" w:rsidRPr="000D594C">
        <w:rPr>
          <w:rFonts w:ascii="Times New Roman" w:eastAsia="Times New Roman" w:hAnsi="Times New Roman"/>
          <w:color w:val="000000"/>
          <w:sz w:val="24"/>
          <w:szCs w:val="24"/>
          <w:lang w:eastAsia="es-ES"/>
        </w:rPr>
        <w:t>9</w:t>
      </w:r>
      <w:r w:rsidRPr="000D594C">
        <w:rPr>
          <w:rFonts w:ascii="Times New Roman" w:eastAsia="Times New Roman" w:hAnsi="Times New Roman"/>
          <w:color w:val="000000"/>
          <w:sz w:val="24"/>
          <w:szCs w:val="24"/>
          <w:lang w:eastAsia="es-ES"/>
        </w:rPr>
        <w:t>:</w:t>
      </w:r>
      <w:r w:rsidRPr="001E5CE2">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w:t>
      </w:r>
      <w:r w:rsidRPr="006E26C8">
        <w:rPr>
          <w:rFonts w:ascii="Times New Roman" w:eastAsia="Times New Roman" w:hAnsi="Times New Roman"/>
          <w:color w:val="000000"/>
          <w:sz w:val="24"/>
          <w:szCs w:val="24"/>
          <w:lang w:eastAsia="es-ES"/>
        </w:rPr>
        <w:t>recio FOB en dólares</w:t>
      </w:r>
      <w:r>
        <w:rPr>
          <w:rFonts w:ascii="Times New Roman" w:eastAsia="Times New Roman" w:hAnsi="Times New Roman"/>
          <w:color w:val="000000"/>
          <w:sz w:val="24"/>
          <w:szCs w:val="24"/>
          <w:lang w:eastAsia="es-ES"/>
        </w:rPr>
        <w:t xml:space="preserve"> por tonelada del biodiesel</w:t>
      </w:r>
      <w:r w:rsidR="004B6CE3">
        <w:rPr>
          <w:rFonts w:ascii="Times New Roman" w:eastAsia="Times New Roman" w:hAnsi="Times New Roman"/>
          <w:color w:val="000000"/>
          <w:sz w:val="24"/>
          <w:szCs w:val="24"/>
          <w:lang w:eastAsia="es-ES"/>
        </w:rPr>
        <w:t xml:space="preserve"> y aceite de soja neto de retenciones efectivas</w:t>
      </w:r>
      <w:r>
        <w:rPr>
          <w:rFonts w:ascii="Times New Roman" w:eastAsia="Times New Roman" w:hAnsi="Times New Roman"/>
          <w:color w:val="000000"/>
          <w:sz w:val="24"/>
          <w:szCs w:val="24"/>
          <w:lang w:eastAsia="es-ES"/>
        </w:rPr>
        <w:t>. Perí</w:t>
      </w:r>
      <w:r w:rsidRPr="001E5CE2">
        <w:rPr>
          <w:rFonts w:ascii="Times New Roman" w:eastAsia="Times New Roman" w:hAnsi="Times New Roman"/>
          <w:color w:val="000000"/>
          <w:sz w:val="24"/>
          <w:szCs w:val="24"/>
          <w:lang w:eastAsia="es-ES"/>
        </w:rPr>
        <w:t xml:space="preserve">odo </w:t>
      </w:r>
      <w:r w:rsidR="004B6CE3">
        <w:rPr>
          <w:rFonts w:ascii="Times New Roman" w:eastAsia="Times New Roman" w:hAnsi="Times New Roman"/>
          <w:color w:val="000000"/>
          <w:sz w:val="24"/>
          <w:szCs w:val="24"/>
          <w:lang w:eastAsia="es-ES"/>
        </w:rPr>
        <w:t>septiembre 2012</w:t>
      </w:r>
      <w:r w:rsidRPr="001E5CE2">
        <w:rPr>
          <w:rFonts w:ascii="Times New Roman" w:eastAsia="Times New Roman" w:hAnsi="Times New Roman"/>
          <w:color w:val="000000"/>
          <w:sz w:val="24"/>
          <w:szCs w:val="24"/>
          <w:lang w:eastAsia="es-ES"/>
        </w:rPr>
        <w:t>-</w:t>
      </w:r>
      <w:r w:rsidR="004B6CE3">
        <w:rPr>
          <w:rFonts w:ascii="Times New Roman" w:eastAsia="Times New Roman" w:hAnsi="Times New Roman"/>
          <w:color w:val="000000"/>
          <w:sz w:val="24"/>
          <w:szCs w:val="24"/>
          <w:lang w:eastAsia="es-ES"/>
        </w:rPr>
        <w:t xml:space="preserve">junio </w:t>
      </w:r>
      <w:r w:rsidRPr="001E5CE2">
        <w:rPr>
          <w:rFonts w:ascii="Times New Roman" w:eastAsia="Times New Roman" w:hAnsi="Times New Roman"/>
          <w:color w:val="000000"/>
          <w:sz w:val="24"/>
          <w:szCs w:val="24"/>
          <w:lang w:eastAsia="es-ES"/>
        </w:rPr>
        <w:t>201</w:t>
      </w:r>
      <w:r w:rsidR="004B6CE3">
        <w:rPr>
          <w:rFonts w:ascii="Times New Roman" w:eastAsia="Times New Roman" w:hAnsi="Times New Roman"/>
          <w:color w:val="000000"/>
          <w:sz w:val="24"/>
          <w:szCs w:val="24"/>
          <w:lang w:eastAsia="es-ES"/>
        </w:rPr>
        <w:t>9</w:t>
      </w:r>
    </w:p>
    <w:p w14:paraId="48A70D2E" w14:textId="77777777" w:rsidR="006E26C8" w:rsidRPr="001E5CE2" w:rsidRDefault="002D0A5E" w:rsidP="001E5CE2">
      <w:pPr>
        <w:spacing w:after="0" w:line="360" w:lineRule="auto"/>
        <w:jc w:val="center"/>
        <w:rPr>
          <w:rFonts w:ascii="Times New Roman" w:eastAsia="Times New Roman" w:hAnsi="Times New Roman"/>
          <w:i/>
          <w:color w:val="000000"/>
          <w:sz w:val="24"/>
          <w:szCs w:val="24"/>
          <w:lang w:eastAsia="es-ES"/>
        </w:rPr>
      </w:pPr>
      <w:r>
        <w:rPr>
          <w:noProof/>
          <w:lang w:eastAsia="es-AR"/>
        </w:rPr>
        <w:drawing>
          <wp:inline distT="0" distB="0" distL="0" distR="0" wp14:anchorId="0D52D567" wp14:editId="05B1F238">
            <wp:extent cx="5762625" cy="2466975"/>
            <wp:effectExtent l="0" t="0" r="952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B16B30" w14:textId="77777777" w:rsidR="006E26C8" w:rsidRPr="000D594C" w:rsidRDefault="006E26C8" w:rsidP="006E26C8">
      <w:pPr>
        <w:spacing w:after="0" w:line="360" w:lineRule="auto"/>
        <w:jc w:val="center"/>
        <w:rPr>
          <w:rFonts w:ascii="Times New Roman" w:eastAsia="Times New Roman" w:hAnsi="Times New Roman"/>
          <w:color w:val="000000"/>
          <w:sz w:val="20"/>
          <w:szCs w:val="20"/>
          <w:lang w:eastAsia="es-ES"/>
        </w:rPr>
      </w:pPr>
      <w:r w:rsidRPr="000D594C">
        <w:rPr>
          <w:rFonts w:ascii="Times New Roman" w:eastAsia="Times New Roman" w:hAnsi="Times New Roman"/>
          <w:i/>
          <w:color w:val="000000"/>
          <w:sz w:val="20"/>
          <w:szCs w:val="20"/>
          <w:lang w:eastAsia="es-ES"/>
        </w:rPr>
        <w:t>Fuente: Elaboración propia en base a datos del INDEC y Secretaria de Agroindustria de la Nación</w:t>
      </w:r>
      <w:r w:rsidRPr="000D594C">
        <w:rPr>
          <w:rFonts w:ascii="Times New Roman" w:eastAsia="Times New Roman" w:hAnsi="Times New Roman"/>
          <w:color w:val="000000"/>
          <w:sz w:val="20"/>
          <w:szCs w:val="20"/>
          <w:lang w:eastAsia="es-ES"/>
        </w:rPr>
        <w:t>.</w:t>
      </w:r>
    </w:p>
    <w:p w14:paraId="3652DB99" w14:textId="77777777" w:rsidR="007B00F4" w:rsidRPr="001E5CE2" w:rsidRDefault="007B00F4" w:rsidP="001E5CE2">
      <w:pPr>
        <w:spacing w:after="0" w:line="360" w:lineRule="auto"/>
        <w:jc w:val="both"/>
        <w:rPr>
          <w:rFonts w:ascii="Times New Roman" w:eastAsia="Times New Roman" w:hAnsi="Times New Roman"/>
          <w:color w:val="000000"/>
          <w:sz w:val="24"/>
          <w:szCs w:val="24"/>
          <w:lang w:eastAsia="es-ES"/>
        </w:rPr>
      </w:pPr>
    </w:p>
    <w:p w14:paraId="196F34A4" w14:textId="7151AF5D" w:rsidR="007B00F4" w:rsidRPr="001E5CE2" w:rsidRDefault="00121870" w:rsidP="001E5CE2">
      <w:pPr>
        <w:spacing w:after="0" w:line="36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es-ES"/>
        </w:rPr>
        <w:t>C</w:t>
      </w:r>
      <w:r w:rsidR="000D594C" w:rsidRPr="00121870">
        <w:rPr>
          <w:rFonts w:ascii="Times New Roman" w:eastAsia="Times New Roman" w:hAnsi="Times New Roman"/>
          <w:color w:val="000000"/>
          <w:sz w:val="24"/>
          <w:szCs w:val="24"/>
          <w:lang w:eastAsia="es-ES"/>
        </w:rPr>
        <w:t xml:space="preserve">orresponde realizar </w:t>
      </w:r>
      <w:r>
        <w:rPr>
          <w:rFonts w:ascii="Times New Roman" w:eastAsia="Times New Roman" w:hAnsi="Times New Roman"/>
          <w:color w:val="000000"/>
          <w:sz w:val="24"/>
          <w:szCs w:val="24"/>
          <w:lang w:eastAsia="es-ES"/>
        </w:rPr>
        <w:t xml:space="preserve">ahora </w:t>
      </w:r>
      <w:r w:rsidR="000D594C" w:rsidRPr="00121870">
        <w:rPr>
          <w:rFonts w:ascii="Times New Roman" w:eastAsia="Times New Roman" w:hAnsi="Times New Roman"/>
          <w:color w:val="000000"/>
          <w:sz w:val="24"/>
          <w:szCs w:val="24"/>
          <w:lang w:eastAsia="es-ES"/>
        </w:rPr>
        <w:t xml:space="preserve">algunas observaciones con respecto al </w:t>
      </w:r>
      <w:proofErr w:type="spellStart"/>
      <w:r w:rsidR="007B00F4" w:rsidRPr="00121870">
        <w:rPr>
          <w:rFonts w:ascii="Times New Roman" w:eastAsia="Times New Roman" w:hAnsi="Times New Roman"/>
          <w:i/>
          <w:color w:val="000000"/>
          <w:sz w:val="24"/>
          <w:szCs w:val="24"/>
          <w:lang w:eastAsia="es-ES"/>
        </w:rPr>
        <w:t>governance</w:t>
      </w:r>
      <w:proofErr w:type="spellEnd"/>
      <w:r>
        <w:rPr>
          <w:rFonts w:ascii="Times New Roman" w:eastAsia="Times New Roman" w:hAnsi="Times New Roman"/>
          <w:i/>
          <w:color w:val="000000"/>
          <w:sz w:val="24"/>
          <w:szCs w:val="24"/>
          <w:lang w:eastAsia="es-ES"/>
        </w:rPr>
        <w:t xml:space="preserve">, </w:t>
      </w:r>
      <w:r w:rsidRPr="00121870">
        <w:rPr>
          <w:rFonts w:ascii="Times New Roman" w:eastAsia="Times New Roman" w:hAnsi="Times New Roman"/>
          <w:color w:val="000000"/>
          <w:sz w:val="24"/>
          <w:szCs w:val="24"/>
          <w:lang w:eastAsia="es-ES"/>
        </w:rPr>
        <w:t>a partir del análisis del comportamiento de las empresas</w:t>
      </w:r>
      <w:r>
        <w:rPr>
          <w:rFonts w:ascii="Times New Roman" w:eastAsia="Times New Roman" w:hAnsi="Times New Roman"/>
          <w:color w:val="000000"/>
          <w:sz w:val="24"/>
          <w:szCs w:val="24"/>
          <w:lang w:eastAsia="es-ES"/>
        </w:rPr>
        <w:t xml:space="preserve"> </w:t>
      </w:r>
      <w:r w:rsidRPr="00121870">
        <w:rPr>
          <w:rFonts w:ascii="Times New Roman" w:eastAsia="Times New Roman" w:hAnsi="Times New Roman"/>
          <w:color w:val="000000"/>
          <w:sz w:val="24"/>
          <w:szCs w:val="24"/>
          <w:lang w:eastAsia="es-ES"/>
        </w:rPr>
        <w:t xml:space="preserve">en el comercio exterior.  </w:t>
      </w:r>
      <w:r>
        <w:rPr>
          <w:rFonts w:ascii="Times New Roman" w:eastAsia="Times New Roman" w:hAnsi="Times New Roman"/>
          <w:color w:val="000000"/>
          <w:sz w:val="24"/>
          <w:szCs w:val="24"/>
          <w:lang w:eastAsia="es-ES"/>
        </w:rPr>
        <w:t>En primer lugar, l</w:t>
      </w:r>
      <w:r w:rsidR="007B00F4" w:rsidRPr="001E5CE2">
        <w:rPr>
          <w:rFonts w:ascii="Times New Roman" w:hAnsi="Times New Roman"/>
          <w:color w:val="000000"/>
          <w:sz w:val="24"/>
          <w:szCs w:val="24"/>
        </w:rPr>
        <w:t>as variaciones en los niveles de las exportaciones</w:t>
      </w:r>
      <w:r w:rsidR="00CF470A">
        <w:rPr>
          <w:rFonts w:ascii="Times New Roman" w:hAnsi="Times New Roman"/>
          <w:color w:val="000000"/>
          <w:sz w:val="24"/>
          <w:szCs w:val="24"/>
        </w:rPr>
        <w:t>,</w:t>
      </w:r>
      <w:r w:rsidR="007B00F4" w:rsidRPr="001E5CE2">
        <w:rPr>
          <w:rFonts w:ascii="Times New Roman" w:hAnsi="Times New Roman"/>
          <w:color w:val="000000"/>
          <w:sz w:val="24"/>
          <w:szCs w:val="24"/>
        </w:rPr>
        <w:t xml:space="preserve"> no necesariamente se debe a variaciones en el </w:t>
      </w:r>
      <w:r w:rsidR="007B00F4" w:rsidRPr="001E5CE2">
        <w:rPr>
          <w:rFonts w:ascii="Times New Roman" w:hAnsi="Times New Roman"/>
          <w:color w:val="000000"/>
          <w:sz w:val="24"/>
          <w:szCs w:val="24"/>
        </w:rPr>
        <w:lastRenderedPageBreak/>
        <w:t xml:space="preserve">nivel de producción </w:t>
      </w:r>
      <w:r>
        <w:rPr>
          <w:rFonts w:ascii="Times New Roman" w:hAnsi="Times New Roman"/>
          <w:color w:val="000000"/>
          <w:sz w:val="24"/>
          <w:szCs w:val="24"/>
        </w:rPr>
        <w:t>como se mostró</w:t>
      </w:r>
      <w:r w:rsidR="007B00F4" w:rsidRPr="001E5CE2">
        <w:rPr>
          <w:rFonts w:ascii="Times New Roman" w:hAnsi="Times New Roman"/>
          <w:color w:val="000000"/>
          <w:sz w:val="24"/>
          <w:szCs w:val="24"/>
        </w:rPr>
        <w:t xml:space="preserve"> </w:t>
      </w:r>
      <w:r w:rsidR="00E31D7C">
        <w:rPr>
          <w:rFonts w:ascii="Times New Roman" w:hAnsi="Times New Roman"/>
          <w:color w:val="000000"/>
          <w:sz w:val="24"/>
          <w:szCs w:val="24"/>
        </w:rPr>
        <w:t xml:space="preserve">anteriormente, </w:t>
      </w:r>
      <w:r w:rsidR="007B00F4" w:rsidRPr="001E5CE2">
        <w:rPr>
          <w:rFonts w:ascii="Times New Roman" w:hAnsi="Times New Roman"/>
          <w:color w:val="000000"/>
          <w:sz w:val="24"/>
          <w:szCs w:val="24"/>
        </w:rPr>
        <w:t>las variaciones en el contexto externo y en particular en los precios</w:t>
      </w:r>
      <w:r>
        <w:rPr>
          <w:rFonts w:ascii="Times New Roman" w:hAnsi="Times New Roman"/>
          <w:color w:val="000000"/>
          <w:sz w:val="24"/>
          <w:szCs w:val="24"/>
        </w:rPr>
        <w:t xml:space="preserve"> fueron variables determinantes de la evolución de las exportaciones de los productos de la cadena de soja. Sin embargo, resulta relevante indicar </w:t>
      </w:r>
      <w:r w:rsidR="00CF470A">
        <w:rPr>
          <w:rFonts w:ascii="Times New Roman" w:hAnsi="Times New Roman"/>
          <w:color w:val="000000"/>
          <w:sz w:val="24"/>
          <w:szCs w:val="24"/>
        </w:rPr>
        <w:t>que,</w:t>
      </w:r>
      <w:r>
        <w:rPr>
          <w:rFonts w:ascii="Times New Roman" w:hAnsi="Times New Roman"/>
          <w:color w:val="000000"/>
          <w:sz w:val="24"/>
          <w:szCs w:val="24"/>
        </w:rPr>
        <w:t xml:space="preserve"> d</w:t>
      </w:r>
      <w:r w:rsidR="007B00F4" w:rsidRPr="001E5CE2">
        <w:rPr>
          <w:rFonts w:ascii="Times New Roman" w:hAnsi="Times New Roman"/>
          <w:color w:val="000000"/>
          <w:sz w:val="24"/>
          <w:szCs w:val="24"/>
        </w:rPr>
        <w:t>el total de empresas aceiteras</w:t>
      </w:r>
      <w:r>
        <w:rPr>
          <w:rFonts w:ascii="Times New Roman" w:hAnsi="Times New Roman"/>
          <w:color w:val="000000"/>
          <w:sz w:val="24"/>
          <w:szCs w:val="24"/>
        </w:rPr>
        <w:t>, seis</w:t>
      </w:r>
      <w:r w:rsidR="007B00F4" w:rsidRPr="001E5CE2">
        <w:rPr>
          <w:rFonts w:ascii="Times New Roman" w:hAnsi="Times New Roman"/>
          <w:color w:val="000000"/>
          <w:sz w:val="24"/>
          <w:szCs w:val="24"/>
        </w:rPr>
        <w:t xml:space="preserve"> exp</w:t>
      </w:r>
      <w:r w:rsidR="006260C7">
        <w:rPr>
          <w:rFonts w:ascii="Times New Roman" w:hAnsi="Times New Roman"/>
          <w:color w:val="000000"/>
          <w:sz w:val="24"/>
          <w:szCs w:val="24"/>
        </w:rPr>
        <w:t>lican</w:t>
      </w:r>
      <w:r>
        <w:rPr>
          <w:rFonts w:ascii="Times New Roman" w:hAnsi="Times New Roman"/>
          <w:color w:val="000000"/>
          <w:sz w:val="24"/>
          <w:szCs w:val="24"/>
        </w:rPr>
        <w:t xml:space="preserve"> -</w:t>
      </w:r>
      <w:r w:rsidR="006260C7">
        <w:rPr>
          <w:rFonts w:ascii="Times New Roman" w:hAnsi="Times New Roman"/>
          <w:color w:val="000000"/>
          <w:sz w:val="24"/>
          <w:szCs w:val="24"/>
        </w:rPr>
        <w:t>para los años 2005, 2016 y 2018</w:t>
      </w:r>
      <w:r>
        <w:rPr>
          <w:rFonts w:ascii="Times New Roman" w:hAnsi="Times New Roman"/>
          <w:color w:val="000000"/>
          <w:sz w:val="24"/>
          <w:szCs w:val="24"/>
        </w:rPr>
        <w:t>-</w:t>
      </w:r>
      <w:r w:rsidR="006260C7">
        <w:rPr>
          <w:rFonts w:ascii="Times New Roman" w:hAnsi="Times New Roman"/>
          <w:color w:val="000000"/>
          <w:sz w:val="24"/>
          <w:szCs w:val="24"/>
        </w:rPr>
        <w:t xml:space="preserve"> el 56,86%, 65</w:t>
      </w:r>
      <w:r w:rsidR="007B00F4" w:rsidRPr="001E5CE2">
        <w:rPr>
          <w:rFonts w:ascii="Times New Roman" w:hAnsi="Times New Roman"/>
          <w:color w:val="000000"/>
          <w:sz w:val="24"/>
          <w:szCs w:val="24"/>
        </w:rPr>
        <w:t>,1</w:t>
      </w:r>
      <w:r w:rsidR="006260C7">
        <w:rPr>
          <w:rFonts w:ascii="Times New Roman" w:hAnsi="Times New Roman"/>
          <w:color w:val="000000"/>
          <w:sz w:val="24"/>
          <w:szCs w:val="24"/>
        </w:rPr>
        <w:t>6</w:t>
      </w:r>
      <w:r w:rsidR="007B00F4" w:rsidRPr="001E5CE2">
        <w:rPr>
          <w:rFonts w:ascii="Times New Roman" w:hAnsi="Times New Roman"/>
          <w:color w:val="000000"/>
          <w:sz w:val="24"/>
          <w:szCs w:val="24"/>
        </w:rPr>
        <w:t>%</w:t>
      </w:r>
      <w:r w:rsidR="006260C7">
        <w:rPr>
          <w:rFonts w:ascii="Times New Roman" w:hAnsi="Times New Roman"/>
          <w:color w:val="000000"/>
          <w:sz w:val="24"/>
          <w:szCs w:val="24"/>
        </w:rPr>
        <w:t xml:space="preserve"> y 87,75%</w:t>
      </w:r>
      <w:r w:rsidR="007B00F4" w:rsidRPr="001E5CE2">
        <w:rPr>
          <w:rFonts w:ascii="Times New Roman" w:hAnsi="Times New Roman"/>
          <w:color w:val="000000"/>
          <w:sz w:val="24"/>
          <w:szCs w:val="24"/>
        </w:rPr>
        <w:t xml:space="preserve"> respectivamente del total de aceite de soja exportado para dichos años</w:t>
      </w:r>
      <w:r w:rsidR="006260C7">
        <w:rPr>
          <w:rFonts w:ascii="Times New Roman" w:hAnsi="Times New Roman"/>
          <w:color w:val="000000"/>
          <w:sz w:val="24"/>
          <w:szCs w:val="24"/>
        </w:rPr>
        <w:t xml:space="preserve">; mostrándose de esta manera una concentración de las exportaciones en las empresas que ejercen el </w:t>
      </w:r>
      <w:proofErr w:type="spellStart"/>
      <w:r w:rsidR="006260C7">
        <w:rPr>
          <w:rFonts w:ascii="Times New Roman" w:hAnsi="Times New Roman"/>
          <w:color w:val="000000"/>
          <w:sz w:val="24"/>
          <w:szCs w:val="24"/>
        </w:rPr>
        <w:t>governance</w:t>
      </w:r>
      <w:proofErr w:type="spellEnd"/>
      <w:r w:rsidR="007B00F4" w:rsidRPr="001E5CE2">
        <w:rPr>
          <w:rFonts w:ascii="Times New Roman" w:hAnsi="Times New Roman"/>
          <w:color w:val="000000"/>
          <w:sz w:val="24"/>
          <w:szCs w:val="24"/>
        </w:rPr>
        <w:t xml:space="preserve">. La disminución de las exportaciones de aceite se explica en parte por el importante descenso de su valor exportable. Todas </w:t>
      </w:r>
      <w:r w:rsidR="00E31D7C">
        <w:rPr>
          <w:rFonts w:ascii="Times New Roman" w:hAnsi="Times New Roman"/>
          <w:color w:val="000000"/>
          <w:sz w:val="24"/>
          <w:szCs w:val="24"/>
        </w:rPr>
        <w:t>las</w:t>
      </w:r>
      <w:r w:rsidR="007B00F4" w:rsidRPr="001E5CE2">
        <w:rPr>
          <w:rFonts w:ascii="Times New Roman" w:hAnsi="Times New Roman"/>
          <w:color w:val="000000"/>
          <w:sz w:val="24"/>
          <w:szCs w:val="24"/>
        </w:rPr>
        <w:t xml:space="preserve"> empresas producen biodiesel a partir del aceite de soja, con la particularidad que Aceitera General </w:t>
      </w:r>
      <w:proofErr w:type="spellStart"/>
      <w:r w:rsidR="007B00F4" w:rsidRPr="001E5CE2">
        <w:rPr>
          <w:rFonts w:ascii="Times New Roman" w:hAnsi="Times New Roman"/>
          <w:color w:val="000000"/>
          <w:sz w:val="24"/>
          <w:szCs w:val="24"/>
        </w:rPr>
        <w:t>Deheza</w:t>
      </w:r>
      <w:proofErr w:type="spellEnd"/>
      <w:r w:rsidR="007B00F4" w:rsidRPr="001E5CE2">
        <w:rPr>
          <w:rFonts w:ascii="Times New Roman" w:hAnsi="Times New Roman"/>
          <w:color w:val="000000"/>
          <w:sz w:val="24"/>
          <w:szCs w:val="24"/>
        </w:rPr>
        <w:t xml:space="preserve"> (AGD) y Bunge lo hacen por medio de Terminal 6 (T6). El biodiesel producido se destina tanto al mercado interno como al externo.</w:t>
      </w:r>
      <w:r w:rsidR="003B32D2" w:rsidRPr="001E5CE2">
        <w:rPr>
          <w:rFonts w:ascii="Times New Roman" w:hAnsi="Times New Roman"/>
          <w:color w:val="000000"/>
          <w:sz w:val="24"/>
          <w:szCs w:val="24"/>
        </w:rPr>
        <w:t xml:space="preserve"> </w:t>
      </w:r>
      <w:r w:rsidR="007B00F4" w:rsidRPr="001E5CE2">
        <w:rPr>
          <w:rFonts w:ascii="Times New Roman" w:hAnsi="Times New Roman"/>
          <w:color w:val="000000"/>
          <w:sz w:val="24"/>
          <w:szCs w:val="24"/>
        </w:rPr>
        <w:t>Por otra parte, Molinos participa en la industria del biodiesel desde el año 2007, y luego</w:t>
      </w:r>
      <w:r w:rsidR="003B32D2" w:rsidRPr="001E5CE2">
        <w:rPr>
          <w:rFonts w:ascii="Times New Roman" w:hAnsi="Times New Roman"/>
          <w:color w:val="000000"/>
          <w:sz w:val="24"/>
          <w:szCs w:val="24"/>
        </w:rPr>
        <w:t>,</w:t>
      </w:r>
      <w:r w:rsidR="007B00F4" w:rsidRPr="001E5CE2">
        <w:rPr>
          <w:rFonts w:ascii="Times New Roman" w:hAnsi="Times New Roman"/>
          <w:color w:val="000000"/>
          <w:sz w:val="24"/>
          <w:szCs w:val="24"/>
        </w:rPr>
        <w:t xml:space="preserve"> en 2010</w:t>
      </w:r>
      <w:r w:rsidR="003B32D2" w:rsidRPr="001E5CE2">
        <w:rPr>
          <w:rFonts w:ascii="Times New Roman" w:hAnsi="Times New Roman"/>
          <w:color w:val="000000"/>
          <w:sz w:val="24"/>
          <w:szCs w:val="24"/>
        </w:rPr>
        <w:t>,</w:t>
      </w:r>
      <w:r w:rsidR="007B00F4" w:rsidRPr="001E5CE2">
        <w:rPr>
          <w:rFonts w:ascii="Times New Roman" w:hAnsi="Times New Roman"/>
          <w:color w:val="000000"/>
          <w:sz w:val="24"/>
          <w:szCs w:val="24"/>
        </w:rPr>
        <w:t xml:space="preserve"> por medio de Renova, para finalmente en el 2014 vender su participación en </w:t>
      </w:r>
      <w:proofErr w:type="spellStart"/>
      <w:r w:rsidR="007B00F4" w:rsidRPr="001E5CE2">
        <w:rPr>
          <w:rFonts w:ascii="Times New Roman" w:hAnsi="Times New Roman"/>
          <w:color w:val="000000"/>
          <w:sz w:val="24"/>
          <w:szCs w:val="24"/>
        </w:rPr>
        <w:t>Renova</w:t>
      </w:r>
      <w:proofErr w:type="spellEnd"/>
      <w:r w:rsidR="007B00F4" w:rsidRPr="001E5CE2">
        <w:rPr>
          <w:rFonts w:ascii="Times New Roman" w:hAnsi="Times New Roman"/>
          <w:color w:val="000000"/>
          <w:sz w:val="24"/>
          <w:szCs w:val="24"/>
        </w:rPr>
        <w:t xml:space="preserve"> a </w:t>
      </w:r>
      <w:proofErr w:type="spellStart"/>
      <w:r w:rsidR="007B00F4" w:rsidRPr="001E5CE2">
        <w:rPr>
          <w:rFonts w:ascii="Times New Roman" w:hAnsi="Times New Roman"/>
          <w:color w:val="000000"/>
          <w:sz w:val="24"/>
          <w:szCs w:val="24"/>
        </w:rPr>
        <w:t>Vicentín</w:t>
      </w:r>
      <w:proofErr w:type="spellEnd"/>
      <w:r w:rsidR="007B00F4" w:rsidRPr="001E5CE2">
        <w:rPr>
          <w:rFonts w:ascii="Times New Roman" w:hAnsi="Times New Roman"/>
          <w:color w:val="000000"/>
          <w:sz w:val="24"/>
          <w:szCs w:val="24"/>
        </w:rPr>
        <w:t xml:space="preserve"> y Moreno.</w:t>
      </w:r>
      <w:r w:rsidR="003B32D2" w:rsidRPr="001E5CE2">
        <w:rPr>
          <w:rFonts w:ascii="Times New Roman" w:hAnsi="Times New Roman"/>
          <w:color w:val="000000"/>
          <w:sz w:val="24"/>
          <w:szCs w:val="24"/>
        </w:rPr>
        <w:t xml:space="preserve"> </w:t>
      </w:r>
    </w:p>
    <w:p w14:paraId="29E9000A" w14:textId="30B1A84E" w:rsidR="007B00F4" w:rsidRPr="001E5CE2" w:rsidRDefault="003B32D2" w:rsidP="001E5CE2">
      <w:pPr>
        <w:spacing w:after="0" w:line="360" w:lineRule="auto"/>
        <w:jc w:val="both"/>
        <w:rPr>
          <w:rFonts w:ascii="Times New Roman" w:hAnsi="Times New Roman"/>
          <w:color w:val="000000"/>
          <w:sz w:val="24"/>
          <w:szCs w:val="24"/>
        </w:rPr>
      </w:pPr>
      <w:r w:rsidRPr="001E5CE2">
        <w:rPr>
          <w:rFonts w:ascii="Times New Roman" w:hAnsi="Times New Roman"/>
          <w:color w:val="000000"/>
          <w:sz w:val="24"/>
          <w:szCs w:val="24"/>
        </w:rPr>
        <w:t>Por otra parte, l</w:t>
      </w:r>
      <w:r w:rsidR="007B00F4" w:rsidRPr="001E5CE2">
        <w:rPr>
          <w:rFonts w:ascii="Times New Roman" w:hAnsi="Times New Roman"/>
          <w:color w:val="000000"/>
          <w:sz w:val="24"/>
          <w:szCs w:val="24"/>
        </w:rPr>
        <w:t xml:space="preserve">as exportaciones de harina de soja </w:t>
      </w:r>
      <w:r w:rsidR="00121870">
        <w:rPr>
          <w:rFonts w:ascii="Times New Roman" w:hAnsi="Times New Roman"/>
          <w:color w:val="000000"/>
          <w:sz w:val="24"/>
          <w:szCs w:val="24"/>
        </w:rPr>
        <w:t xml:space="preserve">que </w:t>
      </w:r>
      <w:r w:rsidR="007B00F4" w:rsidRPr="001E5CE2">
        <w:rPr>
          <w:rFonts w:ascii="Times New Roman" w:hAnsi="Times New Roman"/>
          <w:color w:val="000000"/>
          <w:sz w:val="24"/>
          <w:szCs w:val="24"/>
        </w:rPr>
        <w:t>mostraron un incremento importante entre los años 2005</w:t>
      </w:r>
      <w:r w:rsidR="006260C7">
        <w:rPr>
          <w:rFonts w:ascii="Times New Roman" w:hAnsi="Times New Roman"/>
          <w:color w:val="000000"/>
          <w:sz w:val="24"/>
          <w:szCs w:val="24"/>
        </w:rPr>
        <w:t xml:space="preserve"> y 2016 </w:t>
      </w:r>
      <w:r w:rsidR="007B00F4" w:rsidRPr="001E5CE2">
        <w:rPr>
          <w:rFonts w:ascii="Times New Roman" w:hAnsi="Times New Roman"/>
          <w:color w:val="000000"/>
          <w:sz w:val="24"/>
          <w:szCs w:val="24"/>
        </w:rPr>
        <w:t xml:space="preserve">del </w:t>
      </w:r>
      <w:r w:rsidR="006260C7">
        <w:rPr>
          <w:rFonts w:ascii="Times New Roman" w:hAnsi="Times New Roman"/>
          <w:color w:val="000000"/>
          <w:sz w:val="24"/>
          <w:szCs w:val="24"/>
        </w:rPr>
        <w:t>40</w:t>
      </w:r>
      <w:r w:rsidR="007B00F4" w:rsidRPr="001E5CE2">
        <w:rPr>
          <w:rFonts w:ascii="Times New Roman" w:hAnsi="Times New Roman"/>
          <w:color w:val="000000"/>
          <w:sz w:val="24"/>
          <w:szCs w:val="24"/>
        </w:rPr>
        <w:t>,3</w:t>
      </w:r>
      <w:r w:rsidR="006260C7">
        <w:rPr>
          <w:rFonts w:ascii="Times New Roman" w:hAnsi="Times New Roman"/>
          <w:color w:val="000000"/>
          <w:sz w:val="24"/>
          <w:szCs w:val="24"/>
        </w:rPr>
        <w:t>5</w:t>
      </w:r>
      <w:r w:rsidR="007B00F4" w:rsidRPr="001E5CE2">
        <w:rPr>
          <w:rFonts w:ascii="Times New Roman" w:hAnsi="Times New Roman"/>
          <w:color w:val="000000"/>
          <w:sz w:val="24"/>
          <w:szCs w:val="24"/>
        </w:rPr>
        <w:t>%</w:t>
      </w:r>
      <w:r w:rsidR="00121870">
        <w:rPr>
          <w:rFonts w:ascii="Times New Roman" w:hAnsi="Times New Roman"/>
          <w:color w:val="000000"/>
          <w:sz w:val="24"/>
          <w:szCs w:val="24"/>
        </w:rPr>
        <w:t>, lo lideraron</w:t>
      </w:r>
      <w:r w:rsidR="007B00F4" w:rsidRPr="001E5CE2">
        <w:rPr>
          <w:rFonts w:ascii="Times New Roman" w:hAnsi="Times New Roman"/>
          <w:color w:val="000000"/>
          <w:sz w:val="24"/>
          <w:szCs w:val="24"/>
        </w:rPr>
        <w:t xml:space="preserve"> </w:t>
      </w:r>
      <w:r w:rsidR="006260C7">
        <w:rPr>
          <w:rFonts w:ascii="Times New Roman" w:hAnsi="Times New Roman"/>
          <w:color w:val="000000"/>
          <w:sz w:val="24"/>
          <w:szCs w:val="24"/>
        </w:rPr>
        <w:t xml:space="preserve">AGD, </w:t>
      </w:r>
      <w:r w:rsidR="007B00F4" w:rsidRPr="001E5CE2">
        <w:rPr>
          <w:rFonts w:ascii="Times New Roman" w:hAnsi="Times New Roman"/>
          <w:color w:val="000000"/>
          <w:sz w:val="24"/>
          <w:szCs w:val="24"/>
        </w:rPr>
        <w:t xml:space="preserve">Oleaginosa Moreno y </w:t>
      </w:r>
      <w:proofErr w:type="spellStart"/>
      <w:r w:rsidR="007B00F4" w:rsidRPr="001E5CE2">
        <w:rPr>
          <w:rFonts w:ascii="Times New Roman" w:hAnsi="Times New Roman"/>
          <w:color w:val="000000"/>
          <w:sz w:val="24"/>
          <w:szCs w:val="24"/>
        </w:rPr>
        <w:t>Vicentín</w:t>
      </w:r>
      <w:proofErr w:type="spellEnd"/>
      <w:r w:rsidR="007B00F4" w:rsidRPr="001E5CE2">
        <w:rPr>
          <w:rFonts w:ascii="Times New Roman" w:hAnsi="Times New Roman"/>
          <w:color w:val="000000"/>
          <w:sz w:val="24"/>
          <w:szCs w:val="24"/>
        </w:rPr>
        <w:t xml:space="preserve"> debido a las fuertes inversiones </w:t>
      </w:r>
      <w:r w:rsidR="00121870">
        <w:rPr>
          <w:rFonts w:ascii="Times New Roman" w:hAnsi="Times New Roman"/>
          <w:color w:val="000000"/>
          <w:sz w:val="24"/>
          <w:szCs w:val="24"/>
        </w:rPr>
        <w:t xml:space="preserve">que </w:t>
      </w:r>
      <w:r w:rsidR="00CF470A">
        <w:rPr>
          <w:rFonts w:ascii="Times New Roman" w:hAnsi="Times New Roman"/>
          <w:color w:val="000000"/>
          <w:sz w:val="24"/>
          <w:szCs w:val="24"/>
        </w:rPr>
        <w:t>llevaron a</w:t>
      </w:r>
      <w:r w:rsidR="007B00F4" w:rsidRPr="001E5CE2">
        <w:rPr>
          <w:rFonts w:ascii="Times New Roman" w:hAnsi="Times New Roman"/>
          <w:color w:val="000000"/>
          <w:sz w:val="24"/>
          <w:szCs w:val="24"/>
        </w:rPr>
        <w:t xml:space="preserve"> aumentar la capacidad productiva de las plantas </w:t>
      </w:r>
      <w:r w:rsidR="00E31D7C">
        <w:rPr>
          <w:rFonts w:ascii="Times New Roman" w:hAnsi="Times New Roman"/>
          <w:color w:val="000000"/>
          <w:sz w:val="24"/>
          <w:szCs w:val="24"/>
        </w:rPr>
        <w:t>y permitieron</w:t>
      </w:r>
      <w:r w:rsidR="007B00F4" w:rsidRPr="001E5CE2">
        <w:rPr>
          <w:rFonts w:ascii="Times New Roman" w:hAnsi="Times New Roman"/>
          <w:color w:val="000000"/>
          <w:sz w:val="24"/>
          <w:szCs w:val="24"/>
        </w:rPr>
        <w:t xml:space="preserve"> mejoras e innovaciones tecnológicas</w:t>
      </w:r>
      <w:r w:rsidR="006260C7">
        <w:rPr>
          <w:rFonts w:ascii="Times New Roman" w:hAnsi="Times New Roman"/>
          <w:color w:val="000000"/>
          <w:sz w:val="24"/>
          <w:szCs w:val="24"/>
        </w:rPr>
        <w:t xml:space="preserve">. </w:t>
      </w:r>
      <w:r w:rsidR="00121870">
        <w:rPr>
          <w:rFonts w:ascii="Times New Roman" w:hAnsi="Times New Roman"/>
          <w:color w:val="000000"/>
          <w:sz w:val="24"/>
          <w:szCs w:val="24"/>
        </w:rPr>
        <w:t>La</w:t>
      </w:r>
      <w:r w:rsidR="006260C7">
        <w:rPr>
          <w:rFonts w:ascii="Times New Roman" w:hAnsi="Times New Roman"/>
          <w:color w:val="000000"/>
          <w:sz w:val="24"/>
          <w:szCs w:val="24"/>
        </w:rPr>
        <w:t xml:space="preserve"> </w:t>
      </w:r>
      <w:r w:rsidR="00121870">
        <w:rPr>
          <w:rFonts w:ascii="Times New Roman" w:hAnsi="Times New Roman"/>
          <w:color w:val="000000"/>
          <w:sz w:val="24"/>
          <w:szCs w:val="24"/>
        </w:rPr>
        <w:t xml:space="preserve">disminución de las exportaciones </w:t>
      </w:r>
      <w:r w:rsidR="00E31D7C">
        <w:rPr>
          <w:rFonts w:ascii="Times New Roman" w:hAnsi="Times New Roman"/>
          <w:color w:val="000000"/>
          <w:sz w:val="24"/>
          <w:szCs w:val="24"/>
        </w:rPr>
        <w:t>de</w:t>
      </w:r>
      <w:r w:rsidR="00121870">
        <w:rPr>
          <w:rFonts w:ascii="Times New Roman" w:hAnsi="Times New Roman"/>
          <w:color w:val="000000"/>
          <w:sz w:val="24"/>
          <w:szCs w:val="24"/>
        </w:rPr>
        <w:t xml:space="preserve"> la industria d</w:t>
      </w:r>
      <w:r w:rsidR="006260C7">
        <w:rPr>
          <w:rFonts w:ascii="Times New Roman" w:hAnsi="Times New Roman"/>
          <w:color w:val="000000"/>
          <w:sz w:val="24"/>
          <w:szCs w:val="24"/>
        </w:rPr>
        <w:t xml:space="preserve">el </w:t>
      </w:r>
      <w:r w:rsidR="00121870">
        <w:rPr>
          <w:rFonts w:ascii="Times New Roman" w:hAnsi="Times New Roman"/>
          <w:color w:val="000000"/>
          <w:sz w:val="24"/>
          <w:szCs w:val="24"/>
        </w:rPr>
        <w:t xml:space="preserve">año </w:t>
      </w:r>
      <w:r w:rsidR="006260C7">
        <w:rPr>
          <w:rFonts w:ascii="Times New Roman" w:hAnsi="Times New Roman"/>
          <w:color w:val="000000"/>
          <w:sz w:val="24"/>
          <w:szCs w:val="24"/>
        </w:rPr>
        <w:t xml:space="preserve">2018 </w:t>
      </w:r>
      <w:r w:rsidR="00121870">
        <w:rPr>
          <w:rFonts w:ascii="Times New Roman" w:hAnsi="Times New Roman"/>
          <w:color w:val="000000"/>
          <w:sz w:val="24"/>
          <w:szCs w:val="24"/>
        </w:rPr>
        <w:t>se produjo,</w:t>
      </w:r>
      <w:r w:rsidR="006260C7">
        <w:rPr>
          <w:rFonts w:ascii="Times New Roman" w:hAnsi="Times New Roman"/>
          <w:color w:val="000000"/>
          <w:sz w:val="24"/>
          <w:szCs w:val="24"/>
        </w:rPr>
        <w:t xml:space="preserve"> principalmente</w:t>
      </w:r>
      <w:r w:rsidR="00E31D7C">
        <w:rPr>
          <w:rFonts w:ascii="Times New Roman" w:hAnsi="Times New Roman"/>
          <w:color w:val="000000"/>
          <w:sz w:val="24"/>
          <w:szCs w:val="24"/>
        </w:rPr>
        <w:t>,</w:t>
      </w:r>
      <w:r w:rsidR="006260C7">
        <w:rPr>
          <w:rFonts w:ascii="Times New Roman" w:hAnsi="Times New Roman"/>
          <w:color w:val="000000"/>
          <w:sz w:val="24"/>
          <w:szCs w:val="24"/>
        </w:rPr>
        <w:t xml:space="preserve"> </w:t>
      </w:r>
      <w:r w:rsidR="00121870">
        <w:rPr>
          <w:rFonts w:ascii="Times New Roman" w:hAnsi="Times New Roman"/>
          <w:color w:val="000000"/>
          <w:sz w:val="24"/>
          <w:szCs w:val="24"/>
        </w:rPr>
        <w:t xml:space="preserve">debido </w:t>
      </w:r>
      <w:r w:rsidR="006260C7">
        <w:rPr>
          <w:rFonts w:ascii="Times New Roman" w:hAnsi="Times New Roman"/>
          <w:color w:val="000000"/>
          <w:sz w:val="24"/>
          <w:szCs w:val="24"/>
        </w:rPr>
        <w:t>a la reducción de las ventas al mercado externo de harinas de las empresas AGD, Cargill y Bunge.</w:t>
      </w:r>
    </w:p>
    <w:p w14:paraId="6AB35726" w14:textId="77777777" w:rsidR="007B00F4" w:rsidRPr="001E5CE2" w:rsidRDefault="007B00F4" w:rsidP="001E5CE2">
      <w:pPr>
        <w:spacing w:after="0" w:line="360" w:lineRule="auto"/>
        <w:jc w:val="both"/>
        <w:rPr>
          <w:rFonts w:ascii="Times New Roman" w:eastAsia="Times New Roman" w:hAnsi="Times New Roman"/>
          <w:color w:val="000000"/>
          <w:sz w:val="24"/>
          <w:szCs w:val="24"/>
          <w:lang w:eastAsia="es-ES"/>
        </w:rPr>
      </w:pPr>
    </w:p>
    <w:p w14:paraId="247D9E75" w14:textId="772D2F6B" w:rsidR="007B00F4" w:rsidRPr="00E31D7C" w:rsidRDefault="00E31D7C" w:rsidP="00BB5D89">
      <w:pPr>
        <w:spacing w:after="0" w:line="360" w:lineRule="auto"/>
        <w:rPr>
          <w:rFonts w:ascii="Times New Roman" w:hAnsi="Times New Roman"/>
          <w:b/>
          <w:sz w:val="24"/>
          <w:szCs w:val="24"/>
        </w:rPr>
      </w:pPr>
      <w:r w:rsidRPr="00E31D7C">
        <w:rPr>
          <w:rFonts w:ascii="Times New Roman" w:hAnsi="Times New Roman"/>
          <w:b/>
          <w:bCs/>
          <w:color w:val="222222"/>
          <w:sz w:val="24"/>
          <w:szCs w:val="24"/>
          <w:shd w:val="clear" w:color="auto" w:fill="FFFFFF"/>
        </w:rPr>
        <w:t>5</w:t>
      </w:r>
      <w:r w:rsidR="00BB5D89" w:rsidRPr="00E31D7C">
        <w:rPr>
          <w:rFonts w:ascii="Times New Roman" w:hAnsi="Times New Roman"/>
          <w:b/>
          <w:bCs/>
          <w:color w:val="222222"/>
          <w:sz w:val="24"/>
          <w:szCs w:val="24"/>
          <w:shd w:val="clear" w:color="auto" w:fill="FFFFFF"/>
        </w:rPr>
        <w:t xml:space="preserve">. </w:t>
      </w:r>
      <w:r w:rsidR="007B00F4" w:rsidRPr="00E31D7C">
        <w:rPr>
          <w:rFonts w:ascii="Times New Roman" w:hAnsi="Times New Roman"/>
          <w:b/>
          <w:bCs/>
          <w:sz w:val="24"/>
          <w:szCs w:val="24"/>
        </w:rPr>
        <w:t>Flujograma</w:t>
      </w:r>
      <w:r w:rsidR="007B00F4" w:rsidRPr="00E31D7C">
        <w:rPr>
          <w:rFonts w:ascii="Times New Roman" w:hAnsi="Times New Roman"/>
          <w:b/>
          <w:sz w:val="24"/>
          <w:szCs w:val="24"/>
        </w:rPr>
        <w:t xml:space="preserve"> de la cadena de la soja</w:t>
      </w:r>
    </w:p>
    <w:p w14:paraId="3BA96427" w14:textId="0A522EFE" w:rsidR="007B00F4" w:rsidRPr="001E5CE2" w:rsidRDefault="007B00F4" w:rsidP="001E5CE2">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 xml:space="preserve">En </w:t>
      </w:r>
      <w:r w:rsidR="00E31D7C">
        <w:rPr>
          <w:rFonts w:ascii="Times New Roman" w:hAnsi="Times New Roman"/>
          <w:color w:val="222222"/>
          <w:sz w:val="24"/>
          <w:szCs w:val="24"/>
          <w:shd w:val="clear" w:color="auto" w:fill="FFFFFF"/>
        </w:rPr>
        <w:t xml:space="preserve">este </w:t>
      </w:r>
      <w:r w:rsidR="003C42AA" w:rsidRPr="001E5CE2">
        <w:rPr>
          <w:rFonts w:ascii="Times New Roman" w:hAnsi="Times New Roman"/>
          <w:color w:val="222222"/>
          <w:sz w:val="24"/>
          <w:szCs w:val="24"/>
          <w:shd w:val="clear" w:color="auto" w:fill="FFFFFF"/>
        </w:rPr>
        <w:t>punto,</w:t>
      </w:r>
      <w:r w:rsidRPr="001E5CE2">
        <w:rPr>
          <w:rFonts w:ascii="Times New Roman" w:hAnsi="Times New Roman"/>
          <w:color w:val="222222"/>
          <w:sz w:val="24"/>
          <w:szCs w:val="24"/>
          <w:shd w:val="clear" w:color="auto" w:fill="FFFFFF"/>
        </w:rPr>
        <w:t xml:space="preserve"> se analizará el flujograma</w:t>
      </w:r>
      <w:r w:rsidR="00E31D7C">
        <w:rPr>
          <w:rFonts w:ascii="Times New Roman" w:hAnsi="Times New Roman"/>
          <w:color w:val="222222"/>
          <w:sz w:val="24"/>
          <w:szCs w:val="24"/>
          <w:shd w:val="clear" w:color="auto" w:fill="FFFFFF"/>
        </w:rPr>
        <w:t xml:space="preserve"> -</w:t>
      </w:r>
      <w:r w:rsidR="00E31D7C" w:rsidRPr="00E31D7C">
        <w:rPr>
          <w:rFonts w:ascii="Times New Roman" w:hAnsi="Times New Roman"/>
          <w:color w:val="222222"/>
          <w:sz w:val="24"/>
          <w:szCs w:val="24"/>
          <w:shd w:val="clear" w:color="auto" w:fill="FFFFFF"/>
        </w:rPr>
        <w:t xml:space="preserve"> </w:t>
      </w:r>
      <w:r w:rsidR="00E31D7C" w:rsidRPr="001E5CE2">
        <w:rPr>
          <w:rFonts w:ascii="Times New Roman" w:hAnsi="Times New Roman"/>
          <w:color w:val="222222"/>
          <w:sz w:val="24"/>
          <w:szCs w:val="24"/>
          <w:shd w:val="clear" w:color="auto" w:fill="FFFFFF"/>
        </w:rPr>
        <w:t>diagrama de flujo</w:t>
      </w:r>
      <w:r w:rsidR="00E31D7C">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para </w:t>
      </w:r>
      <w:r w:rsidR="008E3BF9" w:rsidRPr="001E5CE2">
        <w:rPr>
          <w:rFonts w:ascii="Times New Roman" w:hAnsi="Times New Roman"/>
          <w:color w:val="222222"/>
          <w:sz w:val="24"/>
          <w:szCs w:val="24"/>
          <w:shd w:val="clear" w:color="auto" w:fill="FFFFFF"/>
        </w:rPr>
        <w:t xml:space="preserve">la campaña </w:t>
      </w:r>
      <w:r w:rsidRPr="001E5CE2">
        <w:rPr>
          <w:rFonts w:ascii="Times New Roman" w:hAnsi="Times New Roman"/>
          <w:color w:val="222222"/>
          <w:sz w:val="24"/>
          <w:szCs w:val="24"/>
          <w:shd w:val="clear" w:color="auto" w:fill="FFFFFF"/>
        </w:rPr>
        <w:t>201</w:t>
      </w:r>
      <w:r w:rsidR="0064667B">
        <w:rPr>
          <w:rFonts w:ascii="Times New Roman" w:hAnsi="Times New Roman"/>
          <w:color w:val="222222"/>
          <w:sz w:val="24"/>
          <w:szCs w:val="24"/>
          <w:shd w:val="clear" w:color="auto" w:fill="FFFFFF"/>
        </w:rPr>
        <w:t>8</w:t>
      </w:r>
      <w:r w:rsidR="008E3BF9" w:rsidRPr="001E5CE2">
        <w:rPr>
          <w:rFonts w:ascii="Times New Roman" w:hAnsi="Times New Roman"/>
          <w:color w:val="222222"/>
          <w:sz w:val="24"/>
          <w:szCs w:val="24"/>
          <w:shd w:val="clear" w:color="auto" w:fill="FFFFFF"/>
        </w:rPr>
        <w:t>/1</w:t>
      </w:r>
      <w:r w:rsidR="0064667B">
        <w:rPr>
          <w:rFonts w:ascii="Times New Roman" w:hAnsi="Times New Roman"/>
          <w:color w:val="222222"/>
          <w:sz w:val="24"/>
          <w:szCs w:val="24"/>
          <w:shd w:val="clear" w:color="auto" w:fill="FFFFFF"/>
        </w:rPr>
        <w:t>9</w:t>
      </w:r>
      <w:r w:rsidR="00E31D7C">
        <w:rPr>
          <w:rFonts w:ascii="Times New Roman" w:hAnsi="Times New Roman"/>
          <w:color w:val="222222"/>
          <w:sz w:val="24"/>
          <w:szCs w:val="24"/>
          <w:shd w:val="clear" w:color="auto" w:fill="FFFFFF"/>
        </w:rPr>
        <w:t>; el mismo, re</w:t>
      </w:r>
      <w:r w:rsidRPr="001E5CE2">
        <w:rPr>
          <w:rFonts w:ascii="Times New Roman" w:hAnsi="Times New Roman"/>
          <w:color w:val="222222"/>
          <w:sz w:val="24"/>
          <w:szCs w:val="24"/>
          <w:shd w:val="clear" w:color="auto" w:fill="FFFFFF"/>
        </w:rPr>
        <w:t>presenta gráficamente el proceso de comercialización de la producción de soja, aceites y subproductos. Es importante aclarar que la estructura para la industria de biodiesel no cambia por excesos de materia prima, sequías o picos en el comercio exterior.</w:t>
      </w:r>
      <w:r w:rsidR="00E31D7C">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 xml:space="preserve">La cuantificación del flujo de la soja desde la cosecha del grano hasta sus derivados, se puede observar en el </w:t>
      </w:r>
      <w:r w:rsidR="00E31D7C">
        <w:rPr>
          <w:rFonts w:ascii="Times New Roman" w:hAnsi="Times New Roman"/>
          <w:color w:val="222222"/>
          <w:sz w:val="24"/>
          <w:szCs w:val="24"/>
          <w:shd w:val="clear" w:color="auto" w:fill="FFFFFF"/>
        </w:rPr>
        <w:t>G</w:t>
      </w:r>
      <w:r w:rsidRPr="001E5CE2">
        <w:rPr>
          <w:rFonts w:ascii="Times New Roman" w:hAnsi="Times New Roman"/>
          <w:color w:val="222222"/>
          <w:sz w:val="24"/>
          <w:szCs w:val="24"/>
          <w:shd w:val="clear" w:color="auto" w:fill="FFFFFF"/>
        </w:rPr>
        <w:t>ráfico</w:t>
      </w:r>
      <w:r w:rsidR="00E31D7C">
        <w:rPr>
          <w:rFonts w:ascii="Times New Roman" w:hAnsi="Times New Roman"/>
          <w:color w:val="222222"/>
          <w:sz w:val="24"/>
          <w:szCs w:val="24"/>
          <w:shd w:val="clear" w:color="auto" w:fill="FFFFFF"/>
        </w:rPr>
        <w:t xml:space="preserve"> 10</w:t>
      </w:r>
      <w:r w:rsidRPr="001E5CE2">
        <w:rPr>
          <w:rFonts w:ascii="Times New Roman" w:hAnsi="Times New Roman"/>
          <w:color w:val="222222"/>
          <w:sz w:val="24"/>
          <w:szCs w:val="24"/>
          <w:shd w:val="clear" w:color="auto" w:fill="FFFFFF"/>
        </w:rPr>
        <w:t>.</w:t>
      </w:r>
    </w:p>
    <w:p w14:paraId="2FFA9247" w14:textId="42AC836E" w:rsidR="00E31D7C" w:rsidRPr="001E5CE2" w:rsidRDefault="00E31D7C" w:rsidP="00E31D7C">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 xml:space="preserve">Para </w:t>
      </w:r>
      <w:r>
        <w:rPr>
          <w:rFonts w:ascii="Times New Roman" w:hAnsi="Times New Roman"/>
          <w:color w:val="222222"/>
          <w:sz w:val="24"/>
          <w:szCs w:val="24"/>
          <w:shd w:val="clear" w:color="auto" w:fill="FFFFFF"/>
        </w:rPr>
        <w:t>la campaña 201</w:t>
      </w:r>
      <w:r w:rsidR="008758E6">
        <w:rPr>
          <w:rFonts w:ascii="Times New Roman" w:hAnsi="Times New Roman"/>
          <w:color w:val="222222"/>
          <w:sz w:val="24"/>
          <w:szCs w:val="24"/>
          <w:shd w:val="clear" w:color="auto" w:fill="FFFFFF"/>
        </w:rPr>
        <w:t>8</w:t>
      </w:r>
      <w:r>
        <w:rPr>
          <w:rFonts w:ascii="Times New Roman" w:hAnsi="Times New Roman"/>
          <w:color w:val="222222"/>
          <w:sz w:val="24"/>
          <w:szCs w:val="24"/>
          <w:shd w:val="clear" w:color="auto" w:fill="FFFFFF"/>
        </w:rPr>
        <w:t>/19</w:t>
      </w:r>
      <w:r w:rsidR="008758E6">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se puede observar que, de los 5</w:t>
      </w:r>
      <w:r>
        <w:rPr>
          <w:rFonts w:ascii="Times New Roman" w:hAnsi="Times New Roman"/>
          <w:color w:val="222222"/>
          <w:sz w:val="24"/>
          <w:szCs w:val="24"/>
          <w:shd w:val="clear" w:color="auto" w:fill="FFFFFF"/>
        </w:rPr>
        <w:t>6</w:t>
      </w:r>
      <w:r w:rsidRPr="001E5CE2">
        <w:rPr>
          <w:rFonts w:ascii="Times New Roman" w:hAnsi="Times New Roman"/>
          <w:color w:val="222222"/>
          <w:sz w:val="24"/>
          <w:szCs w:val="24"/>
          <w:shd w:val="clear" w:color="auto" w:fill="FFFFFF"/>
        </w:rPr>
        <w:t xml:space="preserve"> millones de toneladas de poroto de soja</w:t>
      </w:r>
      <w:r w:rsidR="001632CD">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según estimaciones del </w:t>
      </w:r>
      <w:r w:rsidRPr="0064667B">
        <w:rPr>
          <w:rFonts w:ascii="Times New Roman" w:hAnsi="Times New Roman"/>
          <w:color w:val="222222"/>
          <w:sz w:val="24"/>
          <w:szCs w:val="24"/>
          <w:shd w:val="clear" w:color="auto" w:fill="FFFFFF"/>
        </w:rPr>
        <w:t>Ministerio de Agricultura, Ganadería y Pesca de la Nación</w:t>
      </w:r>
      <w:r w:rsidR="001632CD">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el </w:t>
      </w:r>
      <w:r>
        <w:rPr>
          <w:rFonts w:ascii="Times New Roman" w:hAnsi="Times New Roman"/>
          <w:color w:val="222222"/>
          <w:sz w:val="24"/>
          <w:szCs w:val="24"/>
          <w:shd w:val="clear" w:color="auto" w:fill="FFFFFF"/>
        </w:rPr>
        <w:t>7</w:t>
      </w:r>
      <w:r w:rsidRPr="001E5CE2">
        <w:rPr>
          <w:rFonts w:ascii="Times New Roman" w:hAnsi="Times New Roman"/>
          <w:color w:val="222222"/>
          <w:sz w:val="24"/>
          <w:szCs w:val="24"/>
          <w:shd w:val="clear" w:color="auto" w:fill="FFFFFF"/>
        </w:rPr>
        <w:t xml:space="preserve">% se exportó sin ingresar al proceso productivo y un </w:t>
      </w:r>
      <w:r>
        <w:rPr>
          <w:rFonts w:ascii="Times New Roman" w:hAnsi="Times New Roman"/>
          <w:color w:val="222222"/>
          <w:sz w:val="24"/>
          <w:szCs w:val="24"/>
          <w:shd w:val="clear" w:color="auto" w:fill="FFFFFF"/>
        </w:rPr>
        <w:t>66</w:t>
      </w:r>
      <w:r w:rsidRPr="001E5CE2">
        <w:rPr>
          <w:rFonts w:ascii="Times New Roman" w:hAnsi="Times New Roman"/>
          <w:color w:val="222222"/>
          <w:sz w:val="24"/>
          <w:szCs w:val="24"/>
          <w:shd w:val="clear" w:color="auto" w:fill="FFFFFF"/>
        </w:rPr>
        <w:t xml:space="preserve">%, se destinó a </w:t>
      </w:r>
      <w:r w:rsidR="001632CD">
        <w:rPr>
          <w:rFonts w:ascii="Times New Roman" w:hAnsi="Times New Roman"/>
          <w:color w:val="222222"/>
          <w:sz w:val="24"/>
          <w:szCs w:val="24"/>
          <w:shd w:val="clear" w:color="auto" w:fill="FFFFFF"/>
        </w:rPr>
        <w:t xml:space="preserve">la </w:t>
      </w:r>
      <w:r w:rsidRPr="001E5CE2">
        <w:rPr>
          <w:rFonts w:ascii="Times New Roman" w:hAnsi="Times New Roman"/>
          <w:color w:val="222222"/>
          <w:sz w:val="24"/>
          <w:szCs w:val="24"/>
          <w:shd w:val="clear" w:color="auto" w:fill="FFFFFF"/>
        </w:rPr>
        <w:t>molienda para obtener harinas y aceite crudo</w:t>
      </w:r>
      <w:r>
        <w:rPr>
          <w:rFonts w:ascii="Times New Roman" w:hAnsi="Times New Roman"/>
          <w:color w:val="222222"/>
          <w:sz w:val="24"/>
          <w:szCs w:val="24"/>
          <w:shd w:val="clear" w:color="auto" w:fill="FFFFFF"/>
        </w:rPr>
        <w:t>, siendo el diferencial una</w:t>
      </w:r>
      <w:r w:rsidRPr="001E5CE2">
        <w:rPr>
          <w:rFonts w:ascii="Times New Roman" w:hAnsi="Times New Roman"/>
          <w:color w:val="222222"/>
          <w:sz w:val="24"/>
          <w:szCs w:val="24"/>
          <w:shd w:val="clear" w:color="auto" w:fill="FFFFFF"/>
        </w:rPr>
        <w:t xml:space="preserve"> variación de stock.</w:t>
      </w:r>
      <w:r w:rsidR="001632CD">
        <w:rPr>
          <w:rFonts w:ascii="Times New Roman" w:hAnsi="Times New Roman"/>
          <w:color w:val="222222"/>
          <w:sz w:val="24"/>
          <w:szCs w:val="24"/>
          <w:shd w:val="clear" w:color="auto" w:fill="FFFFFF"/>
        </w:rPr>
        <w:t xml:space="preserve"> En el</w:t>
      </w:r>
      <w:r>
        <w:rPr>
          <w:rFonts w:ascii="Times New Roman" w:hAnsi="Times New Roman"/>
          <w:color w:val="222222"/>
          <w:sz w:val="24"/>
          <w:szCs w:val="24"/>
          <w:shd w:val="clear" w:color="auto" w:fill="FFFFFF"/>
        </w:rPr>
        <w:t xml:space="preserve"> análisis, se considera que del grano de soja se obtuvo un 20</w:t>
      </w:r>
      <w:r w:rsidRPr="001E5CE2">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d</w:t>
      </w:r>
      <w:r w:rsidRPr="001E5CE2">
        <w:rPr>
          <w:rFonts w:ascii="Times New Roman" w:hAnsi="Times New Roman"/>
          <w:color w:val="222222"/>
          <w:sz w:val="24"/>
          <w:szCs w:val="24"/>
          <w:shd w:val="clear" w:color="auto" w:fill="FFFFFF"/>
        </w:rPr>
        <w:t xml:space="preserve">e aceite y </w:t>
      </w:r>
      <w:r>
        <w:rPr>
          <w:rFonts w:ascii="Times New Roman" w:hAnsi="Times New Roman"/>
          <w:color w:val="222222"/>
          <w:sz w:val="24"/>
          <w:szCs w:val="24"/>
          <w:shd w:val="clear" w:color="auto" w:fill="FFFFFF"/>
        </w:rPr>
        <w:t>un 73</w:t>
      </w:r>
      <w:r w:rsidRPr="001E5CE2">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de </w:t>
      </w:r>
      <w:r w:rsidRPr="001E5CE2">
        <w:rPr>
          <w:rFonts w:ascii="Times New Roman" w:hAnsi="Times New Roman"/>
          <w:color w:val="222222"/>
          <w:sz w:val="24"/>
          <w:szCs w:val="24"/>
          <w:shd w:val="clear" w:color="auto" w:fill="FFFFFF"/>
        </w:rPr>
        <w:t>harinas (</w:t>
      </w:r>
      <w:r w:rsidR="001632CD">
        <w:rPr>
          <w:rFonts w:ascii="Times New Roman" w:hAnsi="Times New Roman"/>
          <w:color w:val="222222"/>
          <w:sz w:val="24"/>
          <w:szCs w:val="24"/>
          <w:shd w:val="clear" w:color="auto" w:fill="FFFFFF"/>
        </w:rPr>
        <w:t>que</w:t>
      </w:r>
      <w:r w:rsidRPr="001E5CE2">
        <w:rPr>
          <w:rFonts w:ascii="Times New Roman" w:hAnsi="Times New Roman"/>
          <w:color w:val="222222"/>
          <w:sz w:val="24"/>
          <w:szCs w:val="24"/>
          <w:shd w:val="clear" w:color="auto" w:fill="FFFFFF"/>
        </w:rPr>
        <w:t xml:space="preserve"> se destina el </w:t>
      </w:r>
      <w:r>
        <w:rPr>
          <w:rFonts w:ascii="Times New Roman" w:hAnsi="Times New Roman"/>
          <w:color w:val="222222"/>
          <w:sz w:val="24"/>
          <w:szCs w:val="24"/>
          <w:shd w:val="clear" w:color="auto" w:fill="FFFFFF"/>
        </w:rPr>
        <w:t>90</w:t>
      </w:r>
      <w:r w:rsidRPr="001E5CE2">
        <w:rPr>
          <w:rFonts w:ascii="Times New Roman" w:hAnsi="Times New Roman"/>
          <w:color w:val="222222"/>
          <w:sz w:val="24"/>
          <w:szCs w:val="24"/>
          <w:shd w:val="clear" w:color="auto" w:fill="FFFFFF"/>
        </w:rPr>
        <w:t xml:space="preserve">% al mercado externo). </w:t>
      </w:r>
    </w:p>
    <w:p w14:paraId="6C740662" w14:textId="727875D3" w:rsidR="003C6A1E" w:rsidRPr="001E5CE2" w:rsidRDefault="003C6A1E" w:rsidP="001E5CE2">
      <w:pPr>
        <w:spacing w:after="0" w:line="360" w:lineRule="auto"/>
        <w:jc w:val="both"/>
        <w:rPr>
          <w:rFonts w:ascii="Times New Roman" w:hAnsi="Times New Roman"/>
          <w:color w:val="222222"/>
          <w:sz w:val="24"/>
          <w:szCs w:val="24"/>
          <w:shd w:val="clear" w:color="auto" w:fill="FFFFFF"/>
        </w:rPr>
      </w:pPr>
    </w:p>
    <w:p w14:paraId="5F7B15AF" w14:textId="08E8D8AE" w:rsidR="007B00F4" w:rsidRPr="001E5CE2" w:rsidRDefault="001632CD" w:rsidP="001E5CE2">
      <w:pPr>
        <w:spacing w:after="0" w:line="360" w:lineRule="auto"/>
        <w:jc w:val="center"/>
        <w:rPr>
          <w:rFonts w:ascii="Times New Roman" w:hAnsi="Times New Roman"/>
          <w:color w:val="222222"/>
          <w:sz w:val="24"/>
          <w:szCs w:val="24"/>
          <w:shd w:val="clear" w:color="auto" w:fill="FFFFFF"/>
        </w:rPr>
      </w:pPr>
      <w:r w:rsidRPr="001632CD">
        <w:rPr>
          <w:rFonts w:ascii="Times New Roman" w:eastAsia="Times New Roman" w:hAnsi="Times New Roman"/>
          <w:color w:val="000000"/>
          <w:sz w:val="24"/>
          <w:szCs w:val="24"/>
          <w:lang w:eastAsia="es-ES"/>
        </w:rPr>
        <w:lastRenderedPageBreak/>
        <w:t>G</w:t>
      </w:r>
      <w:r w:rsidR="007B00F4" w:rsidRPr="001632CD">
        <w:rPr>
          <w:rFonts w:ascii="Times New Roman" w:eastAsia="Times New Roman" w:hAnsi="Times New Roman"/>
          <w:color w:val="000000"/>
          <w:sz w:val="24"/>
          <w:szCs w:val="24"/>
          <w:lang w:eastAsia="es-ES"/>
        </w:rPr>
        <w:t xml:space="preserve">ráfico </w:t>
      </w:r>
      <w:r w:rsidRPr="001632CD">
        <w:rPr>
          <w:rFonts w:ascii="Times New Roman" w:eastAsia="Times New Roman" w:hAnsi="Times New Roman"/>
          <w:color w:val="000000"/>
          <w:sz w:val="24"/>
          <w:szCs w:val="24"/>
          <w:lang w:eastAsia="es-ES"/>
        </w:rPr>
        <w:t>10</w:t>
      </w:r>
      <w:r w:rsidR="007B00F4" w:rsidRPr="001632CD">
        <w:rPr>
          <w:rFonts w:ascii="Times New Roman" w:eastAsia="Times New Roman" w:hAnsi="Times New Roman"/>
          <w:color w:val="000000"/>
          <w:sz w:val="24"/>
          <w:szCs w:val="24"/>
          <w:lang w:eastAsia="es-ES"/>
        </w:rPr>
        <w:t>:</w:t>
      </w:r>
      <w:r w:rsidR="007B00F4" w:rsidRPr="001E5CE2">
        <w:rPr>
          <w:rFonts w:ascii="Times New Roman" w:eastAsia="Times New Roman" w:hAnsi="Times New Roman"/>
          <w:color w:val="000000"/>
          <w:sz w:val="24"/>
          <w:szCs w:val="24"/>
          <w:lang w:eastAsia="es-ES"/>
        </w:rPr>
        <w:t xml:space="preserve"> F</w:t>
      </w:r>
      <w:r w:rsidR="007B00F4" w:rsidRPr="001E5CE2">
        <w:rPr>
          <w:rFonts w:ascii="Times New Roman" w:hAnsi="Times New Roman"/>
          <w:color w:val="222222"/>
          <w:sz w:val="24"/>
          <w:szCs w:val="24"/>
          <w:shd w:val="clear" w:color="auto" w:fill="FFFFFF"/>
        </w:rPr>
        <w:t xml:space="preserve">lujograma de la cadena de la soja, en millones de </w:t>
      </w:r>
      <w:proofErr w:type="spellStart"/>
      <w:r w:rsidR="007B00F4" w:rsidRPr="001E5CE2">
        <w:rPr>
          <w:rFonts w:ascii="Times New Roman" w:hAnsi="Times New Roman"/>
          <w:color w:val="222222"/>
          <w:sz w:val="24"/>
          <w:szCs w:val="24"/>
          <w:shd w:val="clear" w:color="auto" w:fill="FFFFFF"/>
        </w:rPr>
        <w:t>t</w:t>
      </w:r>
      <w:r w:rsidR="008E3BF9" w:rsidRPr="001E5CE2">
        <w:rPr>
          <w:rFonts w:ascii="Times New Roman" w:hAnsi="Times New Roman"/>
          <w:color w:val="222222"/>
          <w:sz w:val="24"/>
          <w:szCs w:val="24"/>
          <w:shd w:val="clear" w:color="auto" w:fill="FFFFFF"/>
        </w:rPr>
        <w:t>n</w:t>
      </w:r>
      <w:proofErr w:type="spellEnd"/>
      <w:r w:rsidR="008E3BF9" w:rsidRPr="001E5CE2">
        <w:rPr>
          <w:rFonts w:ascii="Times New Roman" w:hAnsi="Times New Roman"/>
          <w:color w:val="222222"/>
          <w:sz w:val="24"/>
          <w:szCs w:val="24"/>
          <w:shd w:val="clear" w:color="auto" w:fill="FFFFFF"/>
        </w:rPr>
        <w:t>.</w:t>
      </w:r>
      <w:r w:rsidR="007B00F4" w:rsidRPr="001E5CE2">
        <w:rPr>
          <w:rFonts w:ascii="Times New Roman" w:hAnsi="Times New Roman"/>
          <w:color w:val="222222"/>
          <w:sz w:val="24"/>
          <w:szCs w:val="24"/>
          <w:shd w:val="clear" w:color="auto" w:fill="FFFFFF"/>
        </w:rPr>
        <w:t xml:space="preserve"> </w:t>
      </w:r>
      <w:r w:rsidR="008E3BF9" w:rsidRPr="001E5CE2">
        <w:rPr>
          <w:rFonts w:ascii="Times New Roman" w:hAnsi="Times New Roman"/>
          <w:color w:val="222222"/>
          <w:sz w:val="24"/>
          <w:szCs w:val="24"/>
          <w:shd w:val="clear" w:color="auto" w:fill="FFFFFF"/>
        </w:rPr>
        <w:t xml:space="preserve">Campaña </w:t>
      </w:r>
      <w:r w:rsidR="0064667B">
        <w:rPr>
          <w:rFonts w:ascii="Times New Roman" w:hAnsi="Times New Roman"/>
          <w:color w:val="222222"/>
          <w:sz w:val="24"/>
          <w:szCs w:val="24"/>
          <w:shd w:val="clear" w:color="auto" w:fill="FFFFFF"/>
        </w:rPr>
        <w:t>2018/19</w:t>
      </w:r>
    </w:p>
    <w:p w14:paraId="0FFBCDD1" w14:textId="702F9369" w:rsidR="007B00F4" w:rsidRPr="001E5CE2" w:rsidRDefault="0064667B" w:rsidP="001E5CE2">
      <w:pPr>
        <w:spacing w:after="0" w:line="360" w:lineRule="auto"/>
        <w:jc w:val="center"/>
        <w:rPr>
          <w:rFonts w:ascii="Times New Roman" w:hAnsi="Times New Roman"/>
          <w:color w:val="222222"/>
          <w:sz w:val="24"/>
          <w:szCs w:val="24"/>
          <w:shd w:val="clear" w:color="auto" w:fill="FFFFFF"/>
        </w:rPr>
      </w:pPr>
      <w:r w:rsidRPr="0064667B">
        <w:rPr>
          <w:noProof/>
          <w:lang w:eastAsia="es-AR"/>
        </w:rPr>
        <w:drawing>
          <wp:inline distT="0" distB="0" distL="0" distR="0" wp14:anchorId="5FE8FC32" wp14:editId="66F6871A">
            <wp:extent cx="5175250" cy="4051300"/>
            <wp:effectExtent l="0" t="0" r="635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5424" cy="4051436"/>
                    </a:xfrm>
                    <a:prstGeom prst="rect">
                      <a:avLst/>
                    </a:prstGeom>
                    <a:noFill/>
                    <a:ln>
                      <a:noFill/>
                    </a:ln>
                  </pic:spPr>
                </pic:pic>
              </a:graphicData>
            </a:graphic>
          </wp:inline>
        </w:drawing>
      </w:r>
    </w:p>
    <w:p w14:paraId="4A138C57" w14:textId="4CF1FBAA" w:rsidR="007B00F4" w:rsidRPr="0064667B" w:rsidRDefault="007B00F4" w:rsidP="001E5CE2">
      <w:pPr>
        <w:spacing w:after="0" w:line="360" w:lineRule="auto"/>
        <w:jc w:val="center"/>
        <w:rPr>
          <w:rFonts w:ascii="Times New Roman" w:hAnsi="Times New Roman"/>
          <w:i/>
          <w:color w:val="222222"/>
          <w:sz w:val="18"/>
          <w:szCs w:val="24"/>
          <w:shd w:val="clear" w:color="auto" w:fill="FFFFFF"/>
        </w:rPr>
      </w:pPr>
      <w:r w:rsidRPr="0064667B">
        <w:rPr>
          <w:rFonts w:ascii="Times New Roman" w:hAnsi="Times New Roman"/>
          <w:i/>
          <w:color w:val="222222"/>
          <w:sz w:val="18"/>
          <w:szCs w:val="24"/>
          <w:shd w:val="clear" w:color="auto" w:fill="FFFFFF"/>
        </w:rPr>
        <w:t>Fuente: Elaboración propia en base a datos de la Cámara de la Industria Aceitera de la República Argentina (CIARA) el Instituto Nacional de Estadística y Censos (INDEC), Secretaría de Energía de la Nación, Asociación Argentina de Biocombustibles e Hidrógeno (ABH), Ministerio de Agricultura</w:t>
      </w:r>
      <w:r w:rsidR="0064667B" w:rsidRPr="0064667B">
        <w:rPr>
          <w:rFonts w:ascii="Times New Roman" w:hAnsi="Times New Roman"/>
          <w:i/>
          <w:color w:val="222222"/>
          <w:sz w:val="18"/>
          <w:szCs w:val="24"/>
          <w:shd w:val="clear" w:color="auto" w:fill="FFFFFF"/>
        </w:rPr>
        <w:t>, Ganadería y Pesca de la Nación.</w:t>
      </w:r>
    </w:p>
    <w:p w14:paraId="6AFBAF08" w14:textId="77777777" w:rsidR="00D7400D" w:rsidRPr="001E5CE2" w:rsidRDefault="00D7400D" w:rsidP="001E5CE2">
      <w:pPr>
        <w:spacing w:after="0" w:line="360" w:lineRule="auto"/>
        <w:jc w:val="both"/>
        <w:rPr>
          <w:rFonts w:ascii="Times New Roman" w:hAnsi="Times New Roman"/>
          <w:color w:val="222222"/>
          <w:sz w:val="24"/>
          <w:szCs w:val="24"/>
          <w:shd w:val="clear" w:color="auto" w:fill="FFFFFF"/>
        </w:rPr>
      </w:pPr>
    </w:p>
    <w:p w14:paraId="6BA67166" w14:textId="0BFC59EE" w:rsidR="007B00F4" w:rsidRPr="001E5CE2" w:rsidRDefault="007B00F4" w:rsidP="001E5CE2">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Por otro lado, del aceite crudo obtenido</w:t>
      </w:r>
      <w:r w:rsidR="001632CD">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sólo el 5% es refinado, el </w:t>
      </w:r>
      <w:r w:rsidR="0076103F">
        <w:rPr>
          <w:rFonts w:ascii="Times New Roman" w:hAnsi="Times New Roman"/>
          <w:color w:val="222222"/>
          <w:sz w:val="24"/>
          <w:szCs w:val="24"/>
          <w:shd w:val="clear" w:color="auto" w:fill="FFFFFF"/>
        </w:rPr>
        <w:t>58</w:t>
      </w:r>
      <w:r w:rsidRPr="001E5CE2">
        <w:rPr>
          <w:rFonts w:ascii="Times New Roman" w:hAnsi="Times New Roman"/>
          <w:color w:val="222222"/>
          <w:sz w:val="24"/>
          <w:szCs w:val="24"/>
          <w:shd w:val="clear" w:color="auto" w:fill="FFFFFF"/>
        </w:rPr>
        <w:t>% se exporta como aceite crudo y el 34% se destina a la producción de biodiesel (existiendo variaciones de stock)</w:t>
      </w:r>
      <w:r w:rsidR="001632CD">
        <w:rPr>
          <w:rFonts w:ascii="Times New Roman" w:hAnsi="Times New Roman"/>
          <w:color w:val="222222"/>
          <w:sz w:val="24"/>
          <w:szCs w:val="24"/>
          <w:shd w:val="clear" w:color="auto" w:fill="FFFFFF"/>
        </w:rPr>
        <w:t>; del 34% correspondiente al biodiesel, cerca del</w:t>
      </w:r>
      <w:r w:rsidRPr="001E5CE2">
        <w:rPr>
          <w:rFonts w:ascii="Times New Roman" w:hAnsi="Times New Roman"/>
          <w:color w:val="222222"/>
          <w:sz w:val="24"/>
          <w:szCs w:val="24"/>
          <w:shd w:val="clear" w:color="auto" w:fill="FFFFFF"/>
        </w:rPr>
        <w:t xml:space="preserve"> </w:t>
      </w:r>
      <w:r w:rsidR="001632CD">
        <w:rPr>
          <w:rFonts w:ascii="Times New Roman" w:hAnsi="Times New Roman"/>
          <w:color w:val="222222"/>
          <w:sz w:val="24"/>
          <w:szCs w:val="24"/>
          <w:shd w:val="clear" w:color="auto" w:fill="FFFFFF"/>
        </w:rPr>
        <w:t>56</w:t>
      </w:r>
      <w:r w:rsidRPr="001E5CE2">
        <w:rPr>
          <w:rFonts w:ascii="Times New Roman" w:hAnsi="Times New Roman"/>
          <w:color w:val="222222"/>
          <w:sz w:val="24"/>
          <w:szCs w:val="24"/>
          <w:shd w:val="clear" w:color="auto" w:fill="FFFFFF"/>
        </w:rPr>
        <w:t xml:space="preserve">% </w:t>
      </w:r>
      <w:r w:rsidR="001632CD">
        <w:rPr>
          <w:rFonts w:ascii="Times New Roman" w:hAnsi="Times New Roman"/>
          <w:color w:val="222222"/>
          <w:sz w:val="24"/>
          <w:szCs w:val="24"/>
          <w:shd w:val="clear" w:color="auto" w:fill="FFFFFF"/>
        </w:rPr>
        <w:t xml:space="preserve">se destina a la </w:t>
      </w:r>
      <w:r w:rsidRPr="001E5CE2">
        <w:rPr>
          <w:rFonts w:ascii="Times New Roman" w:hAnsi="Times New Roman"/>
          <w:color w:val="222222"/>
          <w:sz w:val="24"/>
          <w:szCs w:val="24"/>
          <w:shd w:val="clear" w:color="auto" w:fill="FFFFFF"/>
        </w:rPr>
        <w:t>exportación y el re</w:t>
      </w:r>
      <w:r w:rsidR="001632CD">
        <w:rPr>
          <w:rFonts w:ascii="Times New Roman" w:hAnsi="Times New Roman"/>
          <w:color w:val="222222"/>
          <w:sz w:val="24"/>
          <w:szCs w:val="24"/>
          <w:shd w:val="clear" w:color="auto" w:fill="FFFFFF"/>
        </w:rPr>
        <w:t>sto</w:t>
      </w:r>
      <w:r w:rsidR="0076103F">
        <w:rPr>
          <w:rFonts w:ascii="Times New Roman" w:hAnsi="Times New Roman"/>
          <w:color w:val="222222"/>
          <w:sz w:val="24"/>
          <w:szCs w:val="24"/>
          <w:shd w:val="clear" w:color="auto" w:fill="FFFFFF"/>
        </w:rPr>
        <w:t xml:space="preserve"> para consumo interno (</w:t>
      </w:r>
      <w:r w:rsidR="001632CD">
        <w:rPr>
          <w:rFonts w:ascii="Times New Roman" w:hAnsi="Times New Roman"/>
          <w:color w:val="222222"/>
          <w:sz w:val="24"/>
          <w:szCs w:val="24"/>
          <w:shd w:val="clear" w:color="auto" w:fill="FFFFFF"/>
        </w:rPr>
        <w:t>46</w:t>
      </w:r>
      <w:r w:rsidRPr="001E5CE2">
        <w:rPr>
          <w:rFonts w:ascii="Times New Roman" w:hAnsi="Times New Roman"/>
          <w:color w:val="222222"/>
          <w:sz w:val="24"/>
          <w:szCs w:val="24"/>
          <w:shd w:val="clear" w:color="auto" w:fill="FFFFFF"/>
        </w:rPr>
        <w:t>%).</w:t>
      </w:r>
      <w:r w:rsidR="001632CD">
        <w:rPr>
          <w:rFonts w:ascii="Times New Roman" w:hAnsi="Times New Roman"/>
          <w:color w:val="222222"/>
          <w:sz w:val="24"/>
          <w:szCs w:val="24"/>
          <w:shd w:val="clear" w:color="auto" w:fill="FFFFFF"/>
        </w:rPr>
        <w:t xml:space="preserve"> </w:t>
      </w:r>
    </w:p>
    <w:p w14:paraId="6B594C4A" w14:textId="6981CE33" w:rsidR="007B00F4" w:rsidRPr="001E5CE2" w:rsidRDefault="007B00F4" w:rsidP="001E5CE2">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 xml:space="preserve">La molienda está directamente relacionada con la producción de grano, </w:t>
      </w:r>
      <w:r w:rsidR="001632CD">
        <w:rPr>
          <w:rFonts w:ascii="Times New Roman" w:hAnsi="Times New Roman"/>
          <w:color w:val="222222"/>
          <w:sz w:val="24"/>
          <w:szCs w:val="24"/>
          <w:shd w:val="clear" w:color="auto" w:fill="FFFFFF"/>
        </w:rPr>
        <w:t>que</w:t>
      </w:r>
      <w:r w:rsidRPr="001E5CE2">
        <w:rPr>
          <w:rFonts w:ascii="Times New Roman" w:hAnsi="Times New Roman"/>
          <w:color w:val="222222"/>
          <w:sz w:val="24"/>
          <w:szCs w:val="24"/>
          <w:shd w:val="clear" w:color="auto" w:fill="FFFFFF"/>
        </w:rPr>
        <w:t xml:space="preserve"> está influida por una multiplicidad de factores</w:t>
      </w:r>
      <w:r w:rsidR="001632CD">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entre ellos</w:t>
      </w:r>
      <w:r w:rsidR="001632CD">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el clima</w:t>
      </w:r>
      <w:r w:rsidR="001632CD">
        <w:rPr>
          <w:rFonts w:ascii="Times New Roman" w:hAnsi="Times New Roman"/>
          <w:color w:val="222222"/>
          <w:sz w:val="24"/>
          <w:szCs w:val="24"/>
          <w:shd w:val="clear" w:color="auto" w:fill="FFFFFF"/>
        </w:rPr>
        <w:t xml:space="preserve"> que impone</w:t>
      </w:r>
      <w:r w:rsidRPr="001E5CE2">
        <w:rPr>
          <w:rFonts w:ascii="Times New Roman" w:hAnsi="Times New Roman"/>
          <w:color w:val="222222"/>
          <w:sz w:val="24"/>
          <w:szCs w:val="24"/>
          <w:shd w:val="clear" w:color="auto" w:fill="FFFFFF"/>
        </w:rPr>
        <w:t xml:space="preserve"> una importante variabilidad. Las mayores diferencias se evidencian en el porcentaje de biodiesel que se destina tanto para el consumo interno como el externo.</w:t>
      </w:r>
    </w:p>
    <w:p w14:paraId="5BD0A4FF" w14:textId="0196DEA7" w:rsidR="007B00F4" w:rsidRPr="001E5CE2" w:rsidRDefault="007B00F4" w:rsidP="001E5CE2">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Como se analizó anteriormente, los precios internacionales de la harina de soja resultan ser todavía atractivos</w:t>
      </w:r>
      <w:r w:rsidR="001632CD">
        <w:rPr>
          <w:rFonts w:ascii="Times New Roman" w:hAnsi="Times New Roman"/>
          <w:color w:val="222222"/>
          <w:sz w:val="24"/>
          <w:szCs w:val="24"/>
          <w:shd w:val="clear" w:color="auto" w:fill="FFFFFF"/>
        </w:rPr>
        <w:t>; este hecho</w:t>
      </w:r>
      <w:r w:rsidR="00142079">
        <w:rPr>
          <w:rFonts w:ascii="Times New Roman" w:hAnsi="Times New Roman"/>
          <w:color w:val="222222"/>
          <w:sz w:val="24"/>
          <w:szCs w:val="24"/>
          <w:shd w:val="clear" w:color="auto" w:fill="FFFFFF"/>
        </w:rPr>
        <w:t xml:space="preserve"> explica la</w:t>
      </w:r>
      <w:r w:rsidRPr="001E5CE2">
        <w:rPr>
          <w:rFonts w:ascii="Times New Roman" w:hAnsi="Times New Roman"/>
          <w:color w:val="222222"/>
          <w:sz w:val="24"/>
          <w:szCs w:val="24"/>
          <w:shd w:val="clear" w:color="auto" w:fill="FFFFFF"/>
        </w:rPr>
        <w:t xml:space="preserve"> mayor exportación de dicho producto. Mientras que, para el aceite, </w:t>
      </w:r>
      <w:r w:rsidR="00F43C72">
        <w:rPr>
          <w:rFonts w:ascii="Times New Roman" w:hAnsi="Times New Roman"/>
          <w:color w:val="222222"/>
          <w:sz w:val="24"/>
          <w:szCs w:val="24"/>
          <w:shd w:val="clear" w:color="auto" w:fill="FFFFFF"/>
        </w:rPr>
        <w:t>se ha analizado que el precio neto FOB del biodiesel es más atractivo que el del aceite</w:t>
      </w:r>
      <w:r w:rsidRPr="001E5CE2">
        <w:rPr>
          <w:rFonts w:ascii="Times New Roman" w:hAnsi="Times New Roman"/>
          <w:color w:val="222222"/>
          <w:sz w:val="24"/>
          <w:szCs w:val="24"/>
          <w:shd w:val="clear" w:color="auto" w:fill="FFFFFF"/>
        </w:rPr>
        <w:t xml:space="preserve">, </w:t>
      </w:r>
      <w:r w:rsidR="00F43C72">
        <w:rPr>
          <w:rFonts w:ascii="Times New Roman" w:hAnsi="Times New Roman"/>
          <w:color w:val="222222"/>
          <w:sz w:val="24"/>
          <w:szCs w:val="24"/>
          <w:shd w:val="clear" w:color="auto" w:fill="FFFFFF"/>
        </w:rPr>
        <w:t xml:space="preserve">por lo que convendría exportar más biocombustible, aunque esto está restringido </w:t>
      </w:r>
      <w:r w:rsidR="00142079">
        <w:rPr>
          <w:rFonts w:ascii="Times New Roman" w:hAnsi="Times New Roman"/>
          <w:color w:val="222222"/>
          <w:sz w:val="24"/>
          <w:szCs w:val="24"/>
          <w:shd w:val="clear" w:color="auto" w:fill="FFFFFF"/>
        </w:rPr>
        <w:t>a</w:t>
      </w:r>
      <w:r w:rsidR="00F43C72">
        <w:rPr>
          <w:rFonts w:ascii="Times New Roman" w:hAnsi="Times New Roman"/>
          <w:color w:val="222222"/>
          <w:sz w:val="24"/>
          <w:szCs w:val="24"/>
          <w:shd w:val="clear" w:color="auto" w:fill="FFFFFF"/>
        </w:rPr>
        <w:t xml:space="preserve"> la capacidad de encontrar nuevos mercados.</w:t>
      </w:r>
    </w:p>
    <w:p w14:paraId="6E56BD0D" w14:textId="41D6B07F" w:rsidR="007B00F4" w:rsidRPr="001E5CE2" w:rsidRDefault="007B00F4" w:rsidP="001E5CE2">
      <w:pPr>
        <w:spacing w:after="0" w:line="360" w:lineRule="auto"/>
        <w:jc w:val="both"/>
        <w:rPr>
          <w:rFonts w:ascii="Times New Roman" w:hAnsi="Times New Roman"/>
          <w:color w:val="222222"/>
          <w:sz w:val="24"/>
          <w:szCs w:val="24"/>
          <w:shd w:val="clear" w:color="auto" w:fill="FFFFFF"/>
        </w:rPr>
      </w:pPr>
      <w:r w:rsidRPr="00AE7DAE">
        <w:rPr>
          <w:rFonts w:ascii="Times New Roman" w:hAnsi="Times New Roman"/>
          <w:color w:val="222222"/>
          <w:sz w:val="24"/>
          <w:szCs w:val="24"/>
          <w:shd w:val="clear" w:color="auto" w:fill="FFFFFF"/>
        </w:rPr>
        <w:lastRenderedPageBreak/>
        <w:t xml:space="preserve">A continuación, se plantean dos escenarios posibles con efectos de política </w:t>
      </w:r>
      <w:r w:rsidR="00142079">
        <w:rPr>
          <w:rFonts w:ascii="Times New Roman" w:hAnsi="Times New Roman"/>
          <w:color w:val="222222"/>
          <w:sz w:val="24"/>
          <w:szCs w:val="24"/>
          <w:shd w:val="clear" w:color="auto" w:fill="FFFFFF"/>
        </w:rPr>
        <w:t xml:space="preserve">económica </w:t>
      </w:r>
      <w:r w:rsidRPr="00AE7DAE">
        <w:rPr>
          <w:rFonts w:ascii="Times New Roman" w:hAnsi="Times New Roman"/>
          <w:color w:val="222222"/>
          <w:sz w:val="24"/>
          <w:szCs w:val="24"/>
          <w:shd w:val="clear" w:color="auto" w:fill="FFFFFF"/>
        </w:rPr>
        <w:t xml:space="preserve">para </w:t>
      </w:r>
      <w:r w:rsidR="00142079">
        <w:rPr>
          <w:rFonts w:ascii="Times New Roman" w:hAnsi="Times New Roman"/>
          <w:color w:val="222222"/>
          <w:sz w:val="24"/>
          <w:szCs w:val="24"/>
          <w:shd w:val="clear" w:color="auto" w:fill="FFFFFF"/>
        </w:rPr>
        <w:t>enfrentar la</w:t>
      </w:r>
      <w:r w:rsidRPr="001E5CE2">
        <w:rPr>
          <w:rFonts w:ascii="Times New Roman" w:hAnsi="Times New Roman"/>
          <w:color w:val="222222"/>
          <w:sz w:val="24"/>
          <w:szCs w:val="24"/>
          <w:shd w:val="clear" w:color="auto" w:fill="FFFFFF"/>
        </w:rPr>
        <w:t xml:space="preserve"> caída de las exportaciones de biodiesel</w:t>
      </w:r>
      <w:r w:rsidR="00142079">
        <w:rPr>
          <w:rFonts w:ascii="Times New Roman" w:hAnsi="Times New Roman"/>
          <w:color w:val="222222"/>
          <w:sz w:val="24"/>
          <w:szCs w:val="24"/>
          <w:shd w:val="clear" w:color="auto" w:fill="FFFFFF"/>
        </w:rPr>
        <w:t xml:space="preserve"> y atender a </w:t>
      </w:r>
      <w:r w:rsidRPr="001E5CE2">
        <w:rPr>
          <w:rFonts w:ascii="Times New Roman" w:hAnsi="Times New Roman"/>
          <w:color w:val="222222"/>
          <w:sz w:val="24"/>
          <w:szCs w:val="24"/>
          <w:shd w:val="clear" w:color="auto" w:fill="FFFFFF"/>
        </w:rPr>
        <w:t>las variaciones de capacidad instalada. Ante la posible reducción de las exportaciones de biodiesel</w:t>
      </w:r>
      <w:r w:rsidR="00142079">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tras las políticas de cierre de los mercados internacionales </w:t>
      </w:r>
      <w:r w:rsidR="008E3BF9" w:rsidRPr="001E5CE2">
        <w:rPr>
          <w:rFonts w:ascii="Times New Roman" w:hAnsi="Times New Roman"/>
          <w:color w:val="222222"/>
          <w:sz w:val="24"/>
          <w:szCs w:val="24"/>
          <w:shd w:val="clear" w:color="auto" w:fill="FFFFFF"/>
        </w:rPr>
        <w:t xml:space="preserve">y </w:t>
      </w:r>
      <w:r w:rsidRPr="001E5CE2">
        <w:rPr>
          <w:rFonts w:ascii="Times New Roman" w:hAnsi="Times New Roman"/>
          <w:color w:val="222222"/>
          <w:sz w:val="24"/>
          <w:szCs w:val="24"/>
          <w:shd w:val="clear" w:color="auto" w:fill="FFFFFF"/>
        </w:rPr>
        <w:t>el establecimiento de restricciones a la exportación de nuestro producto impuestas por Estados Unidos</w:t>
      </w:r>
      <w:r w:rsidR="00142079">
        <w:rPr>
          <w:rFonts w:ascii="Times New Roman" w:hAnsi="Times New Roman"/>
          <w:color w:val="222222"/>
          <w:sz w:val="24"/>
          <w:szCs w:val="24"/>
          <w:shd w:val="clear" w:color="auto" w:fill="FFFFFF"/>
        </w:rPr>
        <w:t>,</w:t>
      </w:r>
      <w:r w:rsidR="008E3BF9" w:rsidRPr="001E5CE2">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 xml:space="preserve">se analizan dos hipótesis de </w:t>
      </w:r>
      <w:r w:rsidR="008E3BF9" w:rsidRPr="001E5CE2">
        <w:rPr>
          <w:rFonts w:ascii="Times New Roman" w:hAnsi="Times New Roman"/>
          <w:color w:val="222222"/>
          <w:sz w:val="24"/>
          <w:szCs w:val="24"/>
          <w:shd w:val="clear" w:color="auto" w:fill="FFFFFF"/>
        </w:rPr>
        <w:t>trabajo</w:t>
      </w:r>
      <w:r w:rsidRPr="001E5CE2">
        <w:rPr>
          <w:rFonts w:ascii="Times New Roman" w:hAnsi="Times New Roman"/>
          <w:color w:val="222222"/>
          <w:sz w:val="24"/>
          <w:szCs w:val="24"/>
          <w:shd w:val="clear" w:color="auto" w:fill="FFFFFF"/>
        </w:rPr>
        <w:t xml:space="preserve"> con la posibilidad de buscar nuevos </w:t>
      </w:r>
      <w:r w:rsidR="00142079">
        <w:rPr>
          <w:rFonts w:ascii="Times New Roman" w:hAnsi="Times New Roman"/>
          <w:color w:val="222222"/>
          <w:sz w:val="24"/>
          <w:szCs w:val="24"/>
          <w:shd w:val="clear" w:color="auto" w:fill="FFFFFF"/>
        </w:rPr>
        <w:t>destinos a la cadena de soja sin contraer</w:t>
      </w:r>
      <w:r w:rsidRPr="001E5CE2">
        <w:rPr>
          <w:rFonts w:ascii="Times New Roman" w:hAnsi="Times New Roman"/>
          <w:color w:val="222222"/>
          <w:sz w:val="24"/>
          <w:szCs w:val="24"/>
          <w:shd w:val="clear" w:color="auto" w:fill="FFFFFF"/>
        </w:rPr>
        <w:t xml:space="preserve"> en grandes proporciones la producción de</w:t>
      </w:r>
      <w:r w:rsidR="00142079">
        <w:rPr>
          <w:rFonts w:ascii="Times New Roman" w:hAnsi="Times New Roman"/>
          <w:color w:val="222222"/>
          <w:sz w:val="24"/>
          <w:szCs w:val="24"/>
          <w:shd w:val="clear" w:color="auto" w:fill="FFFFFF"/>
        </w:rPr>
        <w:t>l complejo.</w:t>
      </w:r>
      <w:r w:rsidR="00AE7DAE">
        <w:rPr>
          <w:rStyle w:val="Refdenotaalpie"/>
          <w:rFonts w:ascii="Times New Roman" w:hAnsi="Times New Roman"/>
          <w:color w:val="222222"/>
          <w:sz w:val="24"/>
          <w:szCs w:val="24"/>
          <w:shd w:val="clear" w:color="auto" w:fill="FFFFFF"/>
        </w:rPr>
        <w:footnoteReference w:id="7"/>
      </w:r>
    </w:p>
    <w:p w14:paraId="52876EF3" w14:textId="3F1F351F" w:rsidR="007B00F4" w:rsidRPr="001E5CE2" w:rsidRDefault="007B00F4" w:rsidP="001E5CE2">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 xml:space="preserve">En ambos escenarios se </w:t>
      </w:r>
      <w:r w:rsidR="002B3002" w:rsidRPr="001E5CE2">
        <w:rPr>
          <w:rFonts w:ascii="Times New Roman" w:hAnsi="Times New Roman"/>
          <w:color w:val="222222"/>
          <w:sz w:val="24"/>
          <w:szCs w:val="24"/>
          <w:shd w:val="clear" w:color="auto" w:fill="FFFFFF"/>
        </w:rPr>
        <w:t>supone que se mantiene constante el valor de la cosecha de la soja de la campaña 201</w:t>
      </w:r>
      <w:r w:rsidR="00AE7DAE">
        <w:rPr>
          <w:rFonts w:ascii="Times New Roman" w:hAnsi="Times New Roman"/>
          <w:color w:val="222222"/>
          <w:sz w:val="24"/>
          <w:szCs w:val="24"/>
          <w:shd w:val="clear" w:color="auto" w:fill="FFFFFF"/>
        </w:rPr>
        <w:t>8</w:t>
      </w:r>
      <w:r w:rsidR="002B3002" w:rsidRPr="001E5CE2">
        <w:rPr>
          <w:rFonts w:ascii="Times New Roman" w:hAnsi="Times New Roman"/>
          <w:color w:val="222222"/>
          <w:sz w:val="24"/>
          <w:szCs w:val="24"/>
          <w:shd w:val="clear" w:color="auto" w:fill="FFFFFF"/>
        </w:rPr>
        <w:t>/1</w:t>
      </w:r>
      <w:r w:rsidR="00AE7DAE">
        <w:rPr>
          <w:rFonts w:ascii="Times New Roman" w:hAnsi="Times New Roman"/>
          <w:color w:val="222222"/>
          <w:sz w:val="24"/>
          <w:szCs w:val="24"/>
          <w:shd w:val="clear" w:color="auto" w:fill="FFFFFF"/>
        </w:rPr>
        <w:t>9</w:t>
      </w:r>
      <w:r w:rsidRPr="001E5CE2">
        <w:rPr>
          <w:rFonts w:ascii="Times New Roman" w:hAnsi="Times New Roman"/>
          <w:color w:val="222222"/>
          <w:sz w:val="24"/>
          <w:szCs w:val="24"/>
          <w:shd w:val="clear" w:color="auto" w:fill="FFFFFF"/>
        </w:rPr>
        <w:t>.</w:t>
      </w:r>
      <w:r w:rsidR="00AE7DAE">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 xml:space="preserve">En el primer escenario, se supone una reducción de un 50% de las exportaciones de biodiesel, </w:t>
      </w:r>
      <w:r w:rsidR="00142079">
        <w:rPr>
          <w:rFonts w:ascii="Times New Roman" w:hAnsi="Times New Roman"/>
          <w:color w:val="222222"/>
          <w:sz w:val="24"/>
          <w:szCs w:val="24"/>
          <w:shd w:val="clear" w:color="auto" w:fill="FFFFFF"/>
        </w:rPr>
        <w:t>q</w:t>
      </w:r>
      <w:r w:rsidRPr="001E5CE2">
        <w:rPr>
          <w:rFonts w:ascii="Times New Roman" w:hAnsi="Times New Roman"/>
          <w:color w:val="222222"/>
          <w:sz w:val="24"/>
          <w:szCs w:val="24"/>
          <w:shd w:val="clear" w:color="auto" w:fill="FFFFFF"/>
        </w:rPr>
        <w:t>ue se justifica tras el cierre citado de los mercados, siendo en este caso</w:t>
      </w:r>
      <w:r w:rsidR="008E3BF9" w:rsidRPr="001E5CE2">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la respuesta </w:t>
      </w:r>
      <w:r w:rsidR="00142079">
        <w:rPr>
          <w:rFonts w:ascii="Times New Roman" w:hAnsi="Times New Roman"/>
          <w:color w:val="222222"/>
          <w:sz w:val="24"/>
          <w:szCs w:val="24"/>
          <w:shd w:val="clear" w:color="auto" w:fill="FFFFFF"/>
        </w:rPr>
        <w:t xml:space="preserve">es </w:t>
      </w:r>
      <w:r w:rsidRPr="001E5CE2">
        <w:rPr>
          <w:rFonts w:ascii="Times New Roman" w:hAnsi="Times New Roman"/>
          <w:color w:val="222222"/>
          <w:sz w:val="24"/>
          <w:szCs w:val="24"/>
          <w:shd w:val="clear" w:color="auto" w:fill="FFFFFF"/>
        </w:rPr>
        <w:t>exportar la materia prima</w:t>
      </w:r>
      <w:r w:rsidR="00142079">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el aceite crudo</w:t>
      </w:r>
      <w:r w:rsidR="00142079">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ya que mercados como el de China prometieron comprarnos dicho producto a partir del año 2019</w:t>
      </w:r>
      <w:r w:rsidR="008E3BF9" w:rsidRPr="001E5CE2">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En este escenario, no se plantea cambio</w:t>
      </w:r>
      <w:r w:rsidR="000118D3" w:rsidRPr="001E5CE2">
        <w:rPr>
          <w:rFonts w:ascii="Times New Roman" w:hAnsi="Times New Roman"/>
          <w:color w:val="222222"/>
          <w:sz w:val="24"/>
          <w:szCs w:val="24"/>
          <w:shd w:val="clear" w:color="auto" w:fill="FFFFFF"/>
        </w:rPr>
        <w:t>s</w:t>
      </w:r>
      <w:r w:rsidRPr="001E5CE2">
        <w:rPr>
          <w:rFonts w:ascii="Times New Roman" w:hAnsi="Times New Roman"/>
          <w:color w:val="222222"/>
          <w:sz w:val="24"/>
          <w:szCs w:val="24"/>
          <w:shd w:val="clear" w:color="auto" w:fill="FFFFFF"/>
        </w:rPr>
        <w:t xml:space="preserve"> de</w:t>
      </w:r>
      <w:r w:rsidR="00142079">
        <w:rPr>
          <w:rFonts w:ascii="Times New Roman" w:hAnsi="Times New Roman"/>
          <w:color w:val="222222"/>
          <w:sz w:val="24"/>
          <w:szCs w:val="24"/>
          <w:shd w:val="clear" w:color="auto" w:fill="FFFFFF"/>
        </w:rPr>
        <w:t>l</w:t>
      </w:r>
      <w:r w:rsidRPr="001E5CE2">
        <w:rPr>
          <w:rFonts w:ascii="Times New Roman" w:hAnsi="Times New Roman"/>
          <w:color w:val="222222"/>
          <w:sz w:val="24"/>
          <w:szCs w:val="24"/>
          <w:shd w:val="clear" w:color="auto" w:fill="FFFFFF"/>
        </w:rPr>
        <w:t xml:space="preserve"> cupo ya que</w:t>
      </w:r>
      <w:r w:rsidR="002B3002" w:rsidRPr="001E5CE2">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xml:space="preserve"> por el momento, el gobierno </w:t>
      </w:r>
      <w:r w:rsidR="000118D3" w:rsidRPr="001E5CE2">
        <w:rPr>
          <w:rFonts w:ascii="Times New Roman" w:hAnsi="Times New Roman"/>
          <w:color w:val="222222"/>
          <w:sz w:val="24"/>
          <w:szCs w:val="24"/>
          <w:shd w:val="clear" w:color="auto" w:fill="FFFFFF"/>
        </w:rPr>
        <w:t>actual no proyecta modificarlo.</w:t>
      </w:r>
    </w:p>
    <w:p w14:paraId="30B8443C" w14:textId="45151CEF" w:rsidR="007B00F4" w:rsidRDefault="007B00F4" w:rsidP="001E5CE2">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En el segundo escenario, se supone una reducción de</w:t>
      </w:r>
      <w:r w:rsidR="00142079">
        <w:rPr>
          <w:rFonts w:ascii="Times New Roman" w:hAnsi="Times New Roman"/>
          <w:color w:val="222222"/>
          <w:sz w:val="24"/>
          <w:szCs w:val="24"/>
          <w:shd w:val="clear" w:color="auto" w:fill="FFFFFF"/>
        </w:rPr>
        <w:t>l</w:t>
      </w:r>
      <w:r w:rsidRPr="001E5CE2">
        <w:rPr>
          <w:rFonts w:ascii="Times New Roman" w:hAnsi="Times New Roman"/>
          <w:color w:val="222222"/>
          <w:sz w:val="24"/>
          <w:szCs w:val="24"/>
          <w:shd w:val="clear" w:color="auto" w:fill="FFFFFF"/>
        </w:rPr>
        <w:t xml:space="preserve"> 50% de las exportaciones de biodiesel, </w:t>
      </w:r>
      <w:r w:rsidR="0050712F">
        <w:rPr>
          <w:rFonts w:ascii="Times New Roman" w:hAnsi="Times New Roman"/>
          <w:color w:val="222222"/>
          <w:sz w:val="24"/>
          <w:szCs w:val="24"/>
          <w:shd w:val="clear" w:color="auto" w:fill="FFFFFF"/>
        </w:rPr>
        <w:t>ante esa caída de exportaciones se decide llevar el cupo a B15</w:t>
      </w:r>
      <w:r w:rsidRPr="001E5CE2">
        <w:rPr>
          <w:rFonts w:ascii="Times New Roman" w:hAnsi="Times New Roman"/>
          <w:color w:val="222222"/>
          <w:sz w:val="24"/>
          <w:szCs w:val="24"/>
          <w:shd w:val="clear" w:color="auto" w:fill="FFFFFF"/>
        </w:rPr>
        <w:t xml:space="preserve"> (un cambio de cupo de B10 a B15, que llevaría a incrementar el consumo interno)</w:t>
      </w:r>
      <w:r w:rsidR="00142079">
        <w:rPr>
          <w:rFonts w:ascii="Times New Roman" w:hAnsi="Times New Roman"/>
          <w:color w:val="222222"/>
          <w:sz w:val="24"/>
          <w:szCs w:val="24"/>
          <w:shd w:val="clear" w:color="auto" w:fill="FFFFFF"/>
        </w:rPr>
        <w:t>; se supone</w:t>
      </w:r>
      <w:r w:rsidR="00A81F14">
        <w:rPr>
          <w:rFonts w:ascii="Times New Roman" w:hAnsi="Times New Roman"/>
          <w:color w:val="222222"/>
          <w:sz w:val="24"/>
          <w:szCs w:val="24"/>
          <w:shd w:val="clear" w:color="auto" w:fill="FFFFFF"/>
        </w:rPr>
        <w:t>,</w:t>
      </w:r>
      <w:r w:rsidR="00142079">
        <w:rPr>
          <w:rFonts w:ascii="Times New Roman" w:hAnsi="Times New Roman"/>
          <w:color w:val="222222"/>
          <w:sz w:val="24"/>
          <w:szCs w:val="24"/>
          <w:shd w:val="clear" w:color="auto" w:fill="FFFFFF"/>
        </w:rPr>
        <w:t xml:space="preserve"> además, </w:t>
      </w:r>
      <w:r w:rsidRPr="001E5CE2">
        <w:rPr>
          <w:rFonts w:ascii="Times New Roman" w:hAnsi="Times New Roman"/>
          <w:color w:val="222222"/>
          <w:sz w:val="24"/>
          <w:szCs w:val="24"/>
          <w:shd w:val="clear" w:color="auto" w:fill="FFFFFF"/>
        </w:rPr>
        <w:t>que el consumo de gasoil se mantiene constante respecto a</w:t>
      </w:r>
      <w:r w:rsidR="000118D3" w:rsidRPr="001E5CE2">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l</w:t>
      </w:r>
      <w:r w:rsidR="000118D3" w:rsidRPr="001E5CE2">
        <w:rPr>
          <w:rFonts w:ascii="Times New Roman" w:hAnsi="Times New Roman"/>
          <w:color w:val="222222"/>
          <w:sz w:val="24"/>
          <w:szCs w:val="24"/>
          <w:shd w:val="clear" w:color="auto" w:fill="FFFFFF"/>
        </w:rPr>
        <w:t xml:space="preserve">a campaña </w:t>
      </w:r>
      <w:r w:rsidRPr="001E5CE2">
        <w:rPr>
          <w:rFonts w:ascii="Times New Roman" w:hAnsi="Times New Roman"/>
          <w:color w:val="222222"/>
          <w:sz w:val="24"/>
          <w:szCs w:val="24"/>
          <w:shd w:val="clear" w:color="auto" w:fill="FFFFFF"/>
        </w:rPr>
        <w:t>201</w:t>
      </w:r>
      <w:r w:rsidR="00AE7DAE">
        <w:rPr>
          <w:rFonts w:ascii="Times New Roman" w:hAnsi="Times New Roman"/>
          <w:color w:val="222222"/>
          <w:sz w:val="24"/>
          <w:szCs w:val="24"/>
          <w:shd w:val="clear" w:color="auto" w:fill="FFFFFF"/>
        </w:rPr>
        <w:t>8</w:t>
      </w:r>
      <w:r w:rsidR="000118D3" w:rsidRPr="001E5CE2">
        <w:rPr>
          <w:rFonts w:ascii="Times New Roman" w:hAnsi="Times New Roman"/>
          <w:color w:val="222222"/>
          <w:sz w:val="24"/>
          <w:szCs w:val="24"/>
          <w:shd w:val="clear" w:color="auto" w:fill="FFFFFF"/>
        </w:rPr>
        <w:t>/1</w:t>
      </w:r>
      <w:r w:rsidR="00AE7DAE">
        <w:rPr>
          <w:rFonts w:ascii="Times New Roman" w:hAnsi="Times New Roman"/>
          <w:color w:val="222222"/>
          <w:sz w:val="24"/>
          <w:szCs w:val="24"/>
          <w:shd w:val="clear" w:color="auto" w:fill="FFFFFF"/>
        </w:rPr>
        <w:t>9</w:t>
      </w:r>
      <w:r w:rsidRPr="001E5CE2">
        <w:rPr>
          <w:rFonts w:ascii="Times New Roman" w:hAnsi="Times New Roman"/>
          <w:color w:val="222222"/>
          <w:sz w:val="24"/>
          <w:szCs w:val="24"/>
          <w:shd w:val="clear" w:color="auto" w:fill="FFFFFF"/>
        </w:rPr>
        <w:t xml:space="preserve"> y </w:t>
      </w:r>
      <w:r w:rsidR="00142079">
        <w:rPr>
          <w:rFonts w:ascii="Times New Roman" w:hAnsi="Times New Roman"/>
          <w:color w:val="222222"/>
          <w:sz w:val="24"/>
          <w:szCs w:val="24"/>
          <w:shd w:val="clear" w:color="auto" w:fill="FFFFFF"/>
        </w:rPr>
        <w:t xml:space="preserve">se </w:t>
      </w:r>
      <w:r w:rsidRPr="001E5CE2">
        <w:rPr>
          <w:rFonts w:ascii="Times New Roman" w:hAnsi="Times New Roman"/>
          <w:color w:val="222222"/>
          <w:sz w:val="24"/>
          <w:szCs w:val="24"/>
          <w:shd w:val="clear" w:color="auto" w:fill="FFFFFF"/>
        </w:rPr>
        <w:t>exportar</w:t>
      </w:r>
      <w:r w:rsidR="00142079">
        <w:rPr>
          <w:rFonts w:ascii="Times New Roman" w:hAnsi="Times New Roman"/>
          <w:color w:val="222222"/>
          <w:sz w:val="24"/>
          <w:szCs w:val="24"/>
          <w:shd w:val="clear" w:color="auto" w:fill="FFFFFF"/>
        </w:rPr>
        <w:t>a</w:t>
      </w:r>
      <w:r w:rsidRPr="001E5CE2">
        <w:rPr>
          <w:rFonts w:ascii="Times New Roman" w:hAnsi="Times New Roman"/>
          <w:color w:val="222222"/>
          <w:sz w:val="24"/>
          <w:szCs w:val="24"/>
          <w:shd w:val="clear" w:color="auto" w:fill="FFFFFF"/>
        </w:rPr>
        <w:t xml:space="preserve"> el </w:t>
      </w:r>
      <w:r w:rsidR="00142079">
        <w:rPr>
          <w:rFonts w:ascii="Times New Roman" w:hAnsi="Times New Roman"/>
          <w:color w:val="222222"/>
          <w:sz w:val="24"/>
          <w:szCs w:val="24"/>
          <w:shd w:val="clear" w:color="auto" w:fill="FFFFFF"/>
        </w:rPr>
        <w:t xml:space="preserve">remanente, </w:t>
      </w:r>
      <w:r w:rsidRPr="001E5CE2">
        <w:rPr>
          <w:rFonts w:ascii="Times New Roman" w:hAnsi="Times New Roman"/>
          <w:color w:val="222222"/>
          <w:sz w:val="24"/>
          <w:szCs w:val="24"/>
          <w:shd w:val="clear" w:color="auto" w:fill="FFFFFF"/>
        </w:rPr>
        <w:t xml:space="preserve">como aceite crudo. </w:t>
      </w:r>
      <w:r w:rsidR="002D3916">
        <w:rPr>
          <w:rFonts w:ascii="Times New Roman" w:hAnsi="Times New Roman"/>
          <w:color w:val="222222"/>
          <w:sz w:val="24"/>
          <w:szCs w:val="24"/>
          <w:shd w:val="clear" w:color="auto" w:fill="FFFFFF"/>
        </w:rPr>
        <w:t>La</w:t>
      </w:r>
      <w:r w:rsidRPr="001E5CE2">
        <w:rPr>
          <w:rFonts w:ascii="Times New Roman" w:hAnsi="Times New Roman"/>
          <w:color w:val="222222"/>
          <w:sz w:val="24"/>
          <w:szCs w:val="24"/>
          <w:shd w:val="clear" w:color="auto" w:fill="FFFFFF"/>
        </w:rPr>
        <w:t xml:space="preserve"> posibilidad de cambio de</w:t>
      </w:r>
      <w:r w:rsidR="002D3916">
        <w:rPr>
          <w:rFonts w:ascii="Times New Roman" w:hAnsi="Times New Roman"/>
          <w:color w:val="222222"/>
          <w:sz w:val="24"/>
          <w:szCs w:val="24"/>
          <w:shd w:val="clear" w:color="auto" w:fill="FFFFFF"/>
        </w:rPr>
        <w:t>l</w:t>
      </w:r>
      <w:r w:rsidRPr="001E5CE2">
        <w:rPr>
          <w:rFonts w:ascii="Times New Roman" w:hAnsi="Times New Roman"/>
          <w:color w:val="222222"/>
          <w:sz w:val="24"/>
          <w:szCs w:val="24"/>
          <w:shd w:val="clear" w:color="auto" w:fill="FFFFFF"/>
        </w:rPr>
        <w:t xml:space="preserve"> cupo, </w:t>
      </w:r>
      <w:r w:rsidR="002D3916">
        <w:rPr>
          <w:rFonts w:ascii="Times New Roman" w:hAnsi="Times New Roman"/>
          <w:color w:val="222222"/>
          <w:sz w:val="24"/>
          <w:szCs w:val="24"/>
          <w:shd w:val="clear" w:color="auto" w:fill="FFFFFF"/>
        </w:rPr>
        <w:t xml:space="preserve">se ha considerado en el trabajo debido a que las asociaciones </w:t>
      </w:r>
      <w:r w:rsidRPr="001E5CE2">
        <w:rPr>
          <w:rFonts w:ascii="Times New Roman" w:hAnsi="Times New Roman"/>
          <w:color w:val="222222"/>
          <w:sz w:val="24"/>
          <w:szCs w:val="24"/>
          <w:shd w:val="clear" w:color="auto" w:fill="FFFFFF"/>
        </w:rPr>
        <w:t>que nuclean a los productores del sector solicita</w:t>
      </w:r>
      <w:r w:rsidR="002D3916">
        <w:rPr>
          <w:rFonts w:ascii="Times New Roman" w:hAnsi="Times New Roman"/>
          <w:color w:val="222222"/>
          <w:sz w:val="24"/>
          <w:szCs w:val="24"/>
          <w:shd w:val="clear" w:color="auto" w:fill="FFFFFF"/>
        </w:rPr>
        <w:t xml:space="preserve">ron expresamente al </w:t>
      </w:r>
      <w:r w:rsidRPr="001E5CE2">
        <w:rPr>
          <w:rFonts w:ascii="Times New Roman" w:hAnsi="Times New Roman"/>
          <w:color w:val="222222"/>
          <w:sz w:val="24"/>
          <w:szCs w:val="24"/>
          <w:shd w:val="clear" w:color="auto" w:fill="FFFFFF"/>
        </w:rPr>
        <w:t>gobierno</w:t>
      </w:r>
      <w:r w:rsidR="002D3916">
        <w:rPr>
          <w:rFonts w:ascii="Times New Roman" w:hAnsi="Times New Roman"/>
          <w:color w:val="222222"/>
          <w:sz w:val="24"/>
          <w:szCs w:val="24"/>
          <w:shd w:val="clear" w:color="auto" w:fill="FFFFFF"/>
        </w:rPr>
        <w:t xml:space="preserve"> la aplicación de esa medida</w:t>
      </w:r>
      <w:r w:rsidRPr="001E5CE2">
        <w:rPr>
          <w:rStyle w:val="Refdenotaalpie"/>
          <w:rFonts w:ascii="Times New Roman" w:hAnsi="Times New Roman"/>
          <w:color w:val="222222"/>
          <w:sz w:val="24"/>
          <w:szCs w:val="24"/>
          <w:shd w:val="clear" w:color="auto" w:fill="FFFFFF"/>
        </w:rPr>
        <w:footnoteReference w:id="8"/>
      </w:r>
      <w:r w:rsidRPr="001E5CE2">
        <w:rPr>
          <w:rFonts w:ascii="Times New Roman" w:hAnsi="Times New Roman"/>
          <w:color w:val="222222"/>
          <w:sz w:val="24"/>
          <w:szCs w:val="24"/>
          <w:shd w:val="clear" w:color="auto" w:fill="FFFFFF"/>
        </w:rPr>
        <w:t>.</w:t>
      </w:r>
    </w:p>
    <w:p w14:paraId="723000E3" w14:textId="2C41AD98" w:rsidR="002D3916" w:rsidRPr="001E5CE2" w:rsidRDefault="002D3916" w:rsidP="002D3916">
      <w:p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Según se desprende del Gráfico 11, e</w:t>
      </w:r>
      <w:r w:rsidRPr="001E5CE2">
        <w:rPr>
          <w:rFonts w:ascii="Times New Roman" w:hAnsi="Times New Roman"/>
          <w:color w:val="222222"/>
          <w:sz w:val="24"/>
          <w:szCs w:val="24"/>
          <w:shd w:val="clear" w:color="auto" w:fill="FFFFFF"/>
        </w:rPr>
        <w:t>n el primer escenario, las estimaciones realizadas permiten concluir que, de los 5</w:t>
      </w:r>
      <w:r>
        <w:rPr>
          <w:rFonts w:ascii="Times New Roman" w:hAnsi="Times New Roman"/>
          <w:color w:val="222222"/>
          <w:sz w:val="24"/>
          <w:szCs w:val="24"/>
          <w:shd w:val="clear" w:color="auto" w:fill="FFFFFF"/>
        </w:rPr>
        <w:t>6</w:t>
      </w:r>
      <w:r w:rsidRPr="001E5CE2">
        <w:rPr>
          <w:rFonts w:ascii="Times New Roman" w:hAnsi="Times New Roman"/>
          <w:color w:val="222222"/>
          <w:sz w:val="24"/>
          <w:szCs w:val="24"/>
          <w:shd w:val="clear" w:color="auto" w:fill="FFFFFF"/>
        </w:rPr>
        <w:t xml:space="preserve"> millones de toneladas de poroto de soja producidos,  suponiendo que el </w:t>
      </w:r>
      <w:r>
        <w:rPr>
          <w:rFonts w:ascii="Times New Roman" w:hAnsi="Times New Roman"/>
          <w:color w:val="222222"/>
          <w:sz w:val="24"/>
          <w:szCs w:val="24"/>
          <w:shd w:val="clear" w:color="auto" w:fill="FFFFFF"/>
        </w:rPr>
        <w:t>7</w:t>
      </w:r>
      <w:r w:rsidRPr="001E5CE2">
        <w:rPr>
          <w:rFonts w:ascii="Times New Roman" w:hAnsi="Times New Roman"/>
          <w:color w:val="222222"/>
          <w:sz w:val="24"/>
          <w:szCs w:val="24"/>
          <w:shd w:val="clear" w:color="auto" w:fill="FFFFFF"/>
        </w:rPr>
        <w:t xml:space="preserve">% se exporte sin ingresar al proceso productivo y un </w:t>
      </w:r>
      <w:r>
        <w:rPr>
          <w:rFonts w:ascii="Times New Roman" w:hAnsi="Times New Roman"/>
          <w:color w:val="222222"/>
          <w:sz w:val="24"/>
          <w:szCs w:val="24"/>
          <w:shd w:val="clear" w:color="auto" w:fill="FFFFFF"/>
        </w:rPr>
        <w:t>66</w:t>
      </w:r>
      <w:r w:rsidRPr="001E5CE2">
        <w:rPr>
          <w:rFonts w:ascii="Times New Roman" w:hAnsi="Times New Roman"/>
          <w:color w:val="222222"/>
          <w:sz w:val="24"/>
          <w:szCs w:val="24"/>
          <w:shd w:val="clear" w:color="auto" w:fill="FFFFFF"/>
        </w:rPr>
        <w:t xml:space="preserve">% se destine a </w:t>
      </w:r>
      <w:r>
        <w:rPr>
          <w:rFonts w:ascii="Times New Roman" w:hAnsi="Times New Roman"/>
          <w:color w:val="222222"/>
          <w:sz w:val="24"/>
          <w:szCs w:val="24"/>
          <w:shd w:val="clear" w:color="auto" w:fill="FFFFFF"/>
        </w:rPr>
        <w:t xml:space="preserve">la </w:t>
      </w:r>
      <w:r w:rsidRPr="001E5CE2">
        <w:rPr>
          <w:rFonts w:ascii="Times New Roman" w:hAnsi="Times New Roman"/>
          <w:color w:val="222222"/>
          <w:sz w:val="24"/>
          <w:szCs w:val="24"/>
          <w:shd w:val="clear" w:color="auto" w:fill="FFFFFF"/>
        </w:rPr>
        <w:t xml:space="preserve">molienda para obtener harinas y aceite crudo; de las </w:t>
      </w:r>
      <w:r>
        <w:rPr>
          <w:rFonts w:ascii="Times New Roman" w:hAnsi="Times New Roman"/>
          <w:color w:val="222222"/>
          <w:sz w:val="24"/>
          <w:szCs w:val="24"/>
          <w:shd w:val="clear" w:color="auto" w:fill="FFFFFF"/>
        </w:rPr>
        <w:t>7,21</w:t>
      </w:r>
      <w:r w:rsidRPr="001E5CE2">
        <w:rPr>
          <w:rFonts w:ascii="Times New Roman" w:hAnsi="Times New Roman"/>
          <w:color w:val="222222"/>
          <w:sz w:val="24"/>
          <w:szCs w:val="24"/>
          <w:shd w:val="clear" w:color="auto" w:fill="FFFFFF"/>
        </w:rPr>
        <w:t xml:space="preserve"> millones de toneladas de aceite crudo que pueden obtenerse, </w:t>
      </w:r>
      <w:r>
        <w:rPr>
          <w:rFonts w:ascii="Times New Roman" w:hAnsi="Times New Roman"/>
          <w:color w:val="222222"/>
          <w:sz w:val="24"/>
          <w:szCs w:val="24"/>
          <w:shd w:val="clear" w:color="auto" w:fill="FFFFFF"/>
        </w:rPr>
        <w:t>4</w:t>
      </w:r>
      <w:r w:rsidRPr="001E5CE2">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86</w:t>
      </w:r>
      <w:r w:rsidRPr="001E5CE2">
        <w:rPr>
          <w:rFonts w:ascii="Times New Roman" w:hAnsi="Times New Roman"/>
          <w:color w:val="222222"/>
          <w:sz w:val="24"/>
          <w:szCs w:val="24"/>
          <w:shd w:val="clear" w:color="auto" w:fill="FFFFFF"/>
        </w:rPr>
        <w:t xml:space="preserve"> millones de toneladas se exportarían, y se producirían </w:t>
      </w:r>
      <w:r>
        <w:rPr>
          <w:rFonts w:ascii="Times New Roman" w:hAnsi="Times New Roman"/>
          <w:color w:val="222222"/>
          <w:sz w:val="24"/>
          <w:szCs w:val="24"/>
          <w:shd w:val="clear" w:color="auto" w:fill="FFFFFF"/>
        </w:rPr>
        <w:t>1,79</w:t>
      </w:r>
      <w:r w:rsidRPr="001E5CE2">
        <w:rPr>
          <w:rFonts w:ascii="Times New Roman" w:hAnsi="Times New Roman"/>
          <w:color w:val="222222"/>
          <w:sz w:val="24"/>
          <w:szCs w:val="24"/>
          <w:shd w:val="clear" w:color="auto" w:fill="FFFFFF"/>
        </w:rPr>
        <w:t xml:space="preserve"> millones de toneladas de biodiesel (</w:t>
      </w:r>
      <w:r>
        <w:rPr>
          <w:rFonts w:ascii="Times New Roman" w:hAnsi="Times New Roman"/>
          <w:color w:val="222222"/>
          <w:sz w:val="24"/>
          <w:szCs w:val="24"/>
          <w:shd w:val="clear" w:color="auto" w:fill="FFFFFF"/>
        </w:rPr>
        <w:t xml:space="preserve">lo que lleva a un </w:t>
      </w:r>
      <w:r w:rsidRPr="001E5CE2">
        <w:rPr>
          <w:rFonts w:ascii="Times New Roman" w:hAnsi="Times New Roman"/>
          <w:color w:val="222222"/>
          <w:sz w:val="24"/>
          <w:szCs w:val="24"/>
          <w:shd w:val="clear" w:color="auto" w:fill="FFFFFF"/>
        </w:rPr>
        <w:t>increment</w:t>
      </w:r>
      <w:r>
        <w:rPr>
          <w:rFonts w:ascii="Times New Roman" w:hAnsi="Times New Roman"/>
          <w:color w:val="222222"/>
          <w:sz w:val="24"/>
          <w:szCs w:val="24"/>
          <w:shd w:val="clear" w:color="auto" w:fill="FFFFFF"/>
        </w:rPr>
        <w:t>o de</w:t>
      </w:r>
      <w:r w:rsidRPr="001E5CE2">
        <w:rPr>
          <w:rFonts w:ascii="Times New Roman" w:hAnsi="Times New Roman"/>
          <w:color w:val="222222"/>
          <w:sz w:val="24"/>
          <w:szCs w:val="24"/>
          <w:shd w:val="clear" w:color="auto" w:fill="FFFFFF"/>
        </w:rPr>
        <w:t xml:space="preserve"> la capacidad ociosa de esa industria a un 54,</w:t>
      </w:r>
      <w:r>
        <w:rPr>
          <w:rFonts w:ascii="Times New Roman" w:hAnsi="Times New Roman"/>
          <w:color w:val="222222"/>
          <w:sz w:val="24"/>
          <w:szCs w:val="24"/>
          <w:shd w:val="clear" w:color="auto" w:fill="FFFFFF"/>
        </w:rPr>
        <w:t>6</w:t>
      </w:r>
      <w:r w:rsidRPr="001E5CE2">
        <w:rPr>
          <w:rFonts w:ascii="Times New Roman" w:hAnsi="Times New Roman"/>
          <w:color w:val="222222"/>
          <w:sz w:val="24"/>
          <w:szCs w:val="24"/>
          <w:shd w:val="clear" w:color="auto" w:fill="FFFFFF"/>
        </w:rPr>
        <w:t>%</w:t>
      </w:r>
      <w:r w:rsidR="00DF437B">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 Al no modificarse el cupo, y suponer que se mantiene constante el consumo de gasoil, el consumo interno sigue siendo en este escenario de 1,</w:t>
      </w:r>
      <w:r>
        <w:rPr>
          <w:rFonts w:ascii="Times New Roman" w:hAnsi="Times New Roman"/>
          <w:color w:val="222222"/>
          <w:sz w:val="24"/>
          <w:szCs w:val="24"/>
          <w:shd w:val="clear" w:color="auto" w:fill="FFFFFF"/>
        </w:rPr>
        <w:t>09</w:t>
      </w:r>
      <w:r w:rsidRPr="001E5CE2">
        <w:rPr>
          <w:rFonts w:ascii="Times New Roman" w:hAnsi="Times New Roman"/>
          <w:color w:val="222222"/>
          <w:sz w:val="24"/>
          <w:szCs w:val="24"/>
          <w:shd w:val="clear" w:color="auto" w:fill="FFFFFF"/>
        </w:rPr>
        <w:t xml:space="preserve"> millones de toneladas de biodiesel.</w:t>
      </w:r>
    </w:p>
    <w:p w14:paraId="3E8E3FBD" w14:textId="77777777" w:rsidR="002D3916" w:rsidRDefault="002D3916" w:rsidP="001E5CE2">
      <w:pPr>
        <w:spacing w:after="0" w:line="360" w:lineRule="auto"/>
        <w:jc w:val="both"/>
        <w:rPr>
          <w:rFonts w:ascii="Times New Roman" w:hAnsi="Times New Roman"/>
          <w:color w:val="222222"/>
          <w:sz w:val="24"/>
          <w:szCs w:val="24"/>
          <w:shd w:val="clear" w:color="auto" w:fill="FFFFFF"/>
        </w:rPr>
      </w:pPr>
    </w:p>
    <w:p w14:paraId="32E62BAB" w14:textId="4BE55844" w:rsidR="007B00F4" w:rsidRPr="001E5CE2" w:rsidRDefault="00D2624D" w:rsidP="001E5CE2">
      <w:pPr>
        <w:spacing w:after="0" w:line="360" w:lineRule="auto"/>
        <w:jc w:val="center"/>
        <w:rPr>
          <w:rFonts w:ascii="Times New Roman" w:hAnsi="Times New Roman"/>
          <w:b/>
          <w:sz w:val="24"/>
          <w:szCs w:val="24"/>
          <w:u w:val="single"/>
        </w:rPr>
      </w:pPr>
      <w:r w:rsidRPr="002D3916">
        <w:rPr>
          <w:rFonts w:ascii="Times New Roman" w:eastAsia="Times New Roman" w:hAnsi="Times New Roman"/>
          <w:color w:val="000000"/>
          <w:sz w:val="24"/>
          <w:szCs w:val="24"/>
          <w:lang w:eastAsia="es-ES"/>
        </w:rPr>
        <w:lastRenderedPageBreak/>
        <w:t xml:space="preserve">Gráfico </w:t>
      </w:r>
      <w:r w:rsidR="002D3916" w:rsidRPr="002D3916">
        <w:rPr>
          <w:rFonts w:ascii="Times New Roman" w:eastAsia="Times New Roman" w:hAnsi="Times New Roman"/>
          <w:color w:val="000000"/>
          <w:sz w:val="24"/>
          <w:szCs w:val="24"/>
          <w:lang w:eastAsia="es-ES"/>
        </w:rPr>
        <w:t>11</w:t>
      </w:r>
      <w:r w:rsidRPr="001E5CE2">
        <w:rPr>
          <w:rFonts w:ascii="Times New Roman" w:eastAsia="Times New Roman" w:hAnsi="Times New Roman"/>
          <w:color w:val="000000"/>
          <w:sz w:val="24"/>
          <w:szCs w:val="24"/>
          <w:lang w:eastAsia="es-ES"/>
        </w:rPr>
        <w:t>: F</w:t>
      </w:r>
      <w:r w:rsidRPr="001E5CE2">
        <w:rPr>
          <w:rFonts w:ascii="Times New Roman" w:hAnsi="Times New Roman"/>
          <w:color w:val="222222"/>
          <w:sz w:val="24"/>
          <w:szCs w:val="24"/>
          <w:shd w:val="clear" w:color="auto" w:fill="FFFFFF"/>
        </w:rPr>
        <w:t xml:space="preserve">lujograma de la cadena de la soja, en millones de </w:t>
      </w:r>
      <w:proofErr w:type="spellStart"/>
      <w:r w:rsidRPr="001E5CE2">
        <w:rPr>
          <w:rFonts w:ascii="Times New Roman" w:hAnsi="Times New Roman"/>
          <w:color w:val="222222"/>
          <w:sz w:val="24"/>
          <w:szCs w:val="24"/>
          <w:shd w:val="clear" w:color="auto" w:fill="FFFFFF"/>
        </w:rPr>
        <w:t>tn</w:t>
      </w:r>
      <w:proofErr w:type="spellEnd"/>
      <w:r w:rsidR="004F23FB" w:rsidRPr="001E5CE2">
        <w:rPr>
          <w:rFonts w:ascii="Times New Roman" w:hAnsi="Times New Roman"/>
          <w:color w:val="222222"/>
          <w:sz w:val="24"/>
          <w:szCs w:val="24"/>
          <w:shd w:val="clear" w:color="auto" w:fill="FFFFFF"/>
        </w:rPr>
        <w:t xml:space="preserve">. </w:t>
      </w:r>
      <w:r w:rsidR="007B00F4" w:rsidRPr="001E5CE2">
        <w:rPr>
          <w:rFonts w:ascii="Times New Roman" w:hAnsi="Times New Roman"/>
          <w:sz w:val="24"/>
          <w:szCs w:val="24"/>
        </w:rPr>
        <w:t>Escenario 1</w:t>
      </w:r>
    </w:p>
    <w:p w14:paraId="4326198F" w14:textId="28B227F4" w:rsidR="008563D4" w:rsidRPr="001E5CE2" w:rsidRDefault="0064667B" w:rsidP="00A403E5">
      <w:pPr>
        <w:spacing w:after="0" w:line="360" w:lineRule="auto"/>
        <w:jc w:val="center"/>
        <w:rPr>
          <w:rFonts w:ascii="Times New Roman" w:hAnsi="Times New Roman"/>
          <w:b/>
          <w:sz w:val="24"/>
          <w:szCs w:val="24"/>
          <w:u w:val="single"/>
        </w:rPr>
      </w:pPr>
      <w:r w:rsidRPr="0064667B">
        <w:rPr>
          <w:noProof/>
          <w:lang w:eastAsia="es-AR"/>
        </w:rPr>
        <w:drawing>
          <wp:inline distT="0" distB="0" distL="0" distR="0" wp14:anchorId="7E8F2335" wp14:editId="003BBC10">
            <wp:extent cx="5124450" cy="3668695"/>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7775" cy="3671076"/>
                    </a:xfrm>
                    <a:prstGeom prst="rect">
                      <a:avLst/>
                    </a:prstGeom>
                    <a:noFill/>
                    <a:ln>
                      <a:noFill/>
                    </a:ln>
                  </pic:spPr>
                </pic:pic>
              </a:graphicData>
            </a:graphic>
          </wp:inline>
        </w:drawing>
      </w:r>
    </w:p>
    <w:p w14:paraId="214578B4" w14:textId="235F9F55" w:rsidR="0064667B" w:rsidRDefault="0064667B" w:rsidP="0064667B">
      <w:pPr>
        <w:spacing w:after="0" w:line="360" w:lineRule="auto"/>
        <w:jc w:val="center"/>
        <w:rPr>
          <w:rFonts w:ascii="Times New Roman" w:hAnsi="Times New Roman"/>
          <w:i/>
          <w:color w:val="222222"/>
          <w:sz w:val="18"/>
          <w:szCs w:val="24"/>
          <w:shd w:val="clear" w:color="auto" w:fill="FFFFFF"/>
        </w:rPr>
      </w:pPr>
      <w:r w:rsidRPr="0064667B">
        <w:rPr>
          <w:rFonts w:ascii="Times New Roman" w:hAnsi="Times New Roman"/>
          <w:i/>
          <w:color w:val="222222"/>
          <w:sz w:val="18"/>
          <w:szCs w:val="24"/>
          <w:shd w:val="clear" w:color="auto" w:fill="FFFFFF"/>
        </w:rPr>
        <w:t>Fuente: Elaboración propia en base a datos de la Cámara de la Industria Aceitera de la República Argentina (CIARA) el Instituto Nacional de Estadística y Censos (INDEC), Secretaría de Energía de la Nación, Asociación Argentina de Biocombustibles e Hidrógeno (ABH), Ministerio de Agricultura, Ganadería y Pesca de la Nación.</w:t>
      </w:r>
    </w:p>
    <w:p w14:paraId="4E585143" w14:textId="7C178FE5" w:rsidR="002D3916" w:rsidRDefault="002D3916" w:rsidP="002D3916">
      <w:pPr>
        <w:spacing w:after="0" w:line="360" w:lineRule="auto"/>
        <w:jc w:val="both"/>
        <w:rPr>
          <w:rFonts w:ascii="Times New Roman" w:hAnsi="Times New Roman"/>
          <w:color w:val="222222"/>
          <w:sz w:val="24"/>
          <w:szCs w:val="24"/>
          <w:shd w:val="clear" w:color="auto" w:fill="FFFFFF"/>
        </w:rPr>
      </w:pPr>
      <w:r w:rsidRPr="001E5CE2">
        <w:rPr>
          <w:rFonts w:ascii="Times New Roman" w:hAnsi="Times New Roman"/>
          <w:color w:val="222222"/>
          <w:sz w:val="24"/>
          <w:szCs w:val="24"/>
          <w:shd w:val="clear" w:color="auto" w:fill="FFFFFF"/>
        </w:rPr>
        <w:t xml:space="preserve">Para el </w:t>
      </w:r>
      <w:r w:rsidR="00B733AD">
        <w:rPr>
          <w:rFonts w:ascii="Times New Roman" w:hAnsi="Times New Roman"/>
          <w:color w:val="222222"/>
          <w:sz w:val="24"/>
          <w:szCs w:val="24"/>
          <w:shd w:val="clear" w:color="auto" w:fill="FFFFFF"/>
        </w:rPr>
        <w:t>E</w:t>
      </w:r>
      <w:r w:rsidRPr="001E5CE2">
        <w:rPr>
          <w:rFonts w:ascii="Times New Roman" w:hAnsi="Times New Roman"/>
          <w:color w:val="222222"/>
          <w:sz w:val="24"/>
          <w:szCs w:val="24"/>
          <w:shd w:val="clear" w:color="auto" w:fill="FFFFFF"/>
        </w:rPr>
        <w:t xml:space="preserve">scenario </w:t>
      </w:r>
      <w:r w:rsidR="00B733AD">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 xml:space="preserve"> (véase Gráfico 12)</w:t>
      </w:r>
      <w:r w:rsidRPr="001E5CE2">
        <w:rPr>
          <w:rFonts w:ascii="Times New Roman" w:hAnsi="Times New Roman"/>
          <w:color w:val="222222"/>
          <w:sz w:val="24"/>
          <w:szCs w:val="24"/>
          <w:shd w:val="clear" w:color="auto" w:fill="FFFFFF"/>
        </w:rPr>
        <w:t>, de los 5</w:t>
      </w:r>
      <w:r>
        <w:rPr>
          <w:rFonts w:ascii="Times New Roman" w:hAnsi="Times New Roman"/>
          <w:color w:val="222222"/>
          <w:sz w:val="24"/>
          <w:szCs w:val="24"/>
          <w:shd w:val="clear" w:color="auto" w:fill="FFFFFF"/>
        </w:rPr>
        <w:t>6</w:t>
      </w:r>
      <w:r w:rsidRPr="001E5CE2">
        <w:rPr>
          <w:rFonts w:ascii="Times New Roman" w:hAnsi="Times New Roman"/>
          <w:color w:val="222222"/>
          <w:sz w:val="24"/>
          <w:szCs w:val="24"/>
          <w:shd w:val="clear" w:color="auto" w:fill="FFFFFF"/>
        </w:rPr>
        <w:t xml:space="preserve"> millones de toneladas de poroto de soja, manteniendo nuevamente una exportación del </w:t>
      </w:r>
      <w:r>
        <w:rPr>
          <w:rFonts w:ascii="Times New Roman" w:hAnsi="Times New Roman"/>
          <w:color w:val="222222"/>
          <w:sz w:val="24"/>
          <w:szCs w:val="24"/>
          <w:shd w:val="clear" w:color="auto" w:fill="FFFFFF"/>
        </w:rPr>
        <w:t>7</w:t>
      </w:r>
      <w:r w:rsidRPr="001E5CE2">
        <w:rPr>
          <w:rFonts w:ascii="Times New Roman" w:hAnsi="Times New Roman"/>
          <w:color w:val="222222"/>
          <w:sz w:val="24"/>
          <w:szCs w:val="24"/>
          <w:shd w:val="clear" w:color="auto" w:fill="FFFFFF"/>
        </w:rPr>
        <w:t xml:space="preserve">% y un </w:t>
      </w:r>
      <w:r>
        <w:rPr>
          <w:rFonts w:ascii="Times New Roman" w:hAnsi="Times New Roman"/>
          <w:color w:val="222222"/>
          <w:sz w:val="24"/>
          <w:szCs w:val="24"/>
          <w:shd w:val="clear" w:color="auto" w:fill="FFFFFF"/>
        </w:rPr>
        <w:t>66</w:t>
      </w:r>
      <w:r w:rsidRPr="001E5CE2">
        <w:rPr>
          <w:rFonts w:ascii="Times New Roman" w:hAnsi="Times New Roman"/>
          <w:color w:val="222222"/>
          <w:sz w:val="24"/>
          <w:szCs w:val="24"/>
          <w:shd w:val="clear" w:color="auto" w:fill="FFFFFF"/>
        </w:rPr>
        <w:t>% para molienda; con el incremento del cupo de B10 a B15, se estima que el resultado produciría un aumento del consumo interno de biodiesel de 1,</w:t>
      </w:r>
      <w:r>
        <w:rPr>
          <w:rFonts w:ascii="Times New Roman" w:hAnsi="Times New Roman"/>
          <w:color w:val="222222"/>
          <w:sz w:val="24"/>
          <w:szCs w:val="24"/>
          <w:shd w:val="clear" w:color="auto" w:fill="FFFFFF"/>
        </w:rPr>
        <w:t>09</w:t>
      </w:r>
      <w:r w:rsidRPr="001E5CE2">
        <w:rPr>
          <w:rFonts w:ascii="Times New Roman" w:hAnsi="Times New Roman"/>
          <w:color w:val="222222"/>
          <w:sz w:val="24"/>
          <w:szCs w:val="24"/>
          <w:shd w:val="clear" w:color="auto" w:fill="FFFFFF"/>
        </w:rPr>
        <w:t xml:space="preserve"> millones de toneladas a 1,</w:t>
      </w:r>
      <w:r>
        <w:rPr>
          <w:rFonts w:ascii="Times New Roman" w:hAnsi="Times New Roman"/>
          <w:color w:val="222222"/>
          <w:sz w:val="24"/>
          <w:szCs w:val="24"/>
          <w:shd w:val="clear" w:color="auto" w:fill="FFFFFF"/>
        </w:rPr>
        <w:t>63</w:t>
      </w:r>
      <w:r w:rsidRPr="001E5CE2">
        <w:rPr>
          <w:rFonts w:ascii="Times New Roman" w:hAnsi="Times New Roman"/>
          <w:color w:val="222222"/>
          <w:sz w:val="24"/>
          <w:szCs w:val="24"/>
          <w:shd w:val="clear" w:color="auto" w:fill="FFFFFF"/>
        </w:rPr>
        <w:t>5 millones de toneladas (suponiendo constante el consumo de gasoil). De esta manera, la producción se vería disminuida a 2,</w:t>
      </w:r>
      <w:r>
        <w:rPr>
          <w:rFonts w:ascii="Times New Roman" w:hAnsi="Times New Roman"/>
          <w:color w:val="222222"/>
          <w:sz w:val="24"/>
          <w:szCs w:val="24"/>
          <w:shd w:val="clear" w:color="auto" w:fill="FFFFFF"/>
        </w:rPr>
        <w:t>34</w:t>
      </w:r>
      <w:r w:rsidRPr="001E5CE2">
        <w:rPr>
          <w:rFonts w:ascii="Times New Roman" w:hAnsi="Times New Roman"/>
          <w:color w:val="222222"/>
          <w:sz w:val="24"/>
          <w:szCs w:val="24"/>
          <w:shd w:val="clear" w:color="auto" w:fill="FFFFFF"/>
        </w:rPr>
        <w:t xml:space="preserve"> millones de toneladas (recordando que en el caso original la producción era de 2,</w:t>
      </w:r>
      <w:r>
        <w:rPr>
          <w:rFonts w:ascii="Times New Roman" w:hAnsi="Times New Roman"/>
          <w:color w:val="222222"/>
          <w:sz w:val="24"/>
          <w:szCs w:val="24"/>
          <w:shd w:val="clear" w:color="auto" w:fill="FFFFFF"/>
        </w:rPr>
        <w:t>43</w:t>
      </w:r>
      <w:r w:rsidRPr="001E5CE2">
        <w:rPr>
          <w:rFonts w:ascii="Times New Roman" w:hAnsi="Times New Roman"/>
          <w:color w:val="222222"/>
          <w:sz w:val="24"/>
          <w:szCs w:val="24"/>
          <w:shd w:val="clear" w:color="auto" w:fill="FFFFFF"/>
        </w:rPr>
        <w:t xml:space="preserve"> millones de toneladas), </w:t>
      </w:r>
      <w:r>
        <w:rPr>
          <w:rFonts w:ascii="Times New Roman" w:hAnsi="Times New Roman"/>
          <w:color w:val="222222"/>
          <w:sz w:val="24"/>
          <w:szCs w:val="24"/>
          <w:shd w:val="clear" w:color="auto" w:fill="FFFFFF"/>
        </w:rPr>
        <w:t>disminuyendo</w:t>
      </w:r>
      <w:r w:rsidRPr="001E5CE2">
        <w:rPr>
          <w:rFonts w:ascii="Times New Roman" w:hAnsi="Times New Roman"/>
          <w:color w:val="222222"/>
          <w:sz w:val="24"/>
          <w:szCs w:val="24"/>
          <w:shd w:val="clear" w:color="auto" w:fill="FFFFFF"/>
        </w:rPr>
        <w:t xml:space="preserve"> la capacidad ociosa</w:t>
      </w:r>
      <w:r>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 xml:space="preserve">respecto del escenario base </w:t>
      </w:r>
      <w:r>
        <w:rPr>
          <w:rFonts w:ascii="Times New Roman" w:hAnsi="Times New Roman"/>
          <w:color w:val="222222"/>
          <w:sz w:val="24"/>
          <w:szCs w:val="24"/>
          <w:shd w:val="clear" w:color="auto" w:fill="FFFFFF"/>
        </w:rPr>
        <w:t>al 40,45% (que a su vez resulta menor a la resultante de</w:t>
      </w:r>
      <w:r w:rsidRPr="001E5CE2">
        <w:rPr>
          <w:rFonts w:ascii="Times New Roman" w:hAnsi="Times New Roman"/>
          <w:color w:val="222222"/>
          <w:sz w:val="24"/>
          <w:szCs w:val="24"/>
          <w:shd w:val="clear" w:color="auto" w:fill="FFFFFF"/>
        </w:rPr>
        <w:t xml:space="preserve"> capacidad ociosa del escenario 1</w:t>
      </w:r>
      <w:r>
        <w:rPr>
          <w:rFonts w:ascii="Times New Roman" w:hAnsi="Times New Roman"/>
          <w:color w:val="222222"/>
          <w:sz w:val="24"/>
          <w:szCs w:val="24"/>
          <w:shd w:val="clear" w:color="auto" w:fill="FFFFFF"/>
        </w:rPr>
        <w:t>)</w:t>
      </w:r>
      <w:r w:rsidRPr="001E5CE2">
        <w:rPr>
          <w:rFonts w:ascii="Times New Roman" w:hAnsi="Times New Roman"/>
          <w:color w:val="222222"/>
          <w:sz w:val="24"/>
          <w:szCs w:val="24"/>
          <w:shd w:val="clear" w:color="auto" w:fill="FFFFFF"/>
        </w:rPr>
        <w:t>.</w:t>
      </w:r>
      <w:r w:rsidR="00B733AD">
        <w:rPr>
          <w:rFonts w:ascii="Times New Roman" w:hAnsi="Times New Roman"/>
          <w:color w:val="222222"/>
          <w:sz w:val="24"/>
          <w:szCs w:val="24"/>
          <w:shd w:val="clear" w:color="auto" w:fill="FFFFFF"/>
        </w:rPr>
        <w:t xml:space="preserve"> </w:t>
      </w:r>
      <w:r w:rsidRPr="001E5CE2">
        <w:rPr>
          <w:rFonts w:ascii="Times New Roman" w:hAnsi="Times New Roman"/>
          <w:color w:val="222222"/>
          <w:sz w:val="24"/>
          <w:szCs w:val="24"/>
          <w:shd w:val="clear" w:color="auto" w:fill="FFFFFF"/>
        </w:rPr>
        <w:t>Las exportaciones de aceite pasarían de 4,</w:t>
      </w:r>
      <w:r>
        <w:rPr>
          <w:rFonts w:ascii="Times New Roman" w:hAnsi="Times New Roman"/>
          <w:color w:val="222222"/>
          <w:sz w:val="24"/>
          <w:szCs w:val="24"/>
          <w:shd w:val="clear" w:color="auto" w:fill="FFFFFF"/>
        </w:rPr>
        <w:t>16</w:t>
      </w:r>
      <w:r w:rsidRPr="001E5CE2">
        <w:rPr>
          <w:rFonts w:ascii="Times New Roman" w:hAnsi="Times New Roman"/>
          <w:color w:val="222222"/>
          <w:sz w:val="24"/>
          <w:szCs w:val="24"/>
          <w:shd w:val="clear" w:color="auto" w:fill="FFFFFF"/>
        </w:rPr>
        <w:t xml:space="preserve"> millones de toneladas para el caso base a </w:t>
      </w:r>
      <w:r>
        <w:rPr>
          <w:rFonts w:ascii="Times New Roman" w:hAnsi="Times New Roman"/>
          <w:color w:val="222222"/>
          <w:sz w:val="24"/>
          <w:szCs w:val="24"/>
          <w:shd w:val="clear" w:color="auto" w:fill="FFFFFF"/>
        </w:rPr>
        <w:t>4</w:t>
      </w:r>
      <w:r w:rsidRPr="001E5CE2">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32</w:t>
      </w:r>
      <w:r w:rsidRPr="001E5CE2">
        <w:rPr>
          <w:rFonts w:ascii="Times New Roman" w:hAnsi="Times New Roman"/>
          <w:color w:val="222222"/>
          <w:sz w:val="24"/>
          <w:szCs w:val="24"/>
          <w:shd w:val="clear" w:color="auto" w:fill="FFFFFF"/>
        </w:rPr>
        <w:t xml:space="preserve"> millones de toneladas en este escenario</w:t>
      </w:r>
      <w:r w:rsidR="008F22A3">
        <w:rPr>
          <w:rFonts w:ascii="Times New Roman" w:hAnsi="Times New Roman"/>
          <w:color w:val="222222"/>
          <w:sz w:val="24"/>
          <w:szCs w:val="24"/>
          <w:shd w:val="clear" w:color="auto" w:fill="FFFFFF"/>
        </w:rPr>
        <w:t xml:space="preserve">. Así, se utilizaría </w:t>
      </w:r>
      <w:r w:rsidRPr="001E5CE2">
        <w:rPr>
          <w:rFonts w:ascii="Times New Roman" w:hAnsi="Times New Roman"/>
          <w:color w:val="222222"/>
          <w:sz w:val="24"/>
          <w:szCs w:val="24"/>
          <w:shd w:val="clear" w:color="auto" w:fill="FFFFFF"/>
        </w:rPr>
        <w:t xml:space="preserve">la materia prima </w:t>
      </w:r>
      <w:r w:rsidR="008F22A3">
        <w:rPr>
          <w:rFonts w:ascii="Times New Roman" w:hAnsi="Times New Roman"/>
          <w:color w:val="222222"/>
          <w:sz w:val="24"/>
          <w:szCs w:val="24"/>
          <w:shd w:val="clear" w:color="auto" w:fill="FFFFFF"/>
        </w:rPr>
        <w:t>para la producción de la cadena y</w:t>
      </w:r>
      <w:r w:rsidRPr="001E5CE2">
        <w:rPr>
          <w:rFonts w:ascii="Times New Roman" w:hAnsi="Times New Roman"/>
          <w:color w:val="222222"/>
          <w:sz w:val="24"/>
          <w:szCs w:val="24"/>
          <w:shd w:val="clear" w:color="auto" w:fill="FFFFFF"/>
        </w:rPr>
        <w:t xml:space="preserve"> satisfacer la demanda interna</w:t>
      </w:r>
      <w:r w:rsidR="008F22A3">
        <w:rPr>
          <w:rFonts w:ascii="Times New Roman" w:hAnsi="Times New Roman"/>
          <w:color w:val="222222"/>
          <w:sz w:val="24"/>
          <w:szCs w:val="24"/>
          <w:shd w:val="clear" w:color="auto" w:fill="FFFFFF"/>
        </w:rPr>
        <w:t xml:space="preserve"> (de biodiesel) y el resto, se</w:t>
      </w:r>
      <w:r w:rsidRPr="001E5CE2">
        <w:rPr>
          <w:rFonts w:ascii="Times New Roman" w:hAnsi="Times New Roman"/>
          <w:color w:val="222222"/>
          <w:sz w:val="24"/>
          <w:szCs w:val="24"/>
          <w:shd w:val="clear" w:color="auto" w:fill="FFFFFF"/>
        </w:rPr>
        <w:t xml:space="preserve"> exportar</w:t>
      </w:r>
      <w:r w:rsidR="008F22A3">
        <w:rPr>
          <w:rFonts w:ascii="Times New Roman" w:hAnsi="Times New Roman"/>
          <w:color w:val="222222"/>
          <w:sz w:val="24"/>
          <w:szCs w:val="24"/>
          <w:shd w:val="clear" w:color="auto" w:fill="FFFFFF"/>
        </w:rPr>
        <w:t xml:space="preserve">ía </w:t>
      </w:r>
      <w:r w:rsidRPr="001E5CE2">
        <w:rPr>
          <w:rFonts w:ascii="Times New Roman" w:hAnsi="Times New Roman"/>
          <w:color w:val="222222"/>
          <w:sz w:val="24"/>
          <w:szCs w:val="24"/>
          <w:shd w:val="clear" w:color="auto" w:fill="FFFFFF"/>
        </w:rPr>
        <w:t>como tal.</w:t>
      </w:r>
      <w:r w:rsidR="00B733AD">
        <w:rPr>
          <w:rFonts w:ascii="Times New Roman" w:hAnsi="Times New Roman"/>
          <w:color w:val="222222"/>
          <w:sz w:val="24"/>
          <w:szCs w:val="24"/>
          <w:shd w:val="clear" w:color="auto" w:fill="FFFFFF"/>
        </w:rPr>
        <w:t xml:space="preserve"> En todos los casos, </w:t>
      </w:r>
      <w:r w:rsidRPr="001E5CE2">
        <w:rPr>
          <w:rFonts w:ascii="Times New Roman" w:hAnsi="Times New Roman"/>
          <w:color w:val="222222"/>
          <w:sz w:val="24"/>
          <w:szCs w:val="24"/>
          <w:shd w:val="clear" w:color="auto" w:fill="FFFFFF"/>
        </w:rPr>
        <w:t>los aumentos de las exportaciones de aceite crudo, no superan la capacidad instalada</w:t>
      </w:r>
      <w:r w:rsidR="00B733AD">
        <w:rPr>
          <w:rFonts w:ascii="Times New Roman" w:hAnsi="Times New Roman"/>
          <w:color w:val="222222"/>
          <w:sz w:val="24"/>
          <w:szCs w:val="24"/>
          <w:shd w:val="clear" w:color="auto" w:fill="FFFFFF"/>
        </w:rPr>
        <w:t>.</w:t>
      </w:r>
    </w:p>
    <w:p w14:paraId="52C76CDB" w14:textId="77777777" w:rsidR="008F22A3" w:rsidRPr="001E5CE2" w:rsidRDefault="008F22A3" w:rsidP="002D3916">
      <w:pPr>
        <w:spacing w:after="0" w:line="360" w:lineRule="auto"/>
        <w:jc w:val="both"/>
        <w:rPr>
          <w:rFonts w:ascii="Times New Roman" w:hAnsi="Times New Roman"/>
          <w:color w:val="222222"/>
          <w:sz w:val="24"/>
          <w:szCs w:val="24"/>
          <w:shd w:val="clear" w:color="auto" w:fill="FFFFFF"/>
        </w:rPr>
      </w:pPr>
    </w:p>
    <w:p w14:paraId="2E72BC47" w14:textId="77777777" w:rsidR="00B733AD" w:rsidRPr="001E5CE2" w:rsidRDefault="00B733AD" w:rsidP="00B733AD">
      <w:pPr>
        <w:spacing w:after="0" w:line="360" w:lineRule="auto"/>
        <w:jc w:val="both"/>
        <w:rPr>
          <w:rFonts w:ascii="Times New Roman" w:hAnsi="Times New Roman"/>
          <w:b/>
          <w:sz w:val="24"/>
          <w:szCs w:val="24"/>
        </w:rPr>
      </w:pPr>
      <w:r>
        <w:rPr>
          <w:rFonts w:ascii="Times New Roman" w:hAnsi="Times New Roman"/>
          <w:b/>
          <w:sz w:val="24"/>
          <w:szCs w:val="24"/>
        </w:rPr>
        <w:t xml:space="preserve">6. </w:t>
      </w:r>
      <w:r w:rsidRPr="001E5CE2">
        <w:rPr>
          <w:rFonts w:ascii="Times New Roman" w:hAnsi="Times New Roman"/>
          <w:b/>
          <w:sz w:val="24"/>
          <w:szCs w:val="24"/>
        </w:rPr>
        <w:t>Conclusiones</w:t>
      </w:r>
    </w:p>
    <w:p w14:paraId="02ADC13E" w14:textId="77777777" w:rsidR="00B733AD" w:rsidRPr="001E5CE2" w:rsidRDefault="00B733AD" w:rsidP="00B733AD">
      <w:pPr>
        <w:spacing w:after="0" w:line="360" w:lineRule="auto"/>
        <w:jc w:val="both"/>
        <w:rPr>
          <w:rFonts w:ascii="Times New Roman" w:hAnsi="Times New Roman"/>
          <w:color w:val="222222"/>
          <w:sz w:val="24"/>
          <w:szCs w:val="24"/>
          <w:shd w:val="clear" w:color="auto" w:fill="FFFFFF"/>
          <w:lang w:val="es-ES"/>
        </w:rPr>
      </w:pPr>
      <w:r w:rsidRPr="001E5CE2">
        <w:rPr>
          <w:rFonts w:ascii="Times New Roman" w:hAnsi="Times New Roman"/>
          <w:color w:val="222222"/>
          <w:sz w:val="24"/>
          <w:szCs w:val="24"/>
          <w:shd w:val="clear" w:color="auto" w:fill="FFFFFF"/>
          <w:lang w:val="es-ES"/>
        </w:rPr>
        <w:t xml:space="preserve">Según se analizó en el trabajo, </w:t>
      </w:r>
      <w:r>
        <w:rPr>
          <w:rFonts w:ascii="Times New Roman" w:hAnsi="Times New Roman"/>
          <w:color w:val="222222"/>
          <w:sz w:val="24"/>
          <w:szCs w:val="24"/>
          <w:shd w:val="clear" w:color="auto" w:fill="FFFFFF"/>
          <w:lang w:val="es-ES"/>
        </w:rPr>
        <w:t>existen</w:t>
      </w:r>
      <w:r w:rsidRPr="001E5CE2">
        <w:rPr>
          <w:rFonts w:ascii="Times New Roman" w:hAnsi="Times New Roman"/>
          <w:color w:val="222222"/>
          <w:sz w:val="24"/>
          <w:szCs w:val="24"/>
          <w:shd w:val="clear" w:color="auto" w:fill="FFFFFF"/>
          <w:lang w:val="es-ES"/>
        </w:rPr>
        <w:t xml:space="preserve"> dificultades para agregar valor en la cadena industrial de la soja, producto de un contexto externo con menores precios</w:t>
      </w:r>
      <w:r>
        <w:rPr>
          <w:rFonts w:ascii="Times New Roman" w:hAnsi="Times New Roman"/>
          <w:color w:val="222222"/>
          <w:sz w:val="24"/>
          <w:szCs w:val="24"/>
          <w:shd w:val="clear" w:color="auto" w:fill="FFFFFF"/>
          <w:lang w:val="es-ES"/>
        </w:rPr>
        <w:t>; sin embargo, también</w:t>
      </w:r>
      <w:r w:rsidRPr="001E5CE2">
        <w:rPr>
          <w:rFonts w:ascii="Times New Roman" w:hAnsi="Times New Roman"/>
          <w:color w:val="222222"/>
          <w:sz w:val="24"/>
          <w:szCs w:val="24"/>
          <w:shd w:val="clear" w:color="auto" w:fill="FFFFFF"/>
          <w:lang w:val="es-ES"/>
        </w:rPr>
        <w:t xml:space="preserve"> se </w:t>
      </w:r>
      <w:r w:rsidRPr="001E5CE2">
        <w:rPr>
          <w:rFonts w:ascii="Times New Roman" w:hAnsi="Times New Roman"/>
          <w:color w:val="222222"/>
          <w:sz w:val="24"/>
          <w:szCs w:val="24"/>
          <w:shd w:val="clear" w:color="auto" w:fill="FFFFFF"/>
          <w:lang w:val="es-ES"/>
        </w:rPr>
        <w:lastRenderedPageBreak/>
        <w:t>presenta</w:t>
      </w:r>
      <w:r>
        <w:rPr>
          <w:rFonts w:ascii="Times New Roman" w:hAnsi="Times New Roman"/>
          <w:color w:val="222222"/>
          <w:sz w:val="24"/>
          <w:szCs w:val="24"/>
          <w:shd w:val="clear" w:color="auto" w:fill="FFFFFF"/>
          <w:lang w:val="es-ES"/>
        </w:rPr>
        <w:t>n</w:t>
      </w:r>
      <w:r w:rsidRPr="001E5CE2">
        <w:rPr>
          <w:rFonts w:ascii="Times New Roman" w:hAnsi="Times New Roman"/>
          <w:color w:val="222222"/>
          <w:sz w:val="24"/>
          <w:szCs w:val="24"/>
          <w:shd w:val="clear" w:color="auto" w:fill="FFFFFF"/>
          <w:lang w:val="es-ES"/>
        </w:rPr>
        <w:t xml:space="preserve"> oportunidades </w:t>
      </w:r>
      <w:r>
        <w:rPr>
          <w:rFonts w:ascii="Times New Roman" w:hAnsi="Times New Roman"/>
          <w:color w:val="222222"/>
          <w:sz w:val="24"/>
          <w:szCs w:val="24"/>
          <w:shd w:val="clear" w:color="auto" w:fill="FFFFFF"/>
          <w:lang w:val="es-ES"/>
        </w:rPr>
        <w:t xml:space="preserve">para que </w:t>
      </w:r>
      <w:r w:rsidRPr="001E5CE2">
        <w:rPr>
          <w:rFonts w:ascii="Times New Roman" w:hAnsi="Times New Roman"/>
          <w:color w:val="222222"/>
          <w:sz w:val="24"/>
          <w:szCs w:val="24"/>
          <w:shd w:val="clear" w:color="auto" w:fill="FFFFFF"/>
          <w:lang w:val="es-ES"/>
        </w:rPr>
        <w:t>el gobierno</w:t>
      </w:r>
      <w:r>
        <w:rPr>
          <w:rFonts w:ascii="Times New Roman" w:hAnsi="Times New Roman"/>
          <w:color w:val="222222"/>
          <w:sz w:val="24"/>
          <w:szCs w:val="24"/>
          <w:shd w:val="clear" w:color="auto" w:fill="FFFFFF"/>
          <w:lang w:val="es-ES"/>
        </w:rPr>
        <w:t xml:space="preserve"> modifique las </w:t>
      </w:r>
      <w:r w:rsidRPr="001E5CE2">
        <w:rPr>
          <w:rFonts w:ascii="Times New Roman" w:hAnsi="Times New Roman"/>
          <w:color w:val="222222"/>
          <w:sz w:val="24"/>
          <w:szCs w:val="24"/>
          <w:shd w:val="clear" w:color="auto" w:fill="FFFFFF"/>
          <w:lang w:val="es-ES"/>
        </w:rPr>
        <w:t xml:space="preserve">políticas internas </w:t>
      </w:r>
      <w:r>
        <w:rPr>
          <w:rFonts w:ascii="Times New Roman" w:hAnsi="Times New Roman"/>
          <w:color w:val="222222"/>
          <w:sz w:val="24"/>
          <w:szCs w:val="24"/>
          <w:shd w:val="clear" w:color="auto" w:fill="FFFFFF"/>
          <w:lang w:val="es-ES"/>
        </w:rPr>
        <w:t xml:space="preserve">de la cadena de soja con el objetivo de </w:t>
      </w:r>
      <w:r w:rsidRPr="001E5CE2">
        <w:rPr>
          <w:rFonts w:ascii="Times New Roman" w:hAnsi="Times New Roman"/>
          <w:color w:val="222222"/>
          <w:sz w:val="24"/>
          <w:szCs w:val="24"/>
          <w:shd w:val="clear" w:color="auto" w:fill="FFFFFF"/>
          <w:lang w:val="es-ES"/>
        </w:rPr>
        <w:t>foment</w:t>
      </w:r>
      <w:r>
        <w:rPr>
          <w:rFonts w:ascii="Times New Roman" w:hAnsi="Times New Roman"/>
          <w:color w:val="222222"/>
          <w:sz w:val="24"/>
          <w:szCs w:val="24"/>
          <w:shd w:val="clear" w:color="auto" w:fill="FFFFFF"/>
          <w:lang w:val="es-ES"/>
        </w:rPr>
        <w:t>ar</w:t>
      </w:r>
      <w:r w:rsidRPr="001E5CE2">
        <w:rPr>
          <w:rFonts w:ascii="Times New Roman" w:hAnsi="Times New Roman"/>
          <w:color w:val="222222"/>
          <w:sz w:val="24"/>
          <w:szCs w:val="24"/>
          <w:shd w:val="clear" w:color="auto" w:fill="FFFFFF"/>
          <w:lang w:val="es-ES"/>
        </w:rPr>
        <w:t xml:space="preserve"> </w:t>
      </w:r>
      <w:r>
        <w:rPr>
          <w:rFonts w:ascii="Times New Roman" w:hAnsi="Times New Roman"/>
          <w:color w:val="222222"/>
          <w:sz w:val="24"/>
          <w:szCs w:val="24"/>
          <w:shd w:val="clear" w:color="auto" w:fill="FFFFFF"/>
          <w:lang w:val="es-ES"/>
        </w:rPr>
        <w:t>e</w:t>
      </w:r>
      <w:r w:rsidRPr="001E5CE2">
        <w:rPr>
          <w:rFonts w:ascii="Times New Roman" w:hAnsi="Times New Roman"/>
          <w:color w:val="222222"/>
          <w:sz w:val="24"/>
          <w:szCs w:val="24"/>
          <w:shd w:val="clear" w:color="auto" w:fill="FFFFFF"/>
          <w:lang w:val="es-ES"/>
        </w:rPr>
        <w:t>l agregado de valor</w:t>
      </w:r>
      <w:r>
        <w:rPr>
          <w:rFonts w:ascii="Times New Roman" w:hAnsi="Times New Roman"/>
          <w:color w:val="222222"/>
          <w:sz w:val="24"/>
          <w:szCs w:val="24"/>
          <w:shd w:val="clear" w:color="auto" w:fill="FFFFFF"/>
          <w:lang w:val="es-ES"/>
        </w:rPr>
        <w:t xml:space="preserve"> a la misma</w:t>
      </w:r>
      <w:r w:rsidRPr="001E5CE2">
        <w:rPr>
          <w:rFonts w:ascii="Times New Roman" w:hAnsi="Times New Roman"/>
          <w:color w:val="222222"/>
          <w:sz w:val="24"/>
          <w:szCs w:val="24"/>
          <w:shd w:val="clear" w:color="auto" w:fill="FFFFFF"/>
          <w:lang w:val="es-ES"/>
        </w:rPr>
        <w:t>. En particular, en el sector del biodiesel se podría crear un entorno que facilite las posibilidades de reposicionamiento (</w:t>
      </w:r>
      <w:proofErr w:type="spellStart"/>
      <w:r w:rsidRPr="001E5CE2">
        <w:rPr>
          <w:rFonts w:ascii="Times New Roman" w:hAnsi="Times New Roman"/>
          <w:color w:val="222222"/>
          <w:sz w:val="24"/>
          <w:szCs w:val="24"/>
          <w:shd w:val="clear" w:color="auto" w:fill="FFFFFF"/>
          <w:lang w:val="es-ES"/>
        </w:rPr>
        <w:t>upgrading</w:t>
      </w:r>
      <w:proofErr w:type="spellEnd"/>
      <w:r w:rsidRPr="001E5CE2">
        <w:rPr>
          <w:rFonts w:ascii="Times New Roman" w:hAnsi="Times New Roman"/>
          <w:color w:val="222222"/>
          <w:sz w:val="24"/>
          <w:szCs w:val="24"/>
          <w:shd w:val="clear" w:color="auto" w:fill="FFFFFF"/>
          <w:lang w:val="es-ES"/>
        </w:rPr>
        <w:t xml:space="preserve">) de las empresas. </w:t>
      </w:r>
    </w:p>
    <w:p w14:paraId="325BD000" w14:textId="202DD022" w:rsidR="004F23FB" w:rsidRPr="001E5CE2" w:rsidRDefault="004F23FB" w:rsidP="001E5CE2">
      <w:pPr>
        <w:spacing w:after="0" w:line="360" w:lineRule="auto"/>
        <w:jc w:val="center"/>
        <w:rPr>
          <w:rFonts w:ascii="Times New Roman" w:hAnsi="Times New Roman"/>
          <w:b/>
          <w:sz w:val="24"/>
          <w:szCs w:val="24"/>
          <w:u w:val="single"/>
        </w:rPr>
      </w:pPr>
      <w:r w:rsidRPr="002D3916">
        <w:rPr>
          <w:rFonts w:ascii="Times New Roman" w:eastAsia="Times New Roman" w:hAnsi="Times New Roman"/>
          <w:color w:val="000000"/>
          <w:sz w:val="24"/>
          <w:szCs w:val="24"/>
          <w:lang w:eastAsia="es-ES"/>
        </w:rPr>
        <w:t xml:space="preserve">Gráfico </w:t>
      </w:r>
      <w:r w:rsidR="002D3916" w:rsidRPr="002D3916">
        <w:rPr>
          <w:rFonts w:ascii="Times New Roman" w:eastAsia="Times New Roman" w:hAnsi="Times New Roman"/>
          <w:color w:val="000000"/>
          <w:sz w:val="24"/>
          <w:szCs w:val="24"/>
          <w:lang w:eastAsia="es-ES"/>
        </w:rPr>
        <w:t>12</w:t>
      </w:r>
      <w:r w:rsidRPr="001E5CE2">
        <w:rPr>
          <w:rFonts w:ascii="Times New Roman" w:eastAsia="Times New Roman" w:hAnsi="Times New Roman"/>
          <w:color w:val="000000"/>
          <w:sz w:val="24"/>
          <w:szCs w:val="24"/>
          <w:lang w:eastAsia="es-ES"/>
        </w:rPr>
        <w:t xml:space="preserve">: </w:t>
      </w:r>
      <w:proofErr w:type="spellStart"/>
      <w:r w:rsidRPr="001E5CE2">
        <w:rPr>
          <w:rFonts w:ascii="Times New Roman" w:eastAsia="Times New Roman" w:hAnsi="Times New Roman"/>
          <w:color w:val="000000"/>
          <w:sz w:val="24"/>
          <w:szCs w:val="24"/>
          <w:lang w:eastAsia="es-ES"/>
        </w:rPr>
        <w:t>F</w:t>
      </w:r>
      <w:r w:rsidRPr="001E5CE2">
        <w:rPr>
          <w:rFonts w:ascii="Times New Roman" w:hAnsi="Times New Roman"/>
          <w:color w:val="222222"/>
          <w:sz w:val="24"/>
          <w:szCs w:val="24"/>
          <w:shd w:val="clear" w:color="auto" w:fill="FFFFFF"/>
        </w:rPr>
        <w:t>lujograma</w:t>
      </w:r>
      <w:proofErr w:type="spellEnd"/>
      <w:r w:rsidRPr="001E5CE2">
        <w:rPr>
          <w:rFonts w:ascii="Times New Roman" w:hAnsi="Times New Roman"/>
          <w:color w:val="222222"/>
          <w:sz w:val="24"/>
          <w:szCs w:val="24"/>
          <w:shd w:val="clear" w:color="auto" w:fill="FFFFFF"/>
        </w:rPr>
        <w:t xml:space="preserve"> de la cadena de la soja, en millones de </w:t>
      </w:r>
      <w:proofErr w:type="spellStart"/>
      <w:r w:rsidRPr="001E5CE2">
        <w:rPr>
          <w:rFonts w:ascii="Times New Roman" w:hAnsi="Times New Roman"/>
          <w:color w:val="222222"/>
          <w:sz w:val="24"/>
          <w:szCs w:val="24"/>
          <w:shd w:val="clear" w:color="auto" w:fill="FFFFFF"/>
        </w:rPr>
        <w:t>tn</w:t>
      </w:r>
      <w:proofErr w:type="spellEnd"/>
      <w:r w:rsidRPr="001E5CE2">
        <w:rPr>
          <w:rFonts w:ascii="Times New Roman" w:hAnsi="Times New Roman"/>
          <w:color w:val="222222"/>
          <w:sz w:val="24"/>
          <w:szCs w:val="24"/>
          <w:shd w:val="clear" w:color="auto" w:fill="FFFFFF"/>
        </w:rPr>
        <w:t xml:space="preserve">. </w:t>
      </w:r>
      <w:r w:rsidRPr="001E5CE2">
        <w:rPr>
          <w:rFonts w:ascii="Times New Roman" w:hAnsi="Times New Roman"/>
          <w:sz w:val="24"/>
          <w:szCs w:val="24"/>
        </w:rPr>
        <w:t>Escenario 2</w:t>
      </w:r>
    </w:p>
    <w:p w14:paraId="07475982" w14:textId="66D02EC9" w:rsidR="008563D4" w:rsidRPr="001E5CE2" w:rsidRDefault="0064667B" w:rsidP="00B733AD">
      <w:pPr>
        <w:spacing w:after="0" w:line="360" w:lineRule="auto"/>
        <w:jc w:val="center"/>
        <w:rPr>
          <w:rFonts w:ascii="Times New Roman" w:hAnsi="Times New Roman"/>
          <w:b/>
          <w:sz w:val="24"/>
          <w:szCs w:val="24"/>
          <w:u w:val="single"/>
        </w:rPr>
      </w:pPr>
      <w:r w:rsidRPr="0064667B">
        <w:rPr>
          <w:noProof/>
          <w:lang w:eastAsia="es-AR"/>
        </w:rPr>
        <w:drawing>
          <wp:inline distT="0" distB="0" distL="0" distR="0" wp14:anchorId="27DA73B4" wp14:editId="6C700E41">
            <wp:extent cx="5257800" cy="3751097"/>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0165" cy="3752785"/>
                    </a:xfrm>
                    <a:prstGeom prst="rect">
                      <a:avLst/>
                    </a:prstGeom>
                    <a:noFill/>
                    <a:ln>
                      <a:noFill/>
                    </a:ln>
                  </pic:spPr>
                </pic:pic>
              </a:graphicData>
            </a:graphic>
          </wp:inline>
        </w:drawing>
      </w:r>
    </w:p>
    <w:p w14:paraId="2D94806B" w14:textId="77777777" w:rsidR="0064667B" w:rsidRPr="0064667B" w:rsidRDefault="0064667B" w:rsidP="0064667B">
      <w:pPr>
        <w:spacing w:after="0" w:line="360" w:lineRule="auto"/>
        <w:jc w:val="center"/>
        <w:rPr>
          <w:rFonts w:ascii="Times New Roman" w:hAnsi="Times New Roman"/>
          <w:i/>
          <w:color w:val="222222"/>
          <w:sz w:val="18"/>
          <w:szCs w:val="24"/>
          <w:shd w:val="clear" w:color="auto" w:fill="FFFFFF"/>
        </w:rPr>
      </w:pPr>
      <w:r w:rsidRPr="0064667B">
        <w:rPr>
          <w:rFonts w:ascii="Times New Roman" w:hAnsi="Times New Roman"/>
          <w:i/>
          <w:color w:val="222222"/>
          <w:sz w:val="18"/>
          <w:szCs w:val="24"/>
          <w:shd w:val="clear" w:color="auto" w:fill="FFFFFF"/>
        </w:rPr>
        <w:t>Fuente: Elaboración propia en base a datos de la Cámara de la Industria Aceitera de la República Argentina (CIARA) el Instituto Nacional de Estadística y Censos (INDEC), Secretaría de Energía de la Nación, Asociación Argentina de Biocombustibles e Hidrógeno (ABH), Ministerio de Agricultura, Ganadería y Pesca de la Nación.</w:t>
      </w:r>
    </w:p>
    <w:p w14:paraId="4CA50DA0" w14:textId="77777777" w:rsidR="00410381" w:rsidRPr="001E5CE2" w:rsidRDefault="00410381" w:rsidP="001E5CE2">
      <w:pPr>
        <w:spacing w:after="0" w:line="360" w:lineRule="auto"/>
        <w:jc w:val="both"/>
        <w:rPr>
          <w:rFonts w:ascii="Times New Roman" w:hAnsi="Times New Roman"/>
          <w:color w:val="222222"/>
          <w:sz w:val="24"/>
          <w:szCs w:val="24"/>
          <w:shd w:val="clear" w:color="auto" w:fill="FFFFFF"/>
          <w:lang w:val="es-ES"/>
        </w:rPr>
      </w:pPr>
      <w:r w:rsidRPr="001E5CE2">
        <w:rPr>
          <w:rFonts w:ascii="Times New Roman" w:hAnsi="Times New Roman"/>
          <w:color w:val="222222"/>
          <w:sz w:val="24"/>
          <w:szCs w:val="24"/>
          <w:shd w:val="clear" w:color="auto" w:fill="FFFFFF"/>
          <w:lang w:val="es-ES"/>
        </w:rPr>
        <w:t>La molienda está directamente relacionada con la producción de grano, la cual está influida por una multiplicidad de factores entre ellos el clima, lo cual otorga una importante variabilidad. Las mayores diferencias se evidencian en el porcentaje de biodiesel que se destina tanto para el consumo interno como el externo.</w:t>
      </w:r>
    </w:p>
    <w:p w14:paraId="73089068" w14:textId="504F297C" w:rsidR="00410381" w:rsidRPr="001E5CE2" w:rsidRDefault="00410381" w:rsidP="001E5CE2">
      <w:pPr>
        <w:spacing w:after="0" w:line="360" w:lineRule="auto"/>
        <w:jc w:val="both"/>
        <w:rPr>
          <w:rFonts w:ascii="Times New Roman" w:hAnsi="Times New Roman"/>
          <w:color w:val="222222"/>
          <w:sz w:val="24"/>
          <w:szCs w:val="24"/>
          <w:shd w:val="clear" w:color="auto" w:fill="FFFFFF"/>
          <w:lang w:val="es-ES"/>
        </w:rPr>
      </w:pPr>
      <w:r w:rsidRPr="001E5CE2">
        <w:rPr>
          <w:rFonts w:ascii="Times New Roman" w:hAnsi="Times New Roman"/>
          <w:color w:val="222222"/>
          <w:sz w:val="24"/>
          <w:szCs w:val="24"/>
          <w:shd w:val="clear" w:color="auto" w:fill="FFFFFF"/>
          <w:lang w:val="es-ES"/>
        </w:rPr>
        <w:t xml:space="preserve">Como se analizó anteriormente, los precios internacionales de la harina de soja resultan ser todavía atractivos, lo que </w:t>
      </w:r>
      <w:r w:rsidR="007E0555">
        <w:rPr>
          <w:rFonts w:ascii="Times New Roman" w:hAnsi="Times New Roman"/>
          <w:color w:val="222222"/>
          <w:sz w:val="24"/>
          <w:szCs w:val="24"/>
          <w:shd w:val="clear" w:color="auto" w:fill="FFFFFF"/>
          <w:lang w:val="es-ES"/>
        </w:rPr>
        <w:t>explica la</w:t>
      </w:r>
      <w:r w:rsidRPr="001E5CE2">
        <w:rPr>
          <w:rFonts w:ascii="Times New Roman" w:hAnsi="Times New Roman"/>
          <w:color w:val="222222"/>
          <w:sz w:val="24"/>
          <w:szCs w:val="24"/>
          <w:shd w:val="clear" w:color="auto" w:fill="FFFFFF"/>
          <w:lang w:val="es-ES"/>
        </w:rPr>
        <w:t xml:space="preserve"> mayor exportación de dicho producto</w:t>
      </w:r>
      <w:r w:rsidR="007E0555">
        <w:rPr>
          <w:rFonts w:ascii="Times New Roman" w:hAnsi="Times New Roman"/>
          <w:color w:val="222222"/>
          <w:sz w:val="24"/>
          <w:szCs w:val="24"/>
          <w:shd w:val="clear" w:color="auto" w:fill="FFFFFF"/>
          <w:lang w:val="es-ES"/>
        </w:rPr>
        <w:t>, que incluso, podrían expandirse aún en el futuro</w:t>
      </w:r>
      <w:r w:rsidRPr="001E5CE2">
        <w:rPr>
          <w:rFonts w:ascii="Times New Roman" w:hAnsi="Times New Roman"/>
          <w:color w:val="222222"/>
          <w:sz w:val="24"/>
          <w:szCs w:val="24"/>
          <w:shd w:val="clear" w:color="auto" w:fill="FFFFFF"/>
          <w:lang w:val="es-ES"/>
        </w:rPr>
        <w:t>. Mientras que</w:t>
      </w:r>
      <w:r w:rsidR="004A4CF1" w:rsidRPr="001E5CE2">
        <w:rPr>
          <w:rFonts w:ascii="Times New Roman" w:hAnsi="Times New Roman"/>
          <w:color w:val="222222"/>
          <w:sz w:val="24"/>
          <w:szCs w:val="24"/>
          <w:shd w:val="clear" w:color="auto" w:fill="FFFFFF"/>
          <w:lang w:val="es-ES"/>
        </w:rPr>
        <w:t>,</w:t>
      </w:r>
      <w:r w:rsidRPr="001E5CE2">
        <w:rPr>
          <w:rFonts w:ascii="Times New Roman" w:hAnsi="Times New Roman"/>
          <w:color w:val="222222"/>
          <w:sz w:val="24"/>
          <w:szCs w:val="24"/>
          <w:shd w:val="clear" w:color="auto" w:fill="FFFFFF"/>
          <w:lang w:val="es-ES"/>
        </w:rPr>
        <w:t xml:space="preserve"> para el aceite, la importante disminución en el precio del </w:t>
      </w:r>
      <w:r w:rsidR="004A4CF1" w:rsidRPr="001E5CE2">
        <w:rPr>
          <w:rFonts w:ascii="Times New Roman" w:hAnsi="Times New Roman"/>
          <w:color w:val="222222"/>
          <w:sz w:val="24"/>
          <w:szCs w:val="24"/>
          <w:shd w:val="clear" w:color="auto" w:fill="FFFFFF"/>
          <w:lang w:val="es-ES"/>
        </w:rPr>
        <w:t>mismo</w:t>
      </w:r>
      <w:r w:rsidRPr="001E5CE2">
        <w:rPr>
          <w:rFonts w:ascii="Times New Roman" w:hAnsi="Times New Roman"/>
          <w:color w:val="222222"/>
          <w:sz w:val="24"/>
          <w:szCs w:val="24"/>
          <w:shd w:val="clear" w:color="auto" w:fill="FFFFFF"/>
          <w:lang w:val="es-ES"/>
        </w:rPr>
        <w:t xml:space="preserve">, </w:t>
      </w:r>
      <w:r w:rsidR="007E0555">
        <w:rPr>
          <w:rFonts w:ascii="Times New Roman" w:hAnsi="Times New Roman"/>
          <w:color w:val="222222"/>
          <w:sz w:val="24"/>
          <w:szCs w:val="24"/>
          <w:shd w:val="clear" w:color="auto" w:fill="FFFFFF"/>
          <w:lang w:val="es-ES"/>
        </w:rPr>
        <w:t>lleva a que una</w:t>
      </w:r>
      <w:r w:rsidRPr="001E5CE2">
        <w:rPr>
          <w:rFonts w:ascii="Times New Roman" w:hAnsi="Times New Roman"/>
          <w:color w:val="222222"/>
          <w:sz w:val="24"/>
          <w:szCs w:val="24"/>
          <w:shd w:val="clear" w:color="auto" w:fill="FFFFFF"/>
          <w:lang w:val="es-ES"/>
        </w:rPr>
        <w:t xml:space="preserve"> mayor proporción de </w:t>
      </w:r>
      <w:r w:rsidR="004A4CF1" w:rsidRPr="001E5CE2">
        <w:rPr>
          <w:rFonts w:ascii="Times New Roman" w:hAnsi="Times New Roman"/>
          <w:color w:val="222222"/>
          <w:sz w:val="24"/>
          <w:szCs w:val="24"/>
          <w:shd w:val="clear" w:color="auto" w:fill="FFFFFF"/>
          <w:lang w:val="es-ES"/>
        </w:rPr>
        <w:t xml:space="preserve">ese </w:t>
      </w:r>
      <w:r w:rsidR="007E0555">
        <w:rPr>
          <w:rFonts w:ascii="Times New Roman" w:hAnsi="Times New Roman"/>
          <w:color w:val="222222"/>
          <w:sz w:val="24"/>
          <w:szCs w:val="24"/>
          <w:shd w:val="clear" w:color="auto" w:fill="FFFFFF"/>
          <w:lang w:val="es-ES"/>
        </w:rPr>
        <w:t xml:space="preserve">producto sea empleado </w:t>
      </w:r>
      <w:r w:rsidRPr="001E5CE2">
        <w:rPr>
          <w:rFonts w:ascii="Times New Roman" w:hAnsi="Times New Roman"/>
          <w:color w:val="222222"/>
          <w:sz w:val="24"/>
          <w:szCs w:val="24"/>
          <w:shd w:val="clear" w:color="auto" w:fill="FFFFFF"/>
          <w:lang w:val="es-ES"/>
        </w:rPr>
        <w:t xml:space="preserve">como materia prima para </w:t>
      </w:r>
      <w:r w:rsidR="004A4CF1" w:rsidRPr="001E5CE2">
        <w:rPr>
          <w:rFonts w:ascii="Times New Roman" w:hAnsi="Times New Roman"/>
          <w:color w:val="222222"/>
          <w:sz w:val="24"/>
          <w:szCs w:val="24"/>
          <w:shd w:val="clear" w:color="auto" w:fill="FFFFFF"/>
          <w:lang w:val="es-ES"/>
        </w:rPr>
        <w:t xml:space="preserve">la </w:t>
      </w:r>
      <w:r w:rsidRPr="001E5CE2">
        <w:rPr>
          <w:rFonts w:ascii="Times New Roman" w:hAnsi="Times New Roman"/>
          <w:color w:val="222222"/>
          <w:sz w:val="24"/>
          <w:szCs w:val="24"/>
          <w:shd w:val="clear" w:color="auto" w:fill="FFFFFF"/>
          <w:lang w:val="es-ES"/>
        </w:rPr>
        <w:t>elabora</w:t>
      </w:r>
      <w:r w:rsidR="004A4CF1" w:rsidRPr="001E5CE2">
        <w:rPr>
          <w:rFonts w:ascii="Times New Roman" w:hAnsi="Times New Roman"/>
          <w:color w:val="222222"/>
          <w:sz w:val="24"/>
          <w:szCs w:val="24"/>
          <w:shd w:val="clear" w:color="auto" w:fill="FFFFFF"/>
          <w:lang w:val="es-ES"/>
        </w:rPr>
        <w:t>ción</w:t>
      </w:r>
      <w:r w:rsidRPr="001E5CE2">
        <w:rPr>
          <w:rFonts w:ascii="Times New Roman" w:hAnsi="Times New Roman"/>
          <w:color w:val="222222"/>
          <w:sz w:val="24"/>
          <w:szCs w:val="24"/>
          <w:shd w:val="clear" w:color="auto" w:fill="FFFFFF"/>
          <w:lang w:val="es-ES"/>
        </w:rPr>
        <w:t xml:space="preserve"> </w:t>
      </w:r>
      <w:r w:rsidR="004A4CF1" w:rsidRPr="001E5CE2">
        <w:rPr>
          <w:rFonts w:ascii="Times New Roman" w:hAnsi="Times New Roman"/>
          <w:color w:val="222222"/>
          <w:sz w:val="24"/>
          <w:szCs w:val="24"/>
          <w:shd w:val="clear" w:color="auto" w:fill="FFFFFF"/>
          <w:lang w:val="es-ES"/>
        </w:rPr>
        <w:t xml:space="preserve">de </w:t>
      </w:r>
      <w:r w:rsidRPr="001E5CE2">
        <w:rPr>
          <w:rFonts w:ascii="Times New Roman" w:hAnsi="Times New Roman"/>
          <w:color w:val="222222"/>
          <w:sz w:val="24"/>
          <w:szCs w:val="24"/>
          <w:shd w:val="clear" w:color="auto" w:fill="FFFFFF"/>
          <w:lang w:val="es-ES"/>
        </w:rPr>
        <w:t>biodiesel, agregando valor a la cadena</w:t>
      </w:r>
      <w:r w:rsidR="007E0555">
        <w:rPr>
          <w:rFonts w:ascii="Times New Roman" w:hAnsi="Times New Roman"/>
          <w:color w:val="222222"/>
          <w:sz w:val="24"/>
          <w:szCs w:val="24"/>
          <w:shd w:val="clear" w:color="auto" w:fill="FFFFFF"/>
          <w:lang w:val="es-ES"/>
        </w:rPr>
        <w:t>; y en este caso, también podría ampliarse en los próximos años</w:t>
      </w:r>
      <w:r w:rsidRPr="001E5CE2">
        <w:rPr>
          <w:rFonts w:ascii="Times New Roman" w:hAnsi="Times New Roman"/>
          <w:color w:val="222222"/>
          <w:sz w:val="24"/>
          <w:szCs w:val="24"/>
          <w:shd w:val="clear" w:color="auto" w:fill="FFFFFF"/>
          <w:lang w:val="es-ES"/>
        </w:rPr>
        <w:t>.</w:t>
      </w:r>
    </w:p>
    <w:p w14:paraId="2A98EB74" w14:textId="0BFD29AB" w:rsidR="00E30B06" w:rsidRPr="001E5CE2" w:rsidRDefault="00410381" w:rsidP="001E5CE2">
      <w:pPr>
        <w:spacing w:after="0" w:line="360" w:lineRule="auto"/>
        <w:jc w:val="both"/>
        <w:rPr>
          <w:rFonts w:ascii="Times New Roman" w:hAnsi="Times New Roman"/>
          <w:color w:val="222222"/>
          <w:sz w:val="24"/>
          <w:szCs w:val="24"/>
          <w:shd w:val="clear" w:color="auto" w:fill="FFFFFF"/>
          <w:lang w:val="es-ES"/>
        </w:rPr>
      </w:pPr>
      <w:r w:rsidRPr="001E5CE2">
        <w:rPr>
          <w:rFonts w:ascii="Times New Roman" w:hAnsi="Times New Roman"/>
          <w:color w:val="222222"/>
          <w:sz w:val="24"/>
          <w:szCs w:val="24"/>
          <w:shd w:val="clear" w:color="auto" w:fill="FFFFFF"/>
          <w:lang w:val="es-ES"/>
        </w:rPr>
        <w:t xml:space="preserve">Al </w:t>
      </w:r>
      <w:r w:rsidR="00E30B06" w:rsidRPr="001E5CE2">
        <w:rPr>
          <w:rFonts w:ascii="Times New Roman" w:hAnsi="Times New Roman"/>
          <w:color w:val="222222"/>
          <w:sz w:val="24"/>
          <w:szCs w:val="24"/>
          <w:shd w:val="clear" w:color="auto" w:fill="FFFFFF"/>
          <w:lang w:val="es-ES"/>
        </w:rPr>
        <w:t>considera</w:t>
      </w:r>
      <w:r w:rsidRPr="001E5CE2">
        <w:rPr>
          <w:rFonts w:ascii="Times New Roman" w:hAnsi="Times New Roman"/>
          <w:color w:val="222222"/>
          <w:sz w:val="24"/>
          <w:szCs w:val="24"/>
          <w:shd w:val="clear" w:color="auto" w:fill="FFFFFF"/>
          <w:lang w:val="es-ES"/>
        </w:rPr>
        <w:t>r</w:t>
      </w:r>
      <w:r w:rsidR="00E30B06" w:rsidRPr="001E5CE2">
        <w:rPr>
          <w:rFonts w:ascii="Times New Roman" w:hAnsi="Times New Roman"/>
          <w:color w:val="222222"/>
          <w:sz w:val="24"/>
          <w:szCs w:val="24"/>
          <w:shd w:val="clear" w:color="auto" w:fill="FFFFFF"/>
          <w:lang w:val="es-ES"/>
        </w:rPr>
        <w:t xml:space="preserve"> la posibilidad de una disminución en las retenciones </w:t>
      </w:r>
      <w:r w:rsidR="007E0555">
        <w:rPr>
          <w:rFonts w:ascii="Times New Roman" w:hAnsi="Times New Roman"/>
          <w:color w:val="222222"/>
          <w:sz w:val="24"/>
          <w:szCs w:val="24"/>
          <w:shd w:val="clear" w:color="auto" w:fill="FFFFFF"/>
          <w:lang w:val="es-ES"/>
        </w:rPr>
        <w:t>del</w:t>
      </w:r>
      <w:r w:rsidR="00E30B06" w:rsidRPr="001E5CE2">
        <w:rPr>
          <w:rFonts w:ascii="Times New Roman" w:hAnsi="Times New Roman"/>
          <w:color w:val="222222"/>
          <w:sz w:val="24"/>
          <w:szCs w:val="24"/>
          <w:shd w:val="clear" w:color="auto" w:fill="FFFFFF"/>
          <w:lang w:val="es-ES"/>
        </w:rPr>
        <w:t xml:space="preserve"> biodiesel, </w:t>
      </w:r>
      <w:r w:rsidRPr="001E5CE2">
        <w:rPr>
          <w:rFonts w:ascii="Times New Roman" w:hAnsi="Times New Roman"/>
          <w:color w:val="222222"/>
          <w:sz w:val="24"/>
          <w:szCs w:val="24"/>
          <w:shd w:val="clear" w:color="auto" w:fill="FFFFFF"/>
          <w:lang w:val="es-ES"/>
        </w:rPr>
        <w:t>y un incremento en el c</w:t>
      </w:r>
      <w:r w:rsidR="00E30B06" w:rsidRPr="001E5CE2">
        <w:rPr>
          <w:rFonts w:ascii="Times New Roman" w:hAnsi="Times New Roman"/>
          <w:color w:val="222222"/>
          <w:sz w:val="24"/>
          <w:szCs w:val="24"/>
          <w:shd w:val="clear" w:color="auto" w:fill="FFFFFF"/>
          <w:lang w:val="es-ES"/>
        </w:rPr>
        <w:t xml:space="preserve">upo interno fijado por el gobierno, </w:t>
      </w:r>
      <w:r w:rsidR="007E0555">
        <w:rPr>
          <w:rFonts w:ascii="Times New Roman" w:hAnsi="Times New Roman"/>
          <w:color w:val="222222"/>
          <w:sz w:val="24"/>
          <w:szCs w:val="24"/>
          <w:shd w:val="clear" w:color="auto" w:fill="FFFFFF"/>
          <w:lang w:val="es-ES"/>
        </w:rPr>
        <w:t>obteniéndose</w:t>
      </w:r>
      <w:r w:rsidR="00E30B06" w:rsidRPr="001E5CE2">
        <w:rPr>
          <w:rFonts w:ascii="Times New Roman" w:hAnsi="Times New Roman"/>
          <w:color w:val="222222"/>
          <w:sz w:val="24"/>
          <w:szCs w:val="24"/>
          <w:shd w:val="clear" w:color="auto" w:fill="FFFFFF"/>
          <w:lang w:val="es-ES"/>
        </w:rPr>
        <w:t xml:space="preserve"> un menor saldo exportable </w:t>
      </w:r>
      <w:r w:rsidR="00E30B06" w:rsidRPr="001E5CE2">
        <w:rPr>
          <w:rFonts w:ascii="Times New Roman" w:hAnsi="Times New Roman"/>
          <w:color w:val="222222"/>
          <w:sz w:val="24"/>
          <w:szCs w:val="24"/>
          <w:shd w:val="clear" w:color="auto" w:fill="FFFFFF"/>
          <w:lang w:val="es-ES"/>
        </w:rPr>
        <w:lastRenderedPageBreak/>
        <w:t xml:space="preserve">de aceite crudo a un mejor precio, </w:t>
      </w:r>
      <w:r w:rsidR="007E0555">
        <w:rPr>
          <w:rFonts w:ascii="Times New Roman" w:hAnsi="Times New Roman"/>
          <w:color w:val="222222"/>
          <w:sz w:val="24"/>
          <w:szCs w:val="24"/>
          <w:shd w:val="clear" w:color="auto" w:fill="FFFFFF"/>
          <w:lang w:val="es-ES"/>
        </w:rPr>
        <w:t>se</w:t>
      </w:r>
      <w:r w:rsidR="00E30B06" w:rsidRPr="001E5CE2">
        <w:rPr>
          <w:rFonts w:ascii="Times New Roman" w:hAnsi="Times New Roman"/>
          <w:color w:val="222222"/>
          <w:sz w:val="24"/>
          <w:szCs w:val="24"/>
          <w:shd w:val="clear" w:color="auto" w:fill="FFFFFF"/>
          <w:lang w:val="es-ES"/>
        </w:rPr>
        <w:t xml:space="preserve"> fomenta</w:t>
      </w:r>
      <w:r w:rsidR="007E0555">
        <w:rPr>
          <w:rFonts w:ascii="Times New Roman" w:hAnsi="Times New Roman"/>
          <w:color w:val="222222"/>
          <w:sz w:val="24"/>
          <w:szCs w:val="24"/>
          <w:shd w:val="clear" w:color="auto" w:fill="FFFFFF"/>
          <w:lang w:val="es-ES"/>
        </w:rPr>
        <w:t xml:space="preserve"> </w:t>
      </w:r>
      <w:r w:rsidR="00E30B06" w:rsidRPr="001E5CE2">
        <w:rPr>
          <w:rFonts w:ascii="Times New Roman" w:hAnsi="Times New Roman"/>
          <w:color w:val="222222"/>
          <w:sz w:val="24"/>
          <w:szCs w:val="24"/>
          <w:shd w:val="clear" w:color="auto" w:fill="FFFFFF"/>
          <w:lang w:val="es-ES"/>
        </w:rPr>
        <w:t>la producción de biodiesel destina</w:t>
      </w:r>
      <w:r w:rsidR="007E0555">
        <w:rPr>
          <w:rFonts w:ascii="Times New Roman" w:hAnsi="Times New Roman"/>
          <w:color w:val="222222"/>
          <w:sz w:val="24"/>
          <w:szCs w:val="24"/>
          <w:shd w:val="clear" w:color="auto" w:fill="FFFFFF"/>
          <w:lang w:val="es-ES"/>
        </w:rPr>
        <w:t>ndo</w:t>
      </w:r>
      <w:r w:rsidR="00E30B06" w:rsidRPr="001E5CE2">
        <w:rPr>
          <w:rFonts w:ascii="Times New Roman" w:hAnsi="Times New Roman"/>
          <w:color w:val="222222"/>
          <w:sz w:val="24"/>
          <w:szCs w:val="24"/>
          <w:shd w:val="clear" w:color="auto" w:fill="FFFFFF"/>
          <w:lang w:val="es-ES"/>
        </w:rPr>
        <w:t xml:space="preserve"> el aceite para su </w:t>
      </w:r>
      <w:r w:rsidR="007E0555">
        <w:rPr>
          <w:rFonts w:ascii="Times New Roman" w:hAnsi="Times New Roman"/>
          <w:color w:val="222222"/>
          <w:sz w:val="24"/>
          <w:szCs w:val="24"/>
          <w:shd w:val="clear" w:color="auto" w:fill="FFFFFF"/>
          <w:lang w:val="es-ES"/>
        </w:rPr>
        <w:t xml:space="preserve">producción con incrementos del valor </w:t>
      </w:r>
      <w:r w:rsidR="00E30B06" w:rsidRPr="001E5CE2">
        <w:rPr>
          <w:rFonts w:ascii="Times New Roman" w:hAnsi="Times New Roman"/>
          <w:color w:val="222222"/>
          <w:sz w:val="24"/>
          <w:szCs w:val="24"/>
          <w:shd w:val="clear" w:color="auto" w:fill="FFFFFF"/>
          <w:lang w:val="es-ES"/>
        </w:rPr>
        <w:t xml:space="preserve">agregado de </w:t>
      </w:r>
      <w:r w:rsidR="007E0555">
        <w:rPr>
          <w:rFonts w:ascii="Times New Roman" w:hAnsi="Times New Roman"/>
          <w:color w:val="222222"/>
          <w:sz w:val="24"/>
          <w:szCs w:val="24"/>
          <w:shd w:val="clear" w:color="auto" w:fill="FFFFFF"/>
          <w:lang w:val="es-ES"/>
        </w:rPr>
        <w:t>la cadena.</w:t>
      </w:r>
    </w:p>
    <w:p w14:paraId="478D9CC7" w14:textId="77777777" w:rsidR="004E3D47" w:rsidRPr="001E5CE2" w:rsidRDefault="004E3D47" w:rsidP="001E5CE2">
      <w:pPr>
        <w:shd w:val="clear" w:color="auto" w:fill="FFFFFF"/>
        <w:spacing w:after="0" w:line="360" w:lineRule="auto"/>
        <w:jc w:val="both"/>
        <w:rPr>
          <w:rFonts w:ascii="Times New Roman" w:eastAsia="Times New Roman" w:hAnsi="Times New Roman"/>
          <w:color w:val="212121"/>
          <w:sz w:val="24"/>
          <w:szCs w:val="24"/>
          <w:lang w:eastAsia="es-AR"/>
        </w:rPr>
      </w:pPr>
      <w:r w:rsidRPr="001E5CE2">
        <w:rPr>
          <w:rFonts w:ascii="Times New Roman" w:eastAsia="Times New Roman" w:hAnsi="Times New Roman"/>
          <w:color w:val="212121"/>
          <w:sz w:val="24"/>
          <w:szCs w:val="24"/>
          <w:lang w:eastAsia="es-AR"/>
        </w:rPr>
        <w:t>En cuanto a los resultados de las hipótesis planteadas se puede concluir que:</w:t>
      </w:r>
    </w:p>
    <w:p w14:paraId="1EC45DC1" w14:textId="372AF43B" w:rsidR="004E3D47" w:rsidRPr="001E5CE2" w:rsidRDefault="004E3D47" w:rsidP="001E5CE2">
      <w:pPr>
        <w:pStyle w:val="Prrafodelista"/>
        <w:numPr>
          <w:ilvl w:val="0"/>
          <w:numId w:val="6"/>
        </w:numPr>
        <w:shd w:val="clear" w:color="auto" w:fill="FFFFFF"/>
        <w:spacing w:after="0" w:line="360" w:lineRule="auto"/>
        <w:jc w:val="both"/>
        <w:rPr>
          <w:rFonts w:ascii="Times New Roman" w:eastAsia="Times New Roman" w:hAnsi="Times New Roman"/>
          <w:color w:val="212121"/>
          <w:sz w:val="24"/>
          <w:szCs w:val="24"/>
          <w:lang w:eastAsia="es-AR"/>
        </w:rPr>
      </w:pPr>
      <w:r w:rsidRPr="001E5CE2">
        <w:rPr>
          <w:rFonts w:ascii="Times New Roman" w:eastAsia="Times New Roman" w:hAnsi="Times New Roman"/>
          <w:color w:val="212121"/>
          <w:sz w:val="24"/>
          <w:szCs w:val="24"/>
          <w:lang w:eastAsia="es-AR"/>
        </w:rPr>
        <w:t xml:space="preserve">En el </w:t>
      </w:r>
      <w:r w:rsidR="007E0555">
        <w:rPr>
          <w:rFonts w:ascii="Times New Roman" w:eastAsia="Times New Roman" w:hAnsi="Times New Roman"/>
          <w:color w:val="212121"/>
          <w:sz w:val="24"/>
          <w:szCs w:val="24"/>
          <w:lang w:eastAsia="es-AR"/>
        </w:rPr>
        <w:t>E</w:t>
      </w:r>
      <w:r w:rsidRPr="001E5CE2">
        <w:rPr>
          <w:rFonts w:ascii="Times New Roman" w:eastAsia="Times New Roman" w:hAnsi="Times New Roman"/>
          <w:color w:val="212121"/>
          <w:sz w:val="24"/>
          <w:szCs w:val="24"/>
          <w:lang w:eastAsia="es-AR"/>
        </w:rPr>
        <w:t xml:space="preserve">scenario </w:t>
      </w:r>
      <w:r w:rsidR="007E0555">
        <w:rPr>
          <w:rFonts w:ascii="Times New Roman" w:eastAsia="Times New Roman" w:hAnsi="Times New Roman"/>
          <w:color w:val="212121"/>
          <w:sz w:val="24"/>
          <w:szCs w:val="24"/>
          <w:lang w:eastAsia="es-AR"/>
        </w:rPr>
        <w:t>1</w:t>
      </w:r>
      <w:r w:rsidRPr="001E5CE2">
        <w:rPr>
          <w:rFonts w:ascii="Times New Roman" w:eastAsia="Times New Roman" w:hAnsi="Times New Roman"/>
          <w:color w:val="212121"/>
          <w:sz w:val="24"/>
          <w:szCs w:val="24"/>
          <w:lang w:eastAsia="es-AR"/>
        </w:rPr>
        <w:t xml:space="preserve"> se plantea que</w:t>
      </w:r>
      <w:r w:rsidR="00CA04B1">
        <w:rPr>
          <w:rFonts w:ascii="Times New Roman" w:eastAsia="Times New Roman" w:hAnsi="Times New Roman"/>
          <w:color w:val="212121"/>
          <w:sz w:val="24"/>
          <w:szCs w:val="24"/>
          <w:lang w:eastAsia="es-AR"/>
        </w:rPr>
        <w:t>,</w:t>
      </w:r>
      <w:r w:rsidRPr="001E5CE2">
        <w:rPr>
          <w:rFonts w:ascii="Times New Roman" w:eastAsia="Times New Roman" w:hAnsi="Times New Roman"/>
          <w:color w:val="212121"/>
          <w:sz w:val="24"/>
          <w:szCs w:val="24"/>
          <w:lang w:eastAsia="es-AR"/>
        </w:rPr>
        <w:t xml:space="preserve"> ante la disminución de las exportaciones de biodiesel y la negativa del gobierno de aumentar el cupo interno, se puedan incrementar las exportaciones de aceite, </w:t>
      </w:r>
      <w:r w:rsidR="00CA04B1">
        <w:rPr>
          <w:rFonts w:ascii="Times New Roman" w:eastAsia="Times New Roman" w:hAnsi="Times New Roman"/>
          <w:color w:val="212121"/>
          <w:sz w:val="24"/>
          <w:szCs w:val="24"/>
          <w:lang w:eastAsia="es-AR"/>
        </w:rPr>
        <w:t xml:space="preserve">provocando </w:t>
      </w:r>
      <w:r w:rsidRPr="001E5CE2">
        <w:rPr>
          <w:rFonts w:ascii="Times New Roman" w:eastAsia="Times New Roman" w:hAnsi="Times New Roman"/>
          <w:color w:val="212121"/>
          <w:sz w:val="24"/>
          <w:szCs w:val="24"/>
          <w:lang w:eastAsia="es-AR"/>
        </w:rPr>
        <w:t>probablemente</w:t>
      </w:r>
      <w:r w:rsidR="00CA04B1">
        <w:rPr>
          <w:rFonts w:ascii="Times New Roman" w:eastAsia="Times New Roman" w:hAnsi="Times New Roman"/>
          <w:color w:val="212121"/>
          <w:sz w:val="24"/>
          <w:szCs w:val="24"/>
          <w:lang w:eastAsia="es-AR"/>
        </w:rPr>
        <w:t>,</w:t>
      </w:r>
      <w:r w:rsidRPr="001E5CE2">
        <w:rPr>
          <w:rFonts w:ascii="Times New Roman" w:eastAsia="Times New Roman" w:hAnsi="Times New Roman"/>
          <w:color w:val="212121"/>
          <w:sz w:val="24"/>
          <w:szCs w:val="24"/>
          <w:lang w:eastAsia="es-AR"/>
        </w:rPr>
        <w:t xml:space="preserve"> una baja del precio del mismo ya que Argentina es uno de los principales exportadores de aceite de soja en el mundo</w:t>
      </w:r>
      <w:r w:rsidR="00CA04B1">
        <w:rPr>
          <w:rFonts w:ascii="Times New Roman" w:eastAsia="Times New Roman" w:hAnsi="Times New Roman"/>
          <w:color w:val="212121"/>
          <w:sz w:val="24"/>
          <w:szCs w:val="24"/>
          <w:lang w:eastAsia="es-AR"/>
        </w:rPr>
        <w:t>.</w:t>
      </w:r>
      <w:r w:rsidRPr="001E5CE2">
        <w:rPr>
          <w:rFonts w:ascii="Times New Roman" w:eastAsia="Times New Roman" w:hAnsi="Times New Roman"/>
          <w:color w:val="212121"/>
          <w:sz w:val="24"/>
          <w:szCs w:val="24"/>
          <w:lang w:eastAsia="es-AR"/>
        </w:rPr>
        <w:t xml:space="preserve"> </w:t>
      </w:r>
      <w:r w:rsidR="00CA04B1">
        <w:rPr>
          <w:rFonts w:ascii="Times New Roman" w:eastAsia="Times New Roman" w:hAnsi="Times New Roman"/>
          <w:color w:val="212121"/>
          <w:sz w:val="24"/>
          <w:szCs w:val="24"/>
          <w:lang w:eastAsia="es-AR"/>
        </w:rPr>
        <w:t>En este caso se presenta una importante</w:t>
      </w:r>
      <w:r w:rsidRPr="001E5CE2">
        <w:rPr>
          <w:rFonts w:ascii="Times New Roman" w:eastAsia="Times New Roman" w:hAnsi="Times New Roman"/>
          <w:color w:val="212121"/>
          <w:sz w:val="24"/>
          <w:szCs w:val="24"/>
          <w:lang w:eastAsia="es-AR"/>
        </w:rPr>
        <w:t xml:space="preserve"> capacidad ociosa en la industria del biodiesel. Esto último, posiblemente llevaría a serias dificultades de </w:t>
      </w:r>
      <w:r w:rsidR="00CA04B1">
        <w:rPr>
          <w:rFonts w:ascii="Times New Roman" w:eastAsia="Times New Roman" w:hAnsi="Times New Roman"/>
          <w:color w:val="212121"/>
          <w:sz w:val="24"/>
          <w:szCs w:val="24"/>
          <w:lang w:eastAsia="es-AR"/>
        </w:rPr>
        <w:t xml:space="preserve">las </w:t>
      </w:r>
      <w:r w:rsidRPr="001E5CE2">
        <w:rPr>
          <w:rFonts w:ascii="Times New Roman" w:eastAsia="Times New Roman" w:hAnsi="Times New Roman"/>
          <w:color w:val="212121"/>
          <w:sz w:val="24"/>
          <w:szCs w:val="24"/>
          <w:lang w:eastAsia="es-AR"/>
        </w:rPr>
        <w:t xml:space="preserve">empresas </w:t>
      </w:r>
      <w:r w:rsidR="00CA04B1">
        <w:rPr>
          <w:rFonts w:ascii="Times New Roman" w:eastAsia="Times New Roman" w:hAnsi="Times New Roman"/>
          <w:color w:val="212121"/>
          <w:sz w:val="24"/>
          <w:szCs w:val="24"/>
          <w:lang w:eastAsia="es-AR"/>
        </w:rPr>
        <w:t>d</w:t>
      </w:r>
      <w:r w:rsidRPr="001E5CE2">
        <w:rPr>
          <w:rFonts w:ascii="Times New Roman" w:eastAsia="Times New Roman" w:hAnsi="Times New Roman"/>
          <w:color w:val="212121"/>
          <w:sz w:val="24"/>
          <w:szCs w:val="24"/>
          <w:lang w:eastAsia="es-AR"/>
        </w:rPr>
        <w:t>el sector de biocombustible, que se podrían agravar si el precio interno que fija el gobierno para el cupo no acompaña los mayores costos</w:t>
      </w:r>
      <w:r w:rsidR="00CA04B1">
        <w:rPr>
          <w:rFonts w:ascii="Times New Roman" w:eastAsia="Times New Roman" w:hAnsi="Times New Roman"/>
          <w:color w:val="212121"/>
          <w:sz w:val="24"/>
          <w:szCs w:val="24"/>
          <w:lang w:eastAsia="es-AR"/>
        </w:rPr>
        <w:t xml:space="preserve"> de producción</w:t>
      </w:r>
      <w:r w:rsidRPr="001E5CE2">
        <w:rPr>
          <w:rFonts w:ascii="Times New Roman" w:eastAsia="Times New Roman" w:hAnsi="Times New Roman"/>
          <w:color w:val="212121"/>
          <w:sz w:val="24"/>
          <w:szCs w:val="24"/>
          <w:lang w:eastAsia="es-AR"/>
        </w:rPr>
        <w:t>.</w:t>
      </w:r>
    </w:p>
    <w:p w14:paraId="5B32DB03" w14:textId="0460BDD5" w:rsidR="00A403E5" w:rsidRPr="00A403E5" w:rsidRDefault="004E3D47" w:rsidP="001E5CE2">
      <w:pPr>
        <w:pStyle w:val="Prrafodelista"/>
        <w:numPr>
          <w:ilvl w:val="0"/>
          <w:numId w:val="6"/>
        </w:numPr>
        <w:shd w:val="clear" w:color="auto" w:fill="FFFFFF"/>
        <w:spacing w:after="0" w:line="360" w:lineRule="auto"/>
        <w:jc w:val="both"/>
        <w:rPr>
          <w:rFonts w:ascii="Times New Roman" w:hAnsi="Times New Roman"/>
          <w:color w:val="222222"/>
          <w:sz w:val="24"/>
          <w:szCs w:val="24"/>
          <w:shd w:val="clear" w:color="auto" w:fill="FFFFFF"/>
          <w:lang w:val="es-ES"/>
        </w:rPr>
      </w:pPr>
      <w:r w:rsidRPr="00A403E5">
        <w:rPr>
          <w:rFonts w:ascii="Times New Roman" w:eastAsia="Times New Roman" w:hAnsi="Times New Roman"/>
          <w:color w:val="212121"/>
          <w:sz w:val="24"/>
          <w:szCs w:val="24"/>
          <w:lang w:eastAsia="es-AR"/>
        </w:rPr>
        <w:t xml:space="preserve">Por otra parte, en el </w:t>
      </w:r>
      <w:r w:rsidR="00CA04B1" w:rsidRPr="00A403E5">
        <w:rPr>
          <w:rFonts w:ascii="Times New Roman" w:eastAsia="Times New Roman" w:hAnsi="Times New Roman"/>
          <w:color w:val="212121"/>
          <w:sz w:val="24"/>
          <w:szCs w:val="24"/>
          <w:lang w:eastAsia="es-AR"/>
        </w:rPr>
        <w:t>E</w:t>
      </w:r>
      <w:r w:rsidRPr="00A403E5">
        <w:rPr>
          <w:rFonts w:ascii="Times New Roman" w:eastAsia="Times New Roman" w:hAnsi="Times New Roman"/>
          <w:color w:val="212121"/>
          <w:sz w:val="24"/>
          <w:szCs w:val="24"/>
          <w:lang w:eastAsia="es-AR"/>
        </w:rPr>
        <w:t xml:space="preserve">scenario </w:t>
      </w:r>
      <w:r w:rsidR="00CA04B1" w:rsidRPr="00A403E5">
        <w:rPr>
          <w:rFonts w:ascii="Times New Roman" w:eastAsia="Times New Roman" w:hAnsi="Times New Roman"/>
          <w:color w:val="212121"/>
          <w:sz w:val="24"/>
          <w:szCs w:val="24"/>
          <w:lang w:eastAsia="es-AR"/>
        </w:rPr>
        <w:t>2</w:t>
      </w:r>
      <w:r w:rsidRPr="00A403E5">
        <w:rPr>
          <w:rFonts w:ascii="Times New Roman" w:eastAsia="Times New Roman" w:hAnsi="Times New Roman"/>
          <w:color w:val="212121"/>
          <w:sz w:val="24"/>
          <w:szCs w:val="24"/>
          <w:lang w:eastAsia="es-AR"/>
        </w:rPr>
        <w:t xml:space="preserve">, ante la misma caída de las exportaciones de biodiesel, se plantea un incremento en el cupo de 5 puntos porcentuales, pasando de B10 a B15, lo que lleva a incrementar la capacidad ociosa, pero no en la magnitud del primer escenario, golpeando menos a la industria de biodiesel. El remanente de aceite, no consumido por la industria de biocombustible, se destinaría a exportarse sin </w:t>
      </w:r>
      <w:r w:rsidR="0050712F" w:rsidRPr="00A403E5">
        <w:rPr>
          <w:rFonts w:ascii="Times New Roman" w:eastAsia="Times New Roman" w:hAnsi="Times New Roman"/>
          <w:color w:val="212121"/>
          <w:sz w:val="24"/>
          <w:szCs w:val="24"/>
          <w:lang w:eastAsia="es-AR"/>
        </w:rPr>
        <w:t xml:space="preserve">otro </w:t>
      </w:r>
      <w:r w:rsidRPr="00A403E5">
        <w:rPr>
          <w:rFonts w:ascii="Times New Roman" w:eastAsia="Times New Roman" w:hAnsi="Times New Roman"/>
          <w:color w:val="212121"/>
          <w:sz w:val="24"/>
          <w:szCs w:val="24"/>
          <w:lang w:eastAsia="es-AR"/>
        </w:rPr>
        <w:t>valor agregado</w:t>
      </w:r>
      <w:r w:rsidR="00CA04B1" w:rsidRPr="00A403E5">
        <w:rPr>
          <w:rFonts w:ascii="Times New Roman" w:eastAsia="Times New Roman" w:hAnsi="Times New Roman"/>
          <w:color w:val="212121"/>
          <w:sz w:val="24"/>
          <w:szCs w:val="24"/>
          <w:lang w:eastAsia="es-AR"/>
        </w:rPr>
        <w:t>. Las manifestaciones de algunos países, en particular China, que indicaron la posibilidad de compra de nuestro aceite a partir del año 2019, parecen sustentar este enunciado. Por otro lado, otras experiencias internacionales deberán tenerse en cuenta. Tal es el caso de</w:t>
      </w:r>
      <w:r w:rsidRPr="00A403E5">
        <w:rPr>
          <w:rFonts w:ascii="Times New Roman" w:eastAsia="Times New Roman" w:hAnsi="Times New Roman"/>
          <w:color w:val="212121"/>
          <w:sz w:val="24"/>
          <w:szCs w:val="24"/>
          <w:lang w:eastAsia="es-AR"/>
        </w:rPr>
        <w:t xml:space="preserve"> </w:t>
      </w:r>
      <w:r w:rsidR="00CA04B1" w:rsidRPr="00A403E5">
        <w:rPr>
          <w:rFonts w:ascii="Times New Roman" w:eastAsia="Times New Roman" w:hAnsi="Times New Roman"/>
          <w:color w:val="212121"/>
          <w:sz w:val="24"/>
          <w:szCs w:val="24"/>
          <w:lang w:eastAsia="es-AR"/>
        </w:rPr>
        <w:t>Indonesia que propuso un incremento de su cupo interno a B30 para palear el cierre de los mercados internacionales.</w:t>
      </w:r>
      <w:r w:rsidR="005A7B20" w:rsidRPr="00A403E5">
        <w:rPr>
          <w:rFonts w:ascii="Times New Roman" w:eastAsia="Times New Roman" w:hAnsi="Times New Roman"/>
          <w:color w:val="212121"/>
          <w:sz w:val="24"/>
          <w:szCs w:val="24"/>
          <w:lang w:eastAsia="es-AR"/>
        </w:rPr>
        <w:t xml:space="preserve"> Por otro lado, </w:t>
      </w:r>
      <w:r w:rsidR="005A7B20" w:rsidRPr="00A403E5">
        <w:rPr>
          <w:rFonts w:ascii="Times New Roman" w:hAnsi="Times New Roman"/>
          <w:sz w:val="24"/>
          <w:szCs w:val="24"/>
        </w:rPr>
        <w:t xml:space="preserve">Brasil logró un aumento del corte obligatorio y estableció que </w:t>
      </w:r>
      <w:r w:rsidR="00A403E5">
        <w:rPr>
          <w:rFonts w:ascii="Times New Roman" w:hAnsi="Times New Roman"/>
          <w:sz w:val="24"/>
          <w:szCs w:val="24"/>
        </w:rPr>
        <w:t>es</w:t>
      </w:r>
      <w:r w:rsidR="005A7B20" w:rsidRPr="00A403E5">
        <w:rPr>
          <w:rFonts w:ascii="Times New Roman" w:hAnsi="Times New Roman"/>
          <w:sz w:val="24"/>
          <w:szCs w:val="24"/>
        </w:rPr>
        <w:t xml:space="preserve"> posible llevarlo hasta el 27%, a partir de ensayos de funcionalidad que demuestran </w:t>
      </w:r>
      <w:r w:rsidR="00A403E5" w:rsidRPr="00A403E5">
        <w:rPr>
          <w:rFonts w:ascii="Times New Roman" w:hAnsi="Times New Roman"/>
          <w:sz w:val="24"/>
          <w:szCs w:val="24"/>
        </w:rPr>
        <w:t>su</w:t>
      </w:r>
      <w:r w:rsidR="005A7B20" w:rsidRPr="00A403E5">
        <w:rPr>
          <w:rFonts w:ascii="Times New Roman" w:hAnsi="Times New Roman"/>
          <w:sz w:val="24"/>
          <w:szCs w:val="24"/>
        </w:rPr>
        <w:t xml:space="preserve"> viabilidad</w:t>
      </w:r>
      <w:r w:rsidR="00A403E5" w:rsidRPr="00A403E5">
        <w:rPr>
          <w:rFonts w:ascii="Times New Roman" w:hAnsi="Times New Roman"/>
          <w:sz w:val="24"/>
          <w:szCs w:val="24"/>
        </w:rPr>
        <w:t xml:space="preserve"> técnica.</w:t>
      </w:r>
    </w:p>
    <w:p w14:paraId="77D86F4C" w14:textId="4908E931" w:rsidR="00345E3C" w:rsidRPr="00A403E5" w:rsidRDefault="005A7B20" w:rsidP="001E5CE2">
      <w:pPr>
        <w:pStyle w:val="Prrafodelista"/>
        <w:numPr>
          <w:ilvl w:val="0"/>
          <w:numId w:val="6"/>
        </w:numPr>
        <w:shd w:val="clear" w:color="auto" w:fill="FFFFFF"/>
        <w:spacing w:after="0" w:line="360" w:lineRule="auto"/>
        <w:jc w:val="both"/>
        <w:rPr>
          <w:rFonts w:ascii="Times New Roman" w:hAnsi="Times New Roman"/>
          <w:color w:val="222222"/>
          <w:sz w:val="24"/>
          <w:szCs w:val="24"/>
          <w:shd w:val="clear" w:color="auto" w:fill="FFFFFF"/>
          <w:lang w:val="es-ES"/>
        </w:rPr>
      </w:pPr>
      <w:r w:rsidRPr="00A403E5">
        <w:rPr>
          <w:rFonts w:ascii="Times New Roman" w:hAnsi="Times New Roman"/>
          <w:color w:val="222222"/>
          <w:sz w:val="24"/>
          <w:szCs w:val="24"/>
          <w:shd w:val="clear" w:color="auto" w:fill="FFFFFF"/>
          <w:lang w:val="es-ES"/>
        </w:rPr>
        <w:t xml:space="preserve">Adicionalmente, y </w:t>
      </w:r>
      <w:r w:rsidR="00E30B06" w:rsidRPr="00A403E5">
        <w:rPr>
          <w:rFonts w:ascii="Times New Roman" w:hAnsi="Times New Roman"/>
          <w:color w:val="222222"/>
          <w:sz w:val="24"/>
          <w:szCs w:val="24"/>
          <w:shd w:val="clear" w:color="auto" w:fill="FFFFFF"/>
          <w:lang w:val="es-ES"/>
        </w:rPr>
        <w:t xml:space="preserve">aunque escapa al objetivo de este trabajo, un mayor corte interno disminuiría las importaciones de gasoil (ya que se mezclaría una mayor cantidad de biodiesel por cada litro de gasoil que se consuma). </w:t>
      </w:r>
    </w:p>
    <w:p w14:paraId="45329E89" w14:textId="4E6C224E" w:rsidR="00345E3C" w:rsidRPr="001E5CE2" w:rsidRDefault="00345E3C" w:rsidP="001E5CE2">
      <w:pPr>
        <w:pStyle w:val="textbox"/>
        <w:shd w:val="clear" w:color="auto" w:fill="FFFFFF"/>
        <w:spacing w:before="0" w:beforeAutospacing="0" w:after="0" w:afterAutospacing="0" w:line="360" w:lineRule="auto"/>
        <w:jc w:val="both"/>
      </w:pPr>
      <w:r w:rsidRPr="001E5CE2">
        <w:t>Todo expresado permite reflexionar sobre la necesidad de trabajar en el futuro en las siguientes direcciones de políticas para el sector:</w:t>
      </w:r>
    </w:p>
    <w:p w14:paraId="7FB2817B" w14:textId="42603510" w:rsidR="00345E3C" w:rsidRPr="001E5CE2" w:rsidRDefault="00345E3C" w:rsidP="001E5CE2">
      <w:pPr>
        <w:pStyle w:val="textbox"/>
        <w:shd w:val="clear" w:color="auto" w:fill="FFFFFF"/>
        <w:spacing w:before="0" w:beforeAutospacing="0" w:after="0" w:afterAutospacing="0" w:line="360" w:lineRule="auto"/>
        <w:jc w:val="both"/>
      </w:pPr>
      <w:r w:rsidRPr="001E5CE2">
        <w:t xml:space="preserve">En </w:t>
      </w:r>
      <w:r w:rsidR="005A7B20">
        <w:t>cuanto</w:t>
      </w:r>
      <w:r w:rsidRPr="001E5CE2">
        <w:t xml:space="preserve"> al biodiesel, </w:t>
      </w:r>
    </w:p>
    <w:p w14:paraId="7E1E35DB" w14:textId="34C3A6CE" w:rsidR="00345E3C" w:rsidRPr="001E5CE2" w:rsidRDefault="00345E3C" w:rsidP="001E5CE2">
      <w:pPr>
        <w:pStyle w:val="textbox"/>
        <w:numPr>
          <w:ilvl w:val="0"/>
          <w:numId w:val="7"/>
        </w:numPr>
        <w:shd w:val="clear" w:color="auto" w:fill="FFFFFF"/>
        <w:spacing w:before="0" w:beforeAutospacing="0" w:after="0" w:afterAutospacing="0" w:line="360" w:lineRule="auto"/>
        <w:jc w:val="both"/>
      </w:pPr>
      <w:r w:rsidRPr="001E5CE2">
        <w:t>Orientar la búsqueda de nuevos mercados externos de bioc</w:t>
      </w:r>
      <w:r w:rsidR="00D7400D" w:rsidRPr="001E5CE2">
        <w:t>o</w:t>
      </w:r>
      <w:r w:rsidRPr="001E5CE2">
        <w:t>mbustibles</w:t>
      </w:r>
      <w:r w:rsidR="005A7B20">
        <w:t>.</w:t>
      </w:r>
    </w:p>
    <w:p w14:paraId="2226FD32" w14:textId="65E246D1" w:rsidR="00345E3C" w:rsidRPr="001E5CE2" w:rsidRDefault="00345E3C" w:rsidP="001E5CE2">
      <w:pPr>
        <w:pStyle w:val="textbox"/>
        <w:numPr>
          <w:ilvl w:val="0"/>
          <w:numId w:val="7"/>
        </w:numPr>
        <w:shd w:val="clear" w:color="auto" w:fill="FFFFFF"/>
        <w:spacing w:before="0" w:beforeAutospacing="0" w:after="0" w:afterAutospacing="0" w:line="360" w:lineRule="auto"/>
        <w:jc w:val="both"/>
      </w:pPr>
      <w:r w:rsidRPr="001E5CE2">
        <w:t>Mejorar algunos problemas regulatorios como el establecimiento de precios internos para comercializar biodiesel de manera oportuna y que los mismos representen los verdaderos costos de las empresas</w:t>
      </w:r>
      <w:r w:rsidR="000A7441">
        <w:t>.</w:t>
      </w:r>
    </w:p>
    <w:p w14:paraId="5253FBA1" w14:textId="0B78BC2A" w:rsidR="00345E3C" w:rsidRPr="001E5CE2" w:rsidRDefault="00345E3C" w:rsidP="001E5CE2">
      <w:pPr>
        <w:pStyle w:val="textbox"/>
        <w:shd w:val="clear" w:color="auto" w:fill="FFFFFF"/>
        <w:spacing w:before="0" w:beforeAutospacing="0" w:after="0" w:afterAutospacing="0" w:line="360" w:lineRule="auto"/>
        <w:jc w:val="both"/>
      </w:pPr>
      <w:r w:rsidRPr="001E5CE2">
        <w:lastRenderedPageBreak/>
        <w:t xml:space="preserve">En </w:t>
      </w:r>
      <w:r w:rsidR="005A7B20">
        <w:t>cuanto</w:t>
      </w:r>
      <w:r w:rsidRPr="001E5CE2">
        <w:t xml:space="preserve"> a las </w:t>
      </w:r>
      <w:r w:rsidR="000A7441" w:rsidRPr="001E5CE2">
        <w:t>dificultades para</w:t>
      </w:r>
      <w:r w:rsidRPr="001E5CE2">
        <w:t xml:space="preserve"> agregar valor en la cadena industrial de la soja</w:t>
      </w:r>
      <w:r w:rsidR="000A7441">
        <w:t>:</w:t>
      </w:r>
      <w:r w:rsidRPr="001E5CE2">
        <w:t xml:space="preserve">  </w:t>
      </w:r>
    </w:p>
    <w:p w14:paraId="7A5CA08B" w14:textId="77777777" w:rsidR="00A403E5" w:rsidRDefault="00345E3C" w:rsidP="001E5CE2">
      <w:pPr>
        <w:pStyle w:val="textbox"/>
        <w:numPr>
          <w:ilvl w:val="0"/>
          <w:numId w:val="8"/>
        </w:numPr>
        <w:shd w:val="clear" w:color="auto" w:fill="FFFFFF"/>
        <w:spacing w:before="0" w:beforeAutospacing="0" w:after="0" w:afterAutospacing="0" w:line="360" w:lineRule="auto"/>
        <w:ind w:left="709"/>
        <w:jc w:val="both"/>
      </w:pPr>
      <w:r w:rsidRPr="001E5CE2">
        <w:t>El gobierno podría instrumentar políticas internas que fomenten el agregado de valor; en particular, se podría crear un entorno que facilite las posibilidades de reposicionamiento (</w:t>
      </w:r>
      <w:proofErr w:type="spellStart"/>
      <w:r w:rsidRPr="001E5CE2">
        <w:t>upgrading</w:t>
      </w:r>
      <w:proofErr w:type="spellEnd"/>
      <w:r w:rsidRPr="001E5CE2">
        <w:t xml:space="preserve">) de las empresas. </w:t>
      </w:r>
    </w:p>
    <w:p w14:paraId="60924E47" w14:textId="66D4EA6B" w:rsidR="00345E3C" w:rsidRPr="001E5CE2" w:rsidRDefault="00345E3C" w:rsidP="001E5CE2">
      <w:pPr>
        <w:pStyle w:val="textbox"/>
        <w:numPr>
          <w:ilvl w:val="0"/>
          <w:numId w:val="8"/>
        </w:numPr>
        <w:shd w:val="clear" w:color="auto" w:fill="FFFFFF"/>
        <w:spacing w:before="0" w:beforeAutospacing="0" w:after="0" w:afterAutospacing="0" w:line="360" w:lineRule="auto"/>
        <w:ind w:left="709"/>
        <w:jc w:val="both"/>
      </w:pPr>
      <w:r w:rsidRPr="001E5CE2">
        <w:t>Los precios internacionales de la harina de soja resultan atractivos</w:t>
      </w:r>
      <w:r w:rsidR="00A403E5">
        <w:t xml:space="preserve"> incluso para ampliar más las actuales</w:t>
      </w:r>
      <w:r w:rsidRPr="001E5CE2">
        <w:t xml:space="preserve"> exportaci</w:t>
      </w:r>
      <w:r w:rsidR="00A403E5">
        <w:t>ones.</w:t>
      </w:r>
      <w:r w:rsidRPr="001E5CE2">
        <w:t xml:space="preserve">  </w:t>
      </w:r>
    </w:p>
    <w:p w14:paraId="67D1DFC5" w14:textId="2CB0D82E" w:rsidR="00345E3C" w:rsidRPr="001E5CE2" w:rsidRDefault="00345E3C" w:rsidP="001E5CE2">
      <w:pPr>
        <w:pStyle w:val="textbox"/>
        <w:numPr>
          <w:ilvl w:val="0"/>
          <w:numId w:val="8"/>
        </w:numPr>
        <w:shd w:val="clear" w:color="auto" w:fill="FFFFFF"/>
        <w:spacing w:before="0" w:beforeAutospacing="0" w:after="0" w:afterAutospacing="0" w:line="360" w:lineRule="auto"/>
        <w:ind w:left="709"/>
        <w:jc w:val="both"/>
        <w:rPr>
          <w:color w:val="222222"/>
          <w:shd w:val="clear" w:color="auto" w:fill="FFFFFF"/>
        </w:rPr>
      </w:pPr>
      <w:r w:rsidRPr="001E5CE2">
        <w:t xml:space="preserve">Para el aceite, la importante disminución en el precio del mismo, determinó un mayor </w:t>
      </w:r>
      <w:r w:rsidR="00A403E5">
        <w:t>empleo</w:t>
      </w:r>
      <w:r w:rsidRPr="001E5CE2">
        <w:t xml:space="preserve"> como materia prima para elaborar biodiesel, agregando valor a la cadena. Sin embargo, la reducción de las exportaciones de biodiésel obliga a reconsiderar la posibilidad de ampliar las exportaciones de aceite, proceso ya iniciado (Escenario 1). Las estimaciones realizadas en este trabajo permiten afirmar que, desde el punto de vista de la cadena de valor, eso brindaría peores resultados, con relación a aquella situación en la cual la exportación de aceite va acompañada por un incremento en el porcentaje de corte del biodiesel. </w:t>
      </w:r>
    </w:p>
    <w:p w14:paraId="79826A92" w14:textId="77777777" w:rsidR="00E30B06" w:rsidRPr="001E5CE2" w:rsidRDefault="00E30B06" w:rsidP="001E5CE2">
      <w:pPr>
        <w:spacing w:after="0" w:line="360" w:lineRule="auto"/>
        <w:jc w:val="both"/>
        <w:rPr>
          <w:rFonts w:ascii="Times New Roman" w:hAnsi="Times New Roman"/>
          <w:b/>
          <w:sz w:val="24"/>
          <w:szCs w:val="24"/>
          <w:u w:val="single"/>
        </w:rPr>
      </w:pPr>
    </w:p>
    <w:p w14:paraId="1B3F535C" w14:textId="03F8FE8C" w:rsidR="009C5A2F" w:rsidRPr="001E5CE2" w:rsidRDefault="00E31D7C" w:rsidP="005A7B20">
      <w:pPr>
        <w:spacing w:after="0" w:line="360" w:lineRule="auto"/>
        <w:jc w:val="both"/>
        <w:rPr>
          <w:rFonts w:ascii="Times New Roman" w:hAnsi="Times New Roman"/>
          <w:b/>
          <w:sz w:val="24"/>
          <w:szCs w:val="24"/>
        </w:rPr>
      </w:pPr>
      <w:r>
        <w:rPr>
          <w:rFonts w:ascii="Times New Roman" w:hAnsi="Times New Roman"/>
          <w:b/>
          <w:sz w:val="24"/>
          <w:szCs w:val="24"/>
        </w:rPr>
        <w:t>7</w:t>
      </w:r>
      <w:r w:rsidR="00BB5D89">
        <w:rPr>
          <w:rFonts w:ascii="Times New Roman" w:hAnsi="Times New Roman"/>
          <w:b/>
          <w:sz w:val="24"/>
          <w:szCs w:val="24"/>
        </w:rPr>
        <w:t xml:space="preserve">. </w:t>
      </w:r>
      <w:r w:rsidR="0066085F" w:rsidRPr="001E5CE2">
        <w:rPr>
          <w:rFonts w:ascii="Times New Roman" w:hAnsi="Times New Roman"/>
          <w:b/>
          <w:sz w:val="24"/>
          <w:szCs w:val="24"/>
        </w:rPr>
        <w:t xml:space="preserve">Bibliografía </w:t>
      </w:r>
    </w:p>
    <w:p w14:paraId="03BD0A13" w14:textId="65429262" w:rsidR="00D14E09" w:rsidRPr="00D14E09" w:rsidRDefault="00D14E09" w:rsidP="00D14E09">
      <w:pPr>
        <w:pStyle w:val="Prrafodelista"/>
        <w:numPr>
          <w:ilvl w:val="0"/>
          <w:numId w:val="4"/>
        </w:numPr>
        <w:spacing w:after="0" w:line="360" w:lineRule="auto"/>
        <w:ind w:left="284" w:hanging="284"/>
        <w:jc w:val="both"/>
        <w:rPr>
          <w:rFonts w:ascii="Times New Roman" w:hAnsi="Times New Roman"/>
          <w:sz w:val="24"/>
          <w:szCs w:val="24"/>
          <w:shd w:val="clear" w:color="auto" w:fill="FFFFFF"/>
        </w:rPr>
      </w:pPr>
      <w:r w:rsidRPr="00D14E09">
        <w:rPr>
          <w:rFonts w:ascii="Times New Roman" w:eastAsia="Arial" w:hAnsi="Times New Roman"/>
          <w:sz w:val="24"/>
          <w:szCs w:val="24"/>
        </w:rPr>
        <w:t xml:space="preserve">Asís, I.; Sattler, S.; Castro </w:t>
      </w:r>
      <w:proofErr w:type="spellStart"/>
      <w:r w:rsidRPr="00D14E09">
        <w:rPr>
          <w:rFonts w:ascii="Times New Roman" w:eastAsia="Arial" w:hAnsi="Times New Roman"/>
          <w:sz w:val="24"/>
          <w:szCs w:val="24"/>
        </w:rPr>
        <w:t>Gonzalez</w:t>
      </w:r>
      <w:proofErr w:type="spellEnd"/>
      <w:r w:rsidRPr="00D14E09">
        <w:rPr>
          <w:rFonts w:ascii="Times New Roman" w:eastAsia="Arial" w:hAnsi="Times New Roman"/>
          <w:sz w:val="24"/>
          <w:szCs w:val="24"/>
        </w:rPr>
        <w:t>, E</w:t>
      </w:r>
      <w:r w:rsidRPr="00D002BD">
        <w:rPr>
          <w:rFonts w:ascii="Times New Roman" w:eastAsia="Arial" w:hAnsi="Times New Roman"/>
          <w:sz w:val="24"/>
          <w:szCs w:val="24"/>
          <w:shd w:val="clear" w:color="auto" w:fill="FFFFFF" w:themeFill="background1"/>
        </w:rPr>
        <w:t>.</w:t>
      </w:r>
      <w:r w:rsidRPr="00D002BD">
        <w:rPr>
          <w:rFonts w:ascii="Times New Roman" w:hAnsi="Times New Roman"/>
          <w:color w:val="000000"/>
          <w:sz w:val="24"/>
          <w:szCs w:val="24"/>
          <w:shd w:val="clear" w:color="auto" w:fill="FFFFFF" w:themeFill="background1"/>
        </w:rPr>
        <w:t xml:space="preserve"> (2018)</w:t>
      </w:r>
      <w:r w:rsidR="00D002BD" w:rsidRPr="00D002BD">
        <w:rPr>
          <w:rFonts w:ascii="Times New Roman" w:hAnsi="Times New Roman"/>
          <w:color w:val="000000"/>
          <w:sz w:val="24"/>
          <w:szCs w:val="24"/>
          <w:shd w:val="clear" w:color="auto" w:fill="FFFFFF" w:themeFill="background1"/>
        </w:rPr>
        <w:t>.</w:t>
      </w:r>
      <w:r w:rsidRPr="00D002BD">
        <w:rPr>
          <w:rFonts w:ascii="Times New Roman" w:hAnsi="Times New Roman"/>
          <w:color w:val="000000"/>
          <w:sz w:val="24"/>
          <w:szCs w:val="24"/>
          <w:shd w:val="clear" w:color="auto" w:fill="FFFFFF" w:themeFill="background1"/>
        </w:rPr>
        <w:t xml:space="preserve"> “</w:t>
      </w:r>
      <w:hyperlink r:id="rId24" w:tgtFrame="_blank" w:history="1">
        <w:r w:rsidRPr="00D14E09">
          <w:rPr>
            <w:rStyle w:val="Hipervnculo"/>
            <w:rFonts w:ascii="Times New Roman" w:hAnsi="Times New Roman"/>
            <w:color w:val="auto"/>
            <w:sz w:val="24"/>
            <w:szCs w:val="24"/>
            <w:u w:val="none"/>
          </w:rPr>
          <w:t xml:space="preserve">Posibles escenarios en el análisis del </w:t>
        </w:r>
        <w:proofErr w:type="spellStart"/>
        <w:r w:rsidRPr="00D14E09">
          <w:rPr>
            <w:rStyle w:val="Hipervnculo"/>
            <w:rFonts w:ascii="Times New Roman" w:hAnsi="Times New Roman"/>
            <w:color w:val="auto"/>
            <w:sz w:val="24"/>
            <w:szCs w:val="24"/>
            <w:u w:val="none"/>
          </w:rPr>
          <w:t>Upgrading</w:t>
        </w:r>
        <w:proofErr w:type="spellEnd"/>
        <w:r w:rsidRPr="00D14E09">
          <w:rPr>
            <w:rStyle w:val="Hipervnculo"/>
            <w:rFonts w:ascii="Times New Roman" w:hAnsi="Times New Roman"/>
            <w:color w:val="auto"/>
            <w:sz w:val="24"/>
            <w:szCs w:val="24"/>
            <w:u w:val="none"/>
          </w:rPr>
          <w:t xml:space="preserve"> y </w:t>
        </w:r>
        <w:proofErr w:type="spellStart"/>
        <w:r w:rsidRPr="00D14E09">
          <w:rPr>
            <w:rStyle w:val="Hipervnculo"/>
            <w:rFonts w:ascii="Times New Roman" w:hAnsi="Times New Roman"/>
            <w:color w:val="auto"/>
            <w:sz w:val="24"/>
            <w:szCs w:val="24"/>
            <w:u w:val="none"/>
          </w:rPr>
          <w:t>governance</w:t>
        </w:r>
        <w:proofErr w:type="spellEnd"/>
        <w:r w:rsidRPr="00D14E09">
          <w:rPr>
            <w:rStyle w:val="Hipervnculo"/>
            <w:rFonts w:ascii="Times New Roman" w:hAnsi="Times New Roman"/>
            <w:color w:val="auto"/>
            <w:sz w:val="24"/>
            <w:szCs w:val="24"/>
            <w:u w:val="none"/>
          </w:rPr>
          <w:t xml:space="preserve"> de la cadena de soja</w:t>
        </w:r>
      </w:hyperlink>
      <w:r>
        <w:rPr>
          <w:rFonts w:ascii="Times New Roman" w:hAnsi="Times New Roman"/>
          <w:sz w:val="24"/>
          <w:szCs w:val="24"/>
        </w:rPr>
        <w:t>”</w:t>
      </w:r>
      <w:r w:rsidRPr="00D14E09">
        <w:rPr>
          <w:rFonts w:ascii="Times New Roman" w:hAnsi="Times New Roman"/>
          <w:sz w:val="24"/>
          <w:szCs w:val="24"/>
        </w:rPr>
        <w:t xml:space="preserve">. </w:t>
      </w:r>
      <w:r w:rsidRPr="00D14E09">
        <w:rPr>
          <w:rFonts w:ascii="Times New Roman" w:hAnsi="Times New Roman"/>
          <w:sz w:val="24"/>
          <w:szCs w:val="24"/>
          <w:shd w:val="clear" w:color="auto" w:fill="FFFFFF"/>
        </w:rPr>
        <w:t xml:space="preserve">Reunión Anual de la Asociación Argentina de Economía Política. </w:t>
      </w:r>
      <w:r w:rsidR="00D002BD">
        <w:rPr>
          <w:rFonts w:ascii="Times New Roman" w:hAnsi="Times New Roman"/>
          <w:sz w:val="24"/>
          <w:szCs w:val="24"/>
          <w:shd w:val="clear" w:color="auto" w:fill="FFFFFF"/>
        </w:rPr>
        <w:t>La Plata. Buenos Aires</w:t>
      </w:r>
      <w:r w:rsidRPr="00D14E09">
        <w:rPr>
          <w:rFonts w:ascii="Times New Roman" w:hAnsi="Times New Roman"/>
          <w:sz w:val="24"/>
          <w:szCs w:val="24"/>
          <w:shd w:val="clear" w:color="auto" w:fill="FFFFFF"/>
        </w:rPr>
        <w:t>.</w:t>
      </w:r>
    </w:p>
    <w:p w14:paraId="75D36D9A" w14:textId="77777777" w:rsidR="0097729B" w:rsidRPr="001E5CE2" w:rsidRDefault="0097729B" w:rsidP="001E5CE2">
      <w:pPr>
        <w:pStyle w:val="Prrafodelista"/>
        <w:numPr>
          <w:ilvl w:val="0"/>
          <w:numId w:val="4"/>
        </w:numPr>
        <w:spacing w:after="0" w:line="360" w:lineRule="auto"/>
        <w:ind w:left="284" w:hanging="284"/>
        <w:jc w:val="both"/>
        <w:rPr>
          <w:rFonts w:ascii="Times New Roman" w:eastAsia="Arial" w:hAnsi="Times New Roman"/>
          <w:sz w:val="24"/>
          <w:szCs w:val="24"/>
        </w:rPr>
      </w:pPr>
      <w:r w:rsidRPr="001E5CE2">
        <w:rPr>
          <w:rFonts w:ascii="Times New Roman" w:eastAsia="Arial" w:hAnsi="Times New Roman"/>
          <w:sz w:val="24"/>
          <w:szCs w:val="24"/>
        </w:rPr>
        <w:t xml:space="preserve">Asís, I.; Sattler, S.; Castro </w:t>
      </w:r>
      <w:proofErr w:type="spellStart"/>
      <w:r w:rsidRPr="001E5CE2">
        <w:rPr>
          <w:rFonts w:ascii="Times New Roman" w:eastAsia="Arial" w:hAnsi="Times New Roman"/>
          <w:sz w:val="24"/>
          <w:szCs w:val="24"/>
        </w:rPr>
        <w:t>Gonzalez</w:t>
      </w:r>
      <w:proofErr w:type="spellEnd"/>
      <w:r w:rsidRPr="001E5CE2">
        <w:rPr>
          <w:rFonts w:ascii="Times New Roman" w:eastAsia="Arial" w:hAnsi="Times New Roman"/>
          <w:sz w:val="24"/>
          <w:szCs w:val="24"/>
        </w:rPr>
        <w:t xml:space="preserve">, E. (2017). “Análisis y Perspectivas de la industria de los biocombustibles en Argentina”. </w:t>
      </w:r>
      <w:r w:rsidRPr="001E5CE2">
        <w:rPr>
          <w:rFonts w:ascii="Times New Roman" w:eastAsia="Arial" w:hAnsi="Times New Roman"/>
          <w:sz w:val="24"/>
          <w:szCs w:val="24"/>
          <w:lang w:val="pt-BR"/>
        </w:rPr>
        <w:t xml:space="preserve">Argentina. </w:t>
      </w:r>
      <w:proofErr w:type="spellStart"/>
      <w:r w:rsidRPr="001E5CE2">
        <w:rPr>
          <w:rFonts w:ascii="Times New Roman" w:eastAsia="Arial" w:hAnsi="Times New Roman"/>
          <w:sz w:val="24"/>
          <w:szCs w:val="24"/>
          <w:lang w:val="pt-BR"/>
        </w:rPr>
        <w:t>Rosario</w:t>
      </w:r>
      <w:proofErr w:type="spellEnd"/>
      <w:r w:rsidRPr="001E5CE2">
        <w:rPr>
          <w:rFonts w:ascii="Times New Roman" w:eastAsia="Arial" w:hAnsi="Times New Roman"/>
          <w:sz w:val="24"/>
          <w:szCs w:val="24"/>
          <w:lang w:val="pt-BR"/>
        </w:rPr>
        <w:t xml:space="preserve">, Santa Fe. 2017. Revista. Artículo Completo. Jornada. VIII JORNADAS DE ECONOMIA ECOLÓGICA. </w:t>
      </w:r>
      <w:r w:rsidRPr="001E5CE2">
        <w:rPr>
          <w:rFonts w:ascii="Times New Roman" w:eastAsia="Arial" w:hAnsi="Times New Roman"/>
          <w:sz w:val="24"/>
          <w:szCs w:val="24"/>
        </w:rPr>
        <w:t>Facultad de Ciencias Económicas y Estadística</w:t>
      </w:r>
    </w:p>
    <w:p w14:paraId="6804AC7A"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rPr>
      </w:pPr>
      <w:r w:rsidRPr="001E5CE2">
        <w:rPr>
          <w:rFonts w:ascii="Times New Roman" w:hAnsi="Times New Roman"/>
          <w:color w:val="000000"/>
          <w:sz w:val="24"/>
          <w:szCs w:val="24"/>
          <w:shd w:val="clear" w:color="auto" w:fill="FFFFFF"/>
        </w:rPr>
        <w:t>Castellano, A.,</w:t>
      </w:r>
      <w:r w:rsidR="004A4CF1" w:rsidRPr="001E5CE2">
        <w:rPr>
          <w:rFonts w:ascii="Times New Roman" w:hAnsi="Times New Roman"/>
          <w:color w:val="000000"/>
          <w:sz w:val="24"/>
          <w:szCs w:val="24"/>
          <w:shd w:val="clear" w:color="auto" w:fill="FFFFFF"/>
        </w:rPr>
        <w:t xml:space="preserve"> </w:t>
      </w:r>
      <w:r w:rsidRPr="001E5CE2">
        <w:rPr>
          <w:rFonts w:ascii="Times New Roman" w:hAnsi="Times New Roman"/>
          <w:color w:val="000000"/>
          <w:sz w:val="24"/>
          <w:szCs w:val="24"/>
          <w:shd w:val="clear" w:color="auto" w:fill="FFFFFF"/>
        </w:rPr>
        <w:t xml:space="preserve">Goizueta, M. (2011). Agregado de Valor en la Cadena de la Soja: Alternativa de </w:t>
      </w:r>
      <w:proofErr w:type="spellStart"/>
      <w:r w:rsidRPr="001E5CE2">
        <w:rPr>
          <w:rFonts w:ascii="Times New Roman" w:hAnsi="Times New Roman"/>
          <w:color w:val="000000"/>
          <w:sz w:val="24"/>
          <w:szCs w:val="24"/>
          <w:shd w:val="clear" w:color="auto" w:fill="FFFFFF"/>
        </w:rPr>
        <w:t>Upgrading</w:t>
      </w:r>
      <w:proofErr w:type="spellEnd"/>
      <w:r w:rsidRPr="001E5CE2">
        <w:rPr>
          <w:rFonts w:ascii="Times New Roman" w:hAnsi="Times New Roman"/>
          <w:color w:val="000000"/>
          <w:sz w:val="24"/>
          <w:szCs w:val="24"/>
          <w:shd w:val="clear" w:color="auto" w:fill="FFFFFF"/>
        </w:rPr>
        <w:t xml:space="preserve"> para Productores Primarios.</w:t>
      </w:r>
    </w:p>
    <w:p w14:paraId="33F4B592" w14:textId="54E1F925" w:rsidR="0097729B" w:rsidRPr="001E5CE2" w:rsidRDefault="0097729B" w:rsidP="001E5CE2">
      <w:pPr>
        <w:pStyle w:val="Prrafodelista"/>
        <w:numPr>
          <w:ilvl w:val="0"/>
          <w:numId w:val="4"/>
        </w:numPr>
        <w:spacing w:after="0" w:line="360" w:lineRule="auto"/>
        <w:ind w:left="284" w:hanging="284"/>
        <w:jc w:val="both"/>
        <w:rPr>
          <w:rFonts w:ascii="Times New Roman" w:eastAsia="Arial" w:hAnsi="Times New Roman"/>
          <w:i/>
          <w:sz w:val="24"/>
          <w:szCs w:val="24"/>
        </w:rPr>
      </w:pPr>
      <w:proofErr w:type="spellStart"/>
      <w:r w:rsidRPr="001E5CE2">
        <w:rPr>
          <w:rFonts w:ascii="Times New Roman" w:eastAsia="Arial" w:hAnsi="Times New Roman"/>
          <w:i/>
          <w:sz w:val="24"/>
          <w:szCs w:val="24"/>
        </w:rPr>
        <w:t>Duffey</w:t>
      </w:r>
      <w:proofErr w:type="spellEnd"/>
      <w:r w:rsidRPr="001E5CE2">
        <w:rPr>
          <w:rFonts w:ascii="Times New Roman" w:eastAsia="Arial" w:hAnsi="Times New Roman"/>
          <w:i/>
          <w:sz w:val="24"/>
          <w:szCs w:val="24"/>
        </w:rPr>
        <w:t xml:space="preserve">, </w:t>
      </w:r>
      <w:proofErr w:type="spellStart"/>
      <w:r w:rsidRPr="001E5CE2">
        <w:rPr>
          <w:rFonts w:ascii="Times New Roman" w:eastAsia="Arial" w:hAnsi="Times New Roman"/>
          <w:i/>
          <w:sz w:val="24"/>
          <w:szCs w:val="24"/>
        </w:rPr>
        <w:t>Annie</w:t>
      </w:r>
      <w:proofErr w:type="spellEnd"/>
      <w:r w:rsidRPr="001E5CE2">
        <w:rPr>
          <w:rFonts w:ascii="Times New Roman" w:eastAsia="Arial" w:hAnsi="Times New Roman"/>
          <w:i/>
          <w:sz w:val="24"/>
          <w:szCs w:val="24"/>
        </w:rPr>
        <w:t xml:space="preserve"> (2006)</w:t>
      </w:r>
      <w:proofErr w:type="gramStart"/>
      <w:r w:rsidRPr="001E5CE2">
        <w:rPr>
          <w:rFonts w:ascii="Times New Roman" w:eastAsia="Arial" w:hAnsi="Times New Roman"/>
          <w:i/>
          <w:sz w:val="24"/>
          <w:szCs w:val="24"/>
        </w:rPr>
        <w:t>.“</w:t>
      </w:r>
      <w:proofErr w:type="gramEnd"/>
      <w:r w:rsidRPr="001E5CE2">
        <w:rPr>
          <w:rFonts w:ascii="Times New Roman" w:eastAsia="Arial" w:hAnsi="Times New Roman"/>
          <w:i/>
          <w:sz w:val="24"/>
          <w:szCs w:val="24"/>
        </w:rPr>
        <w:t>Producción y comercio de biocombustibles y desarrollo sustentable: los grandes temas”, Instituto Internacional para Medio Ambiente y Desarrollo, Londres.</w:t>
      </w:r>
    </w:p>
    <w:p w14:paraId="4DE66DDE"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lang w:val="en-US"/>
        </w:rPr>
      </w:pPr>
      <w:r w:rsidRPr="001E5CE2">
        <w:rPr>
          <w:rFonts w:ascii="Times New Roman" w:hAnsi="Times New Roman"/>
          <w:color w:val="000000"/>
          <w:sz w:val="24"/>
          <w:szCs w:val="24"/>
          <w:shd w:val="clear" w:color="auto" w:fill="FFFFFF"/>
          <w:lang w:val="en-US"/>
        </w:rPr>
        <w:t xml:space="preserve">Gallagher P. W, Brubaker H, </w:t>
      </w:r>
      <w:proofErr w:type="spellStart"/>
      <w:r w:rsidRPr="001E5CE2">
        <w:rPr>
          <w:rFonts w:ascii="Times New Roman" w:hAnsi="Times New Roman"/>
          <w:color w:val="000000"/>
          <w:sz w:val="24"/>
          <w:szCs w:val="24"/>
          <w:shd w:val="clear" w:color="auto" w:fill="FFFFFF"/>
          <w:lang w:val="en-US"/>
        </w:rPr>
        <w:t>Shapouri</w:t>
      </w:r>
      <w:proofErr w:type="spellEnd"/>
      <w:r w:rsidRPr="001E5CE2">
        <w:rPr>
          <w:rFonts w:ascii="Times New Roman" w:hAnsi="Times New Roman"/>
          <w:color w:val="000000"/>
          <w:sz w:val="24"/>
          <w:szCs w:val="24"/>
          <w:shd w:val="clear" w:color="auto" w:fill="FFFFFF"/>
          <w:lang w:val="en-US"/>
        </w:rPr>
        <w:t xml:space="preserve"> H (2005), “Plant Size: Capital Cost Relationships in the Dry Mill Ethanol Industry”. Biomass Bioenergy, Nº 28, 2005, pp. 565-571.</w:t>
      </w:r>
    </w:p>
    <w:p w14:paraId="1C11B099" w14:textId="61287F75"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lang w:val="en-US"/>
        </w:rPr>
      </w:pPr>
      <w:proofErr w:type="spellStart"/>
      <w:r w:rsidRPr="001E5CE2">
        <w:rPr>
          <w:rFonts w:ascii="Times New Roman" w:hAnsi="Times New Roman"/>
          <w:color w:val="000000"/>
          <w:sz w:val="24"/>
          <w:szCs w:val="24"/>
          <w:shd w:val="clear" w:color="auto" w:fill="FFFFFF"/>
          <w:lang w:val="en-US"/>
        </w:rPr>
        <w:t>Gereffi</w:t>
      </w:r>
      <w:proofErr w:type="spellEnd"/>
      <w:r w:rsidRPr="001E5CE2">
        <w:rPr>
          <w:rFonts w:ascii="Times New Roman" w:hAnsi="Times New Roman"/>
          <w:color w:val="000000"/>
          <w:sz w:val="24"/>
          <w:szCs w:val="24"/>
          <w:shd w:val="clear" w:color="auto" w:fill="FFFFFF"/>
          <w:lang w:val="en-US"/>
        </w:rPr>
        <w:t xml:space="preserve">, G.  (1999):  “International Trade and Industrial Upgrading in the Apparel Commodity Chain”. Journal of International Economics, Vol. 48, Nº1: pp.37-70 </w:t>
      </w:r>
    </w:p>
    <w:p w14:paraId="2A29D914"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lang w:val="en-US"/>
        </w:rPr>
      </w:pPr>
      <w:r w:rsidRPr="001E5CE2">
        <w:rPr>
          <w:rFonts w:ascii="Times New Roman" w:hAnsi="Times New Roman"/>
          <w:color w:val="000000"/>
          <w:sz w:val="24"/>
          <w:szCs w:val="24"/>
          <w:shd w:val="clear" w:color="auto" w:fill="FFFFFF"/>
          <w:lang w:val="en-US"/>
        </w:rPr>
        <w:lastRenderedPageBreak/>
        <w:t xml:space="preserve">Humphrey, L. y Schmitz, H.  (2000):  “Governance and Upgrading: linking Industrial </w:t>
      </w:r>
      <w:proofErr w:type="gramStart"/>
      <w:r w:rsidRPr="001E5CE2">
        <w:rPr>
          <w:rFonts w:ascii="Times New Roman" w:hAnsi="Times New Roman"/>
          <w:color w:val="000000"/>
          <w:sz w:val="24"/>
          <w:szCs w:val="24"/>
          <w:shd w:val="clear" w:color="auto" w:fill="FFFFFF"/>
          <w:lang w:val="en-US"/>
        </w:rPr>
        <w:t>Cluster  and</w:t>
      </w:r>
      <w:proofErr w:type="gramEnd"/>
      <w:r w:rsidRPr="001E5CE2">
        <w:rPr>
          <w:rFonts w:ascii="Times New Roman" w:hAnsi="Times New Roman"/>
          <w:color w:val="000000"/>
          <w:sz w:val="24"/>
          <w:szCs w:val="24"/>
          <w:shd w:val="clear" w:color="auto" w:fill="FFFFFF"/>
          <w:lang w:val="en-US"/>
        </w:rPr>
        <w:t xml:space="preserve"> Global  Value  Chain  Research”. IDS Discussion Paper Nº 120, Institute of Development Studies, University of Sussex, Brighton, UK.</w:t>
      </w:r>
    </w:p>
    <w:p w14:paraId="5B1E7C12" w14:textId="578139E2" w:rsidR="00D17C17" w:rsidRPr="005B6B31" w:rsidRDefault="00D17C17" w:rsidP="00D17C17">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lang w:val="en-US"/>
        </w:rPr>
      </w:pPr>
      <w:r w:rsidRPr="005B6B31">
        <w:rPr>
          <w:rFonts w:ascii="Arial" w:hAnsi="Arial" w:cs="Arial"/>
          <w:color w:val="000000"/>
          <w:lang w:val="en-US"/>
        </w:rPr>
        <w:t>Kaplinsky</w:t>
      </w:r>
      <w:r w:rsidRPr="005B6B31">
        <w:rPr>
          <w:rFonts w:ascii="Times New Roman" w:hAnsi="Times New Roman"/>
          <w:color w:val="000000"/>
          <w:sz w:val="24"/>
          <w:szCs w:val="24"/>
          <w:shd w:val="clear" w:color="auto" w:fill="FFFFFF"/>
          <w:lang w:val="en-US"/>
        </w:rPr>
        <w:t>, R.; Morris, M. (2001): A Handbook for Value Chain Research</w:t>
      </w:r>
    </w:p>
    <w:p w14:paraId="32F87C93" w14:textId="7701AEA7" w:rsidR="00D17C17" w:rsidRDefault="00D17C17"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rPr>
      </w:pPr>
      <w:proofErr w:type="spellStart"/>
      <w:r w:rsidRPr="000006A9">
        <w:rPr>
          <w:rFonts w:ascii="Arial" w:hAnsi="Arial" w:cs="Arial"/>
          <w:color w:val="000000"/>
        </w:rPr>
        <w:t>Kosakoff</w:t>
      </w:r>
      <w:proofErr w:type="spellEnd"/>
      <w:r w:rsidRPr="000006A9">
        <w:rPr>
          <w:rFonts w:ascii="Arial" w:hAnsi="Arial" w:cs="Arial"/>
          <w:color w:val="000000"/>
        </w:rPr>
        <w:t>, B.; López A.</w:t>
      </w:r>
      <w:r>
        <w:rPr>
          <w:rFonts w:ascii="Arial" w:hAnsi="Arial" w:cs="Arial"/>
          <w:color w:val="000000"/>
        </w:rPr>
        <w:t xml:space="preserve"> (</w:t>
      </w:r>
      <w:r w:rsidRPr="000006A9">
        <w:rPr>
          <w:rFonts w:ascii="Arial" w:hAnsi="Arial" w:cs="Arial"/>
          <w:color w:val="000000"/>
        </w:rPr>
        <w:t>2008)</w:t>
      </w:r>
      <w:r>
        <w:t xml:space="preserve"> “América Latina y las Cadenas Globales de Valor: debilidades y potencialidades”. GEORGETOWN UNIVERSITY - UNIVERSIA 2008 VOL. 2 NUM. 1 ISSN: 1988-7116</w:t>
      </w:r>
    </w:p>
    <w:p w14:paraId="39FEFE3A" w14:textId="6FA89F69"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rPr>
      </w:pPr>
      <w:proofErr w:type="spellStart"/>
      <w:r w:rsidRPr="001E5CE2">
        <w:rPr>
          <w:rFonts w:ascii="Times New Roman" w:hAnsi="Times New Roman"/>
          <w:color w:val="000000"/>
          <w:sz w:val="24"/>
          <w:szCs w:val="24"/>
          <w:shd w:val="clear" w:color="auto" w:fill="FFFFFF"/>
        </w:rPr>
        <w:t>Obschatko</w:t>
      </w:r>
      <w:proofErr w:type="spellEnd"/>
      <w:r w:rsidRPr="001E5CE2">
        <w:rPr>
          <w:rFonts w:ascii="Times New Roman" w:hAnsi="Times New Roman"/>
          <w:color w:val="000000"/>
          <w:sz w:val="24"/>
          <w:szCs w:val="24"/>
          <w:shd w:val="clear" w:color="auto" w:fill="FFFFFF"/>
        </w:rPr>
        <w:t>, E. (1993). Perfil del Complejo Industrial Argentino.</w:t>
      </w:r>
      <w:r w:rsidR="0036390C">
        <w:rPr>
          <w:rFonts w:ascii="Times New Roman" w:hAnsi="Times New Roman"/>
          <w:color w:val="000000"/>
          <w:sz w:val="24"/>
          <w:szCs w:val="24"/>
          <w:shd w:val="clear" w:color="auto" w:fill="FFFFFF"/>
        </w:rPr>
        <w:t xml:space="preserve"> </w:t>
      </w:r>
      <w:proofErr w:type="spellStart"/>
      <w:r w:rsidRPr="001E5CE2">
        <w:rPr>
          <w:rFonts w:ascii="Times New Roman" w:hAnsi="Times New Roman"/>
          <w:color w:val="000000"/>
          <w:sz w:val="24"/>
          <w:szCs w:val="24"/>
          <w:shd w:val="clear" w:color="auto" w:fill="FFFFFF"/>
        </w:rPr>
        <w:t>SAGPyA</w:t>
      </w:r>
      <w:proofErr w:type="spellEnd"/>
      <w:r w:rsidRPr="001E5CE2">
        <w:rPr>
          <w:rFonts w:ascii="Times New Roman" w:hAnsi="Times New Roman"/>
          <w:color w:val="000000"/>
          <w:sz w:val="24"/>
          <w:szCs w:val="24"/>
          <w:shd w:val="clear" w:color="auto" w:fill="FFFFFF"/>
        </w:rPr>
        <w:t>. Estudio de Competitividad Agropecuaria y Agroindustrial.</w:t>
      </w:r>
      <w:r w:rsidR="0036390C">
        <w:rPr>
          <w:rFonts w:ascii="Times New Roman" w:hAnsi="Times New Roman"/>
          <w:color w:val="000000"/>
          <w:sz w:val="24"/>
          <w:szCs w:val="24"/>
          <w:shd w:val="clear" w:color="auto" w:fill="FFFFFF"/>
        </w:rPr>
        <w:t xml:space="preserve"> </w:t>
      </w:r>
      <w:r w:rsidRPr="001E5CE2">
        <w:rPr>
          <w:rFonts w:ascii="Times New Roman" w:hAnsi="Times New Roman"/>
          <w:color w:val="000000"/>
          <w:sz w:val="24"/>
          <w:szCs w:val="24"/>
          <w:shd w:val="clear" w:color="auto" w:fill="FFFFFF"/>
        </w:rPr>
        <w:t xml:space="preserve">Buenos Aires. </w:t>
      </w:r>
    </w:p>
    <w:p w14:paraId="74FE7AF9" w14:textId="298DEF5A" w:rsidR="00647F75" w:rsidRDefault="00647F75"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Porter M. (1982): “Estrategia competitiva”. Editorial Patria.</w:t>
      </w:r>
    </w:p>
    <w:p w14:paraId="066BC573" w14:textId="1F82B8F6"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rPr>
      </w:pPr>
      <w:r w:rsidRPr="001E5CE2">
        <w:rPr>
          <w:rFonts w:ascii="Times New Roman" w:hAnsi="Times New Roman"/>
          <w:color w:val="000000"/>
          <w:sz w:val="24"/>
          <w:szCs w:val="24"/>
          <w:shd w:val="clear" w:color="auto" w:fill="FFFFFF"/>
        </w:rPr>
        <w:t>PRECOP II –  INTA (2010).  Proyecto de Eficiencia de Cosecha, Postcosecha de Granos y Agroindustria en Origen.</w:t>
      </w:r>
    </w:p>
    <w:p w14:paraId="7C794F8A"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lang w:val="en-US"/>
        </w:rPr>
      </w:pPr>
      <w:proofErr w:type="spellStart"/>
      <w:r w:rsidRPr="001E5CE2">
        <w:rPr>
          <w:rFonts w:ascii="Times New Roman" w:hAnsi="Times New Roman"/>
          <w:color w:val="000000"/>
          <w:sz w:val="24"/>
          <w:szCs w:val="24"/>
          <w:shd w:val="clear" w:color="auto" w:fill="FFFFFF"/>
        </w:rPr>
        <w:t>Schvarzer</w:t>
      </w:r>
      <w:proofErr w:type="spellEnd"/>
      <w:r w:rsidRPr="001E5CE2">
        <w:rPr>
          <w:rFonts w:ascii="Times New Roman" w:hAnsi="Times New Roman"/>
          <w:color w:val="000000"/>
          <w:sz w:val="24"/>
          <w:szCs w:val="24"/>
          <w:shd w:val="clear" w:color="auto" w:fill="FFFFFF"/>
        </w:rPr>
        <w:t xml:space="preserve">, Jorge; </w:t>
      </w:r>
      <w:proofErr w:type="spellStart"/>
      <w:r w:rsidRPr="001E5CE2">
        <w:rPr>
          <w:rFonts w:ascii="Times New Roman" w:hAnsi="Times New Roman"/>
          <w:color w:val="000000"/>
          <w:sz w:val="24"/>
          <w:szCs w:val="24"/>
          <w:shd w:val="clear" w:color="auto" w:fill="FFFFFF"/>
        </w:rPr>
        <w:t>Tavosnanska</w:t>
      </w:r>
      <w:proofErr w:type="spellEnd"/>
      <w:r w:rsidRPr="001E5CE2">
        <w:rPr>
          <w:rFonts w:ascii="Times New Roman" w:hAnsi="Times New Roman"/>
          <w:color w:val="000000"/>
          <w:sz w:val="24"/>
          <w:szCs w:val="24"/>
          <w:shd w:val="clear" w:color="auto" w:fill="FFFFFF"/>
        </w:rPr>
        <w:t xml:space="preserve">, Andrés (2007), “Biocombustibles: expansión de una industria naciente y posibilidades para Argentina”. Centro de Estudios de la Situación y Perspectivas de la Argentina (CESPA). </w:t>
      </w:r>
      <w:proofErr w:type="spellStart"/>
      <w:r w:rsidRPr="001E5CE2">
        <w:rPr>
          <w:rFonts w:ascii="Times New Roman" w:hAnsi="Times New Roman"/>
          <w:color w:val="000000"/>
          <w:sz w:val="24"/>
          <w:szCs w:val="24"/>
          <w:shd w:val="clear" w:color="auto" w:fill="FFFFFF"/>
          <w:lang w:val="en-US"/>
        </w:rPr>
        <w:t>Diciembre</w:t>
      </w:r>
      <w:proofErr w:type="spellEnd"/>
      <w:r w:rsidRPr="001E5CE2">
        <w:rPr>
          <w:rFonts w:ascii="Times New Roman" w:hAnsi="Times New Roman"/>
          <w:color w:val="000000"/>
          <w:sz w:val="24"/>
          <w:szCs w:val="24"/>
          <w:shd w:val="clear" w:color="auto" w:fill="FFFFFF"/>
          <w:lang w:val="en-US"/>
        </w:rPr>
        <w:t xml:space="preserve"> 2007. UBA-FCE.</w:t>
      </w:r>
    </w:p>
    <w:p w14:paraId="32E6E48A"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sz w:val="24"/>
          <w:szCs w:val="24"/>
          <w:shd w:val="clear" w:color="auto" w:fill="FFFFFF"/>
        </w:rPr>
      </w:pPr>
      <w:proofErr w:type="spellStart"/>
      <w:r w:rsidRPr="001E5CE2">
        <w:rPr>
          <w:rFonts w:ascii="Times New Roman" w:hAnsi="Times New Roman"/>
          <w:sz w:val="24"/>
          <w:szCs w:val="24"/>
          <w:shd w:val="clear" w:color="auto" w:fill="FFFFFF"/>
        </w:rPr>
        <w:t>Sonnet</w:t>
      </w:r>
      <w:proofErr w:type="spellEnd"/>
      <w:r w:rsidRPr="001E5CE2">
        <w:rPr>
          <w:rFonts w:ascii="Times New Roman" w:hAnsi="Times New Roman"/>
          <w:sz w:val="24"/>
          <w:szCs w:val="24"/>
          <w:shd w:val="clear" w:color="auto" w:fill="FFFFFF"/>
        </w:rPr>
        <w:t xml:space="preserve"> F., Sattler S., Castro </w:t>
      </w:r>
      <w:proofErr w:type="spellStart"/>
      <w:r w:rsidRPr="001E5CE2">
        <w:rPr>
          <w:rFonts w:ascii="Times New Roman" w:hAnsi="Times New Roman"/>
          <w:sz w:val="24"/>
          <w:szCs w:val="24"/>
          <w:shd w:val="clear" w:color="auto" w:fill="FFFFFF"/>
        </w:rPr>
        <w:t>Gonzalez</w:t>
      </w:r>
      <w:proofErr w:type="spellEnd"/>
      <w:r w:rsidRPr="001E5CE2">
        <w:rPr>
          <w:rFonts w:ascii="Times New Roman" w:hAnsi="Times New Roman"/>
          <w:sz w:val="24"/>
          <w:szCs w:val="24"/>
          <w:shd w:val="clear" w:color="auto" w:fill="FFFFFF"/>
        </w:rPr>
        <w:t xml:space="preserve"> E. (2014) Impacto de la producción de biodiesel en el uso de la tierra y en la disponibilidad.  Reunión Anual de la Asociación Argentina de Economía Política. Posadas-Misiones.</w:t>
      </w:r>
    </w:p>
    <w:p w14:paraId="1174D2E3" w14:textId="20A324EB" w:rsidR="00A403E5" w:rsidRPr="00A403E5" w:rsidRDefault="0097729B" w:rsidP="001E5CE2">
      <w:pPr>
        <w:pStyle w:val="Prrafodelista"/>
        <w:numPr>
          <w:ilvl w:val="0"/>
          <w:numId w:val="4"/>
        </w:numPr>
        <w:tabs>
          <w:tab w:val="left" w:pos="284"/>
        </w:tabs>
        <w:spacing w:after="0" w:line="360" w:lineRule="auto"/>
        <w:ind w:left="284" w:hanging="284"/>
        <w:jc w:val="both"/>
        <w:rPr>
          <w:rFonts w:ascii="Times New Roman" w:hAnsi="Times New Roman"/>
          <w:sz w:val="24"/>
          <w:szCs w:val="24"/>
        </w:rPr>
      </w:pPr>
      <w:proofErr w:type="spellStart"/>
      <w:r w:rsidRPr="00A403E5">
        <w:rPr>
          <w:rFonts w:ascii="Times New Roman" w:hAnsi="Times New Roman"/>
          <w:sz w:val="24"/>
          <w:szCs w:val="24"/>
        </w:rPr>
        <w:t>Sonnet</w:t>
      </w:r>
      <w:proofErr w:type="spellEnd"/>
      <w:r w:rsidRPr="00A403E5">
        <w:rPr>
          <w:rFonts w:ascii="Times New Roman" w:hAnsi="Times New Roman"/>
          <w:sz w:val="24"/>
          <w:szCs w:val="24"/>
        </w:rPr>
        <w:t xml:space="preserve">, Fernando; </w:t>
      </w:r>
      <w:proofErr w:type="spellStart"/>
      <w:r w:rsidRPr="00A403E5">
        <w:rPr>
          <w:rFonts w:ascii="Times New Roman" w:hAnsi="Times New Roman"/>
          <w:sz w:val="24"/>
          <w:szCs w:val="24"/>
        </w:rPr>
        <w:t>Sattler</w:t>
      </w:r>
      <w:proofErr w:type="spellEnd"/>
      <w:r w:rsidRPr="00A403E5">
        <w:rPr>
          <w:rFonts w:ascii="Times New Roman" w:hAnsi="Times New Roman"/>
          <w:sz w:val="24"/>
          <w:szCs w:val="24"/>
        </w:rPr>
        <w:t xml:space="preserve">, Silvana Andrea; </w:t>
      </w:r>
      <w:proofErr w:type="spellStart"/>
      <w:r w:rsidRPr="00A403E5">
        <w:rPr>
          <w:rFonts w:ascii="Times New Roman" w:hAnsi="Times New Roman"/>
          <w:sz w:val="24"/>
          <w:szCs w:val="24"/>
        </w:rPr>
        <w:t>Monzani</w:t>
      </w:r>
      <w:proofErr w:type="spellEnd"/>
      <w:r w:rsidRPr="00A403E5">
        <w:rPr>
          <w:rFonts w:ascii="Times New Roman" w:hAnsi="Times New Roman"/>
          <w:sz w:val="24"/>
          <w:szCs w:val="24"/>
        </w:rPr>
        <w:t xml:space="preserve">, Federico; Castro </w:t>
      </w:r>
      <w:proofErr w:type="spellStart"/>
      <w:r w:rsidRPr="00A403E5">
        <w:rPr>
          <w:rFonts w:ascii="Times New Roman" w:hAnsi="Times New Roman"/>
          <w:sz w:val="24"/>
          <w:szCs w:val="24"/>
        </w:rPr>
        <w:t>Gonzalez</w:t>
      </w:r>
      <w:proofErr w:type="spellEnd"/>
      <w:r w:rsidRPr="00A403E5">
        <w:rPr>
          <w:rFonts w:ascii="Times New Roman" w:hAnsi="Times New Roman"/>
          <w:sz w:val="24"/>
          <w:szCs w:val="24"/>
        </w:rPr>
        <w:t xml:space="preserve">, Enrique. (2011). “Análisis del mercado y de las controversias frente al biocombustible”, Artículo </w:t>
      </w:r>
      <w:r w:rsidR="00A403E5">
        <w:rPr>
          <w:rFonts w:ascii="Times New Roman" w:hAnsi="Times New Roman"/>
          <w:sz w:val="24"/>
          <w:szCs w:val="24"/>
        </w:rPr>
        <w:t>de las</w:t>
      </w:r>
      <w:r w:rsidRPr="00A403E5">
        <w:rPr>
          <w:rFonts w:ascii="Times New Roman" w:hAnsi="Times New Roman"/>
          <w:sz w:val="24"/>
          <w:szCs w:val="24"/>
        </w:rPr>
        <w:t xml:space="preserve"> VII Jornadas Interdisciplinarias de Estudios Agrarios y Agroindustriales. B</w:t>
      </w:r>
      <w:r w:rsidR="00A403E5" w:rsidRPr="00A403E5">
        <w:rPr>
          <w:rFonts w:ascii="Times New Roman" w:hAnsi="Times New Roman"/>
          <w:sz w:val="24"/>
          <w:szCs w:val="24"/>
        </w:rPr>
        <w:t>s.As.</w:t>
      </w:r>
    </w:p>
    <w:p w14:paraId="3899BC9D" w14:textId="49CB0D41" w:rsidR="0097729B" w:rsidRPr="00A403E5" w:rsidRDefault="0097729B" w:rsidP="001E5CE2">
      <w:pPr>
        <w:pStyle w:val="Prrafodelista"/>
        <w:numPr>
          <w:ilvl w:val="0"/>
          <w:numId w:val="4"/>
        </w:numPr>
        <w:tabs>
          <w:tab w:val="left" w:pos="284"/>
        </w:tabs>
        <w:spacing w:after="0" w:line="360" w:lineRule="auto"/>
        <w:ind w:left="284" w:hanging="284"/>
        <w:jc w:val="both"/>
        <w:rPr>
          <w:rFonts w:ascii="Times New Roman" w:hAnsi="Times New Roman"/>
          <w:sz w:val="24"/>
          <w:szCs w:val="24"/>
          <w:lang w:val="en-US"/>
        </w:rPr>
      </w:pPr>
      <w:proofErr w:type="spellStart"/>
      <w:r w:rsidRPr="00A403E5">
        <w:rPr>
          <w:rFonts w:ascii="Times New Roman" w:hAnsi="Times New Roman"/>
          <w:sz w:val="24"/>
          <w:szCs w:val="24"/>
        </w:rPr>
        <w:t>Sonnet</w:t>
      </w:r>
      <w:proofErr w:type="spellEnd"/>
      <w:r w:rsidRPr="00A403E5">
        <w:rPr>
          <w:rFonts w:ascii="Times New Roman" w:hAnsi="Times New Roman"/>
          <w:sz w:val="24"/>
          <w:szCs w:val="24"/>
        </w:rPr>
        <w:t xml:space="preserve">, F. H.; Moneta Pizarro, A. M.; Sattler, S. A.; </w:t>
      </w:r>
      <w:proofErr w:type="spellStart"/>
      <w:r w:rsidRPr="00A403E5">
        <w:rPr>
          <w:rFonts w:ascii="Times New Roman" w:hAnsi="Times New Roman"/>
          <w:sz w:val="24"/>
          <w:szCs w:val="24"/>
        </w:rPr>
        <w:t>Monzani</w:t>
      </w:r>
      <w:proofErr w:type="spellEnd"/>
      <w:r w:rsidRPr="00A403E5">
        <w:rPr>
          <w:rFonts w:ascii="Times New Roman" w:hAnsi="Times New Roman"/>
          <w:sz w:val="24"/>
          <w:szCs w:val="24"/>
        </w:rPr>
        <w:t xml:space="preserve">, F.; Castro González, E. L.; Rossini, M. L. (2011). “El impacto del biodiesel sobre los recursos y la disponibilidad de materias primas del agro: un modelo con aproximación empírica”, Artículo presentado en III congreso regional de economía agraria xvi congreso de economistas agrarios de Chile xlii reunión anual de la asociación argentina de economía agraria. </w:t>
      </w:r>
      <w:r w:rsidRPr="00A403E5">
        <w:rPr>
          <w:rFonts w:ascii="Times New Roman" w:hAnsi="Times New Roman"/>
          <w:sz w:val="24"/>
          <w:szCs w:val="24"/>
          <w:lang w:val="en-US"/>
        </w:rPr>
        <w:t xml:space="preserve">(9 al 11 de </w:t>
      </w:r>
      <w:proofErr w:type="spellStart"/>
      <w:r w:rsidRPr="00A403E5">
        <w:rPr>
          <w:rFonts w:ascii="Times New Roman" w:hAnsi="Times New Roman"/>
          <w:sz w:val="24"/>
          <w:szCs w:val="24"/>
          <w:lang w:val="en-US"/>
        </w:rPr>
        <w:t>Noviembre</w:t>
      </w:r>
      <w:proofErr w:type="spellEnd"/>
      <w:r w:rsidRPr="00A403E5">
        <w:rPr>
          <w:rFonts w:ascii="Times New Roman" w:hAnsi="Times New Roman"/>
          <w:sz w:val="24"/>
          <w:szCs w:val="24"/>
          <w:lang w:val="en-US"/>
        </w:rPr>
        <w:t xml:space="preserve"> 2011). (En </w:t>
      </w:r>
      <w:proofErr w:type="spellStart"/>
      <w:r w:rsidRPr="00A403E5">
        <w:rPr>
          <w:rFonts w:ascii="Times New Roman" w:hAnsi="Times New Roman"/>
          <w:sz w:val="24"/>
          <w:szCs w:val="24"/>
          <w:lang w:val="en-US"/>
        </w:rPr>
        <w:t>Libro</w:t>
      </w:r>
      <w:proofErr w:type="spellEnd"/>
      <w:r w:rsidRPr="00A403E5">
        <w:rPr>
          <w:rFonts w:ascii="Times New Roman" w:hAnsi="Times New Roman"/>
          <w:sz w:val="24"/>
          <w:szCs w:val="24"/>
          <w:lang w:val="en-US"/>
        </w:rPr>
        <w:t xml:space="preserve"> de </w:t>
      </w:r>
      <w:proofErr w:type="spellStart"/>
      <w:r w:rsidRPr="00A403E5">
        <w:rPr>
          <w:rFonts w:ascii="Times New Roman" w:hAnsi="Times New Roman"/>
          <w:sz w:val="24"/>
          <w:szCs w:val="24"/>
          <w:lang w:val="en-US"/>
        </w:rPr>
        <w:t>Resúmenes</w:t>
      </w:r>
      <w:proofErr w:type="spellEnd"/>
      <w:r w:rsidRPr="00A403E5">
        <w:rPr>
          <w:rFonts w:ascii="Times New Roman" w:hAnsi="Times New Roman"/>
          <w:sz w:val="24"/>
          <w:szCs w:val="24"/>
          <w:lang w:val="en-US"/>
        </w:rPr>
        <w:t xml:space="preserve"> pp. 99-100). </w:t>
      </w:r>
    </w:p>
    <w:p w14:paraId="7CE5B39D" w14:textId="77777777" w:rsidR="0097729B" w:rsidRPr="001E5CE2" w:rsidRDefault="0097729B" w:rsidP="001E5CE2">
      <w:pPr>
        <w:pStyle w:val="Prrafodelista"/>
        <w:numPr>
          <w:ilvl w:val="0"/>
          <w:numId w:val="4"/>
        </w:numPr>
        <w:tabs>
          <w:tab w:val="left" w:pos="284"/>
        </w:tabs>
        <w:spacing w:after="0" w:line="360" w:lineRule="auto"/>
        <w:ind w:left="284" w:hanging="284"/>
        <w:jc w:val="both"/>
        <w:rPr>
          <w:rFonts w:ascii="Times New Roman" w:hAnsi="Times New Roman"/>
          <w:sz w:val="24"/>
          <w:szCs w:val="24"/>
          <w:lang w:val="en-US"/>
        </w:rPr>
      </w:pPr>
      <w:proofErr w:type="spellStart"/>
      <w:r w:rsidRPr="001E5CE2">
        <w:rPr>
          <w:rFonts w:ascii="Times New Roman" w:hAnsi="Times New Roman"/>
          <w:sz w:val="24"/>
          <w:szCs w:val="24"/>
        </w:rPr>
        <w:t>Sonnet</w:t>
      </w:r>
      <w:proofErr w:type="spellEnd"/>
      <w:r w:rsidRPr="001E5CE2">
        <w:rPr>
          <w:rFonts w:ascii="Times New Roman" w:hAnsi="Times New Roman"/>
          <w:sz w:val="24"/>
          <w:szCs w:val="24"/>
        </w:rPr>
        <w:t xml:space="preserve">, F. H.; Sattler, S. A.; Rossini, M. L.; Castro González, E. L. (2011) “El mercado de Biocombustibles: una oportunidad para el crecimiento y desafío frente a los alimentos”, Artículo presentado en XIV jornadas nacionales de la empresa agropecuaria. Delegación y la Facultad de Ciencias Económicas de la Universidad Nacional del Centro de la Provincia de Buenos Aires. </w:t>
      </w:r>
      <w:r w:rsidRPr="001E5CE2">
        <w:rPr>
          <w:rFonts w:ascii="Times New Roman" w:hAnsi="Times New Roman"/>
          <w:sz w:val="24"/>
          <w:szCs w:val="24"/>
          <w:lang w:val="en-US"/>
        </w:rPr>
        <w:t xml:space="preserve">(21 al 23 de </w:t>
      </w:r>
      <w:proofErr w:type="spellStart"/>
      <w:r w:rsidRPr="001E5CE2">
        <w:rPr>
          <w:rFonts w:ascii="Times New Roman" w:hAnsi="Times New Roman"/>
          <w:sz w:val="24"/>
          <w:szCs w:val="24"/>
          <w:lang w:val="en-US"/>
        </w:rPr>
        <w:t>septiembre</w:t>
      </w:r>
      <w:proofErr w:type="spellEnd"/>
      <w:r w:rsidRPr="001E5CE2">
        <w:rPr>
          <w:rFonts w:ascii="Times New Roman" w:hAnsi="Times New Roman"/>
          <w:sz w:val="24"/>
          <w:szCs w:val="24"/>
          <w:lang w:val="en-US"/>
        </w:rPr>
        <w:t xml:space="preserve">) (En </w:t>
      </w:r>
      <w:proofErr w:type="spellStart"/>
      <w:r w:rsidRPr="001E5CE2">
        <w:rPr>
          <w:rFonts w:ascii="Times New Roman" w:hAnsi="Times New Roman"/>
          <w:sz w:val="24"/>
          <w:szCs w:val="24"/>
          <w:lang w:val="en-US"/>
        </w:rPr>
        <w:t>libro</w:t>
      </w:r>
      <w:proofErr w:type="spellEnd"/>
      <w:r w:rsidRPr="001E5CE2">
        <w:rPr>
          <w:rFonts w:ascii="Times New Roman" w:hAnsi="Times New Roman"/>
          <w:sz w:val="24"/>
          <w:szCs w:val="24"/>
          <w:lang w:val="en-US"/>
        </w:rPr>
        <w:t xml:space="preserve"> de </w:t>
      </w:r>
      <w:proofErr w:type="spellStart"/>
      <w:r w:rsidRPr="001E5CE2">
        <w:rPr>
          <w:rFonts w:ascii="Times New Roman" w:hAnsi="Times New Roman"/>
          <w:sz w:val="24"/>
          <w:szCs w:val="24"/>
          <w:lang w:val="en-US"/>
        </w:rPr>
        <w:t>resúmenes</w:t>
      </w:r>
      <w:proofErr w:type="spellEnd"/>
      <w:r w:rsidRPr="001E5CE2">
        <w:rPr>
          <w:rFonts w:ascii="Times New Roman" w:hAnsi="Times New Roman"/>
          <w:sz w:val="24"/>
          <w:szCs w:val="24"/>
          <w:lang w:val="en-US"/>
        </w:rPr>
        <w:t xml:space="preserve"> pp. </w:t>
      </w:r>
      <w:smartTag w:uri="urn:schemas-microsoft-com:office:smarttags" w:element="metricconverter">
        <w:smartTagPr>
          <w:attr w:name="ProductID" w:val="71 a"/>
        </w:smartTagPr>
        <w:r w:rsidRPr="001E5CE2">
          <w:rPr>
            <w:rFonts w:ascii="Times New Roman" w:hAnsi="Times New Roman"/>
            <w:sz w:val="24"/>
            <w:szCs w:val="24"/>
            <w:lang w:val="en-US"/>
          </w:rPr>
          <w:t>71 a</w:t>
        </w:r>
      </w:smartTag>
      <w:r w:rsidRPr="001E5CE2">
        <w:rPr>
          <w:rFonts w:ascii="Times New Roman" w:hAnsi="Times New Roman"/>
          <w:sz w:val="24"/>
          <w:szCs w:val="24"/>
          <w:lang w:val="en-US"/>
        </w:rPr>
        <w:t xml:space="preserve"> 75). </w:t>
      </w:r>
    </w:p>
    <w:p w14:paraId="13289369" w14:textId="77777777" w:rsidR="0097729B" w:rsidRPr="001E5CE2" w:rsidRDefault="0097729B" w:rsidP="001E5CE2">
      <w:pPr>
        <w:pStyle w:val="Prrafodelista"/>
        <w:numPr>
          <w:ilvl w:val="0"/>
          <w:numId w:val="4"/>
        </w:numPr>
        <w:tabs>
          <w:tab w:val="left" w:pos="284"/>
        </w:tabs>
        <w:spacing w:after="0" w:line="360" w:lineRule="auto"/>
        <w:ind w:left="284" w:hanging="284"/>
        <w:jc w:val="both"/>
        <w:rPr>
          <w:rFonts w:ascii="Times New Roman" w:hAnsi="Times New Roman"/>
          <w:sz w:val="24"/>
          <w:szCs w:val="24"/>
        </w:rPr>
      </w:pPr>
      <w:proofErr w:type="spellStart"/>
      <w:r w:rsidRPr="001E5CE2">
        <w:rPr>
          <w:rFonts w:ascii="Times New Roman" w:hAnsi="Times New Roman"/>
          <w:sz w:val="24"/>
          <w:szCs w:val="24"/>
        </w:rPr>
        <w:t>Sonnet</w:t>
      </w:r>
      <w:proofErr w:type="spellEnd"/>
      <w:r w:rsidRPr="001E5CE2">
        <w:rPr>
          <w:rFonts w:ascii="Times New Roman" w:hAnsi="Times New Roman"/>
          <w:sz w:val="24"/>
          <w:szCs w:val="24"/>
        </w:rPr>
        <w:t xml:space="preserve">, F. H.; Sattler, S. A.; </w:t>
      </w:r>
      <w:proofErr w:type="spellStart"/>
      <w:r w:rsidRPr="001E5CE2">
        <w:rPr>
          <w:rFonts w:ascii="Times New Roman" w:hAnsi="Times New Roman"/>
          <w:sz w:val="24"/>
          <w:szCs w:val="24"/>
        </w:rPr>
        <w:t>Monzani</w:t>
      </w:r>
      <w:proofErr w:type="spellEnd"/>
      <w:r w:rsidRPr="001E5CE2">
        <w:rPr>
          <w:rFonts w:ascii="Times New Roman" w:hAnsi="Times New Roman"/>
          <w:sz w:val="24"/>
          <w:szCs w:val="24"/>
        </w:rPr>
        <w:t xml:space="preserve">, F.; Castro González, E. L. (2012). “La industria de Biocombustibles: análisis económico, concentración y regulación.”, Artículo presentado en </w:t>
      </w:r>
      <w:r w:rsidRPr="001E5CE2">
        <w:rPr>
          <w:rFonts w:ascii="Times New Roman" w:hAnsi="Times New Roman"/>
          <w:sz w:val="24"/>
          <w:szCs w:val="24"/>
        </w:rPr>
        <w:lastRenderedPageBreak/>
        <w:t xml:space="preserve">XLVII Reunión Anual de la Asociación Argentina de Economía Política en la Universidad Nacional de la Patagonia “San Juan Bosco”- Trelew, del 14 al 16 de noviembre de 2012. </w:t>
      </w:r>
    </w:p>
    <w:p w14:paraId="7D2505F5" w14:textId="77777777" w:rsidR="0097729B" w:rsidRPr="001E5CE2" w:rsidRDefault="0097729B" w:rsidP="001E5CE2">
      <w:pPr>
        <w:pStyle w:val="Prrafodelista"/>
        <w:numPr>
          <w:ilvl w:val="0"/>
          <w:numId w:val="4"/>
        </w:numPr>
        <w:tabs>
          <w:tab w:val="left" w:pos="284"/>
        </w:tabs>
        <w:spacing w:after="0" w:line="360" w:lineRule="auto"/>
        <w:ind w:left="284" w:hanging="284"/>
        <w:jc w:val="both"/>
        <w:rPr>
          <w:rFonts w:ascii="Times New Roman" w:hAnsi="Times New Roman"/>
          <w:sz w:val="24"/>
          <w:szCs w:val="24"/>
        </w:rPr>
      </w:pPr>
      <w:proofErr w:type="spellStart"/>
      <w:r w:rsidRPr="001E5CE2">
        <w:rPr>
          <w:rFonts w:ascii="Times New Roman" w:hAnsi="Times New Roman"/>
          <w:sz w:val="24"/>
          <w:szCs w:val="24"/>
        </w:rPr>
        <w:t>Sonnet</w:t>
      </w:r>
      <w:proofErr w:type="spellEnd"/>
      <w:r w:rsidRPr="001E5CE2">
        <w:rPr>
          <w:rFonts w:ascii="Times New Roman" w:hAnsi="Times New Roman"/>
          <w:sz w:val="24"/>
          <w:szCs w:val="24"/>
        </w:rPr>
        <w:t xml:space="preserve">, F. H.; Sattler, S. A.; </w:t>
      </w:r>
      <w:proofErr w:type="spellStart"/>
      <w:r w:rsidRPr="001E5CE2">
        <w:rPr>
          <w:rFonts w:ascii="Times New Roman" w:hAnsi="Times New Roman"/>
          <w:sz w:val="24"/>
          <w:szCs w:val="24"/>
        </w:rPr>
        <w:t>Monzani</w:t>
      </w:r>
      <w:proofErr w:type="spellEnd"/>
      <w:r w:rsidRPr="001E5CE2">
        <w:rPr>
          <w:rFonts w:ascii="Times New Roman" w:hAnsi="Times New Roman"/>
          <w:sz w:val="24"/>
          <w:szCs w:val="24"/>
        </w:rPr>
        <w:t xml:space="preserve">, F.; Castro González, E. L. (2013). “Concentración y economías de escala en la industria del biodiesel.”, Artículo presentado en XLIV Reunión Anual de la Asociación Argentina de Economía Agraria realizada en los días 29, 30 y 31 de octubre de 2013, San Juan. </w:t>
      </w:r>
    </w:p>
    <w:p w14:paraId="10627806" w14:textId="77777777" w:rsidR="0097729B" w:rsidRPr="001E5CE2" w:rsidRDefault="0097729B" w:rsidP="001E5CE2">
      <w:pPr>
        <w:pStyle w:val="Prrafodelista"/>
        <w:numPr>
          <w:ilvl w:val="0"/>
          <w:numId w:val="4"/>
        </w:numPr>
        <w:tabs>
          <w:tab w:val="left" w:pos="284"/>
        </w:tabs>
        <w:spacing w:after="0" w:line="360" w:lineRule="auto"/>
        <w:ind w:left="284" w:hanging="284"/>
        <w:jc w:val="both"/>
        <w:rPr>
          <w:rFonts w:ascii="Times New Roman" w:hAnsi="Times New Roman"/>
          <w:sz w:val="24"/>
          <w:szCs w:val="24"/>
        </w:rPr>
      </w:pPr>
      <w:proofErr w:type="spellStart"/>
      <w:r w:rsidRPr="001E5CE2">
        <w:rPr>
          <w:rFonts w:ascii="Times New Roman" w:hAnsi="Times New Roman"/>
          <w:sz w:val="24"/>
          <w:szCs w:val="24"/>
        </w:rPr>
        <w:t>Sonnet</w:t>
      </w:r>
      <w:proofErr w:type="spellEnd"/>
      <w:r w:rsidRPr="001E5CE2">
        <w:rPr>
          <w:rFonts w:ascii="Times New Roman" w:hAnsi="Times New Roman"/>
          <w:sz w:val="24"/>
          <w:szCs w:val="24"/>
        </w:rPr>
        <w:t xml:space="preserve">, F. H.; Sattler, S. A; Castro González, E. L (2015). “Análisis de la cadena de la soja y sus subproductos: Una oportunidad para el desarrollo.”, Artículo presentado en IX Jornadas Interdisciplinarias de Estudios Agrarios y Agroindustriales Argentinos y Latinoamericanos, realizada en los días 3 al 6 de noviembre de 2015, Facultad de Ciencias Económicas-UBA- Buenos Aires. </w:t>
      </w:r>
    </w:p>
    <w:p w14:paraId="2CA346F0" w14:textId="77777777" w:rsidR="0097729B" w:rsidRPr="001E5CE2" w:rsidRDefault="0097729B" w:rsidP="001E5CE2">
      <w:pPr>
        <w:pStyle w:val="Prrafodelista"/>
        <w:numPr>
          <w:ilvl w:val="0"/>
          <w:numId w:val="4"/>
        </w:numPr>
        <w:tabs>
          <w:tab w:val="left" w:pos="284"/>
        </w:tabs>
        <w:spacing w:after="0" w:line="360" w:lineRule="auto"/>
        <w:ind w:left="284" w:hanging="284"/>
        <w:jc w:val="both"/>
        <w:rPr>
          <w:rFonts w:ascii="Times New Roman" w:hAnsi="Times New Roman"/>
          <w:sz w:val="24"/>
          <w:szCs w:val="24"/>
        </w:rPr>
      </w:pPr>
      <w:proofErr w:type="spellStart"/>
      <w:r w:rsidRPr="001E5CE2">
        <w:rPr>
          <w:rFonts w:ascii="Times New Roman" w:hAnsi="Times New Roman"/>
          <w:sz w:val="24"/>
          <w:szCs w:val="24"/>
        </w:rPr>
        <w:t>Sonnet</w:t>
      </w:r>
      <w:proofErr w:type="spellEnd"/>
      <w:r w:rsidRPr="001E5CE2">
        <w:rPr>
          <w:rFonts w:ascii="Times New Roman" w:hAnsi="Times New Roman"/>
          <w:sz w:val="24"/>
          <w:szCs w:val="24"/>
        </w:rPr>
        <w:t>, F. H.; Sattler, S. A; Castro González, E. L. (2015). “</w:t>
      </w:r>
      <w:proofErr w:type="spellStart"/>
      <w:r w:rsidRPr="001E5CE2">
        <w:rPr>
          <w:rFonts w:ascii="Times New Roman" w:hAnsi="Times New Roman"/>
          <w:sz w:val="24"/>
          <w:szCs w:val="24"/>
        </w:rPr>
        <w:t>Upgrading</w:t>
      </w:r>
      <w:proofErr w:type="spellEnd"/>
      <w:r w:rsidRPr="001E5CE2">
        <w:rPr>
          <w:rFonts w:ascii="Times New Roman" w:hAnsi="Times New Roman"/>
          <w:sz w:val="24"/>
          <w:szCs w:val="24"/>
        </w:rPr>
        <w:t xml:space="preserve"> y </w:t>
      </w:r>
      <w:proofErr w:type="spellStart"/>
      <w:r w:rsidRPr="001E5CE2">
        <w:rPr>
          <w:rFonts w:ascii="Times New Roman" w:hAnsi="Times New Roman"/>
          <w:sz w:val="24"/>
          <w:szCs w:val="24"/>
        </w:rPr>
        <w:t>Governance</w:t>
      </w:r>
      <w:proofErr w:type="spellEnd"/>
      <w:r w:rsidRPr="001E5CE2">
        <w:rPr>
          <w:rFonts w:ascii="Times New Roman" w:hAnsi="Times New Roman"/>
          <w:sz w:val="24"/>
          <w:szCs w:val="24"/>
        </w:rPr>
        <w:t xml:space="preserve"> en la cadena de valor del maíz: molienda húmeda y etanol.”, Artículo presentado en XLVI Reunión Anual de la Asociación Argentina de Economía Agraria realizada en los días 4 al 6 de noviembre de 2015, Tandil-Buenos Aires. </w:t>
      </w:r>
    </w:p>
    <w:p w14:paraId="08150ABB"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color w:val="000000"/>
          <w:sz w:val="24"/>
          <w:szCs w:val="24"/>
          <w:shd w:val="clear" w:color="auto" w:fill="FFFFFF"/>
          <w:lang w:val="en-US"/>
        </w:rPr>
      </w:pPr>
      <w:r w:rsidRPr="001E5CE2">
        <w:rPr>
          <w:rFonts w:ascii="Times New Roman" w:hAnsi="Times New Roman"/>
          <w:color w:val="000000"/>
          <w:sz w:val="24"/>
          <w:szCs w:val="24"/>
          <w:shd w:val="clear" w:color="auto" w:fill="FFFFFF"/>
          <w:lang w:val="en-US"/>
        </w:rPr>
        <w:t>Visser, E. J. (2004).</w:t>
      </w:r>
      <w:r w:rsidRPr="001E5CE2">
        <w:rPr>
          <w:rStyle w:val="apple-converted-space"/>
          <w:rFonts w:ascii="Times New Roman" w:hAnsi="Times New Roman"/>
          <w:color w:val="000000"/>
          <w:sz w:val="24"/>
          <w:szCs w:val="24"/>
          <w:shd w:val="clear" w:color="auto" w:fill="FFFFFF"/>
          <w:lang w:val="en-US"/>
        </w:rPr>
        <w:t> </w:t>
      </w:r>
      <w:r w:rsidRPr="001E5CE2">
        <w:rPr>
          <w:rFonts w:ascii="Times New Roman" w:hAnsi="Times New Roman"/>
          <w:i/>
          <w:iCs/>
          <w:color w:val="000000"/>
          <w:sz w:val="24"/>
          <w:szCs w:val="24"/>
          <w:shd w:val="clear" w:color="auto" w:fill="FFFFFF"/>
          <w:lang w:val="en-US"/>
        </w:rPr>
        <w:t>A Chilean Wine Cluster? Governance and Upgrading in the Phase of Internationalization</w:t>
      </w:r>
      <w:r w:rsidRPr="001E5CE2">
        <w:rPr>
          <w:rStyle w:val="apple-converted-space"/>
          <w:rFonts w:ascii="Times New Roman" w:hAnsi="Times New Roman"/>
          <w:color w:val="000000"/>
          <w:sz w:val="24"/>
          <w:szCs w:val="24"/>
          <w:shd w:val="clear" w:color="auto" w:fill="FFFFFF"/>
          <w:lang w:val="en-US"/>
        </w:rPr>
        <w:t> </w:t>
      </w:r>
      <w:r w:rsidRPr="001E5CE2">
        <w:rPr>
          <w:rFonts w:ascii="Times New Roman" w:hAnsi="Times New Roman"/>
          <w:color w:val="000000"/>
          <w:sz w:val="24"/>
          <w:szCs w:val="24"/>
          <w:shd w:val="clear" w:color="auto" w:fill="FFFFFF"/>
          <w:lang w:val="en-US"/>
        </w:rPr>
        <w:t>(Vol. 156). United Nations Publications.</w:t>
      </w:r>
    </w:p>
    <w:p w14:paraId="428A86F7" w14:textId="77777777" w:rsidR="0097729B" w:rsidRPr="001E5CE2" w:rsidRDefault="0097729B" w:rsidP="001E5CE2">
      <w:pPr>
        <w:spacing w:after="0" w:line="360" w:lineRule="auto"/>
        <w:jc w:val="both"/>
        <w:rPr>
          <w:rFonts w:ascii="Times New Roman" w:hAnsi="Times New Roman"/>
          <w:i/>
          <w:sz w:val="24"/>
          <w:szCs w:val="24"/>
        </w:rPr>
      </w:pPr>
      <w:r w:rsidRPr="001E5CE2">
        <w:rPr>
          <w:rFonts w:ascii="Times New Roman" w:hAnsi="Times New Roman"/>
          <w:i/>
          <w:sz w:val="24"/>
          <w:szCs w:val="24"/>
        </w:rPr>
        <w:t>Páginas web:</w:t>
      </w:r>
    </w:p>
    <w:p w14:paraId="5509ADAA" w14:textId="18C1F1CA" w:rsidR="0097729B" w:rsidRPr="00A403E5" w:rsidRDefault="0097729B" w:rsidP="001E5CE2">
      <w:pPr>
        <w:pStyle w:val="Prrafodelista"/>
        <w:numPr>
          <w:ilvl w:val="0"/>
          <w:numId w:val="4"/>
        </w:numPr>
        <w:spacing w:after="0" w:line="360" w:lineRule="auto"/>
        <w:ind w:left="284" w:hanging="284"/>
        <w:jc w:val="both"/>
        <w:rPr>
          <w:rFonts w:ascii="Times New Roman" w:hAnsi="Times New Roman"/>
          <w:sz w:val="24"/>
          <w:szCs w:val="24"/>
        </w:rPr>
      </w:pPr>
      <w:r w:rsidRPr="00A403E5">
        <w:rPr>
          <w:rFonts w:ascii="Times New Roman" w:hAnsi="Times New Roman"/>
          <w:sz w:val="24"/>
          <w:szCs w:val="24"/>
        </w:rPr>
        <w:t>Bolsa de Comercio de rosario (BCR). Informes semanales. Link</w:t>
      </w:r>
      <w:r w:rsidR="00DD2CD7" w:rsidRPr="00A403E5">
        <w:rPr>
          <w:rFonts w:ascii="Times New Roman" w:hAnsi="Times New Roman"/>
          <w:sz w:val="24"/>
          <w:szCs w:val="24"/>
        </w:rPr>
        <w:t>s</w:t>
      </w:r>
      <w:r w:rsidRPr="003D6F65">
        <w:rPr>
          <w:rFonts w:ascii="Times New Roman" w:hAnsi="Times New Roman"/>
          <w:sz w:val="24"/>
          <w:szCs w:val="24"/>
        </w:rPr>
        <w:t xml:space="preserve">: </w:t>
      </w:r>
      <w:hyperlink w:history="1">
        <w:r w:rsidR="00A403E5" w:rsidRPr="003D6F65">
          <w:rPr>
            <w:rStyle w:val="Hipervnculo"/>
            <w:rFonts w:ascii="Times New Roman" w:hAnsi="Times New Roman"/>
            <w:color w:val="auto"/>
            <w:sz w:val="24"/>
            <w:szCs w:val="24"/>
            <w:u w:val="none"/>
          </w:rPr>
          <w:t>https://www.bcr. com.ar/ Pages/Publicaciones/boletinsemanal.aspx</w:t>
        </w:r>
      </w:hyperlink>
      <w:r w:rsidRPr="003D6F65">
        <w:rPr>
          <w:rFonts w:ascii="Times New Roman" w:hAnsi="Times New Roman"/>
          <w:sz w:val="24"/>
          <w:szCs w:val="24"/>
        </w:rPr>
        <w:t xml:space="preserve"> </w:t>
      </w:r>
      <w:r w:rsidR="00A403E5" w:rsidRPr="003D6F65">
        <w:rPr>
          <w:rFonts w:ascii="Times New Roman" w:hAnsi="Times New Roman"/>
          <w:sz w:val="24"/>
          <w:szCs w:val="24"/>
        </w:rPr>
        <w:t xml:space="preserve">y </w:t>
      </w:r>
      <w:hyperlink r:id="rId25" w:history="1">
        <w:r w:rsidR="00A403E5" w:rsidRPr="003D6F65">
          <w:rPr>
            <w:rStyle w:val="Hipervnculo"/>
            <w:rFonts w:ascii="Times New Roman" w:hAnsi="Times New Roman"/>
            <w:color w:val="auto"/>
            <w:sz w:val="24"/>
            <w:szCs w:val="24"/>
            <w:u w:val="none"/>
            <w:shd w:val="clear" w:color="auto" w:fill="FFFFFF"/>
          </w:rPr>
          <w:t>https://www.bcr.com.ar/Publicaciones/</w:t>
        </w:r>
      </w:hyperlink>
      <w:r w:rsidRPr="00A403E5">
        <w:rPr>
          <w:rFonts w:ascii="Times New Roman" w:hAnsi="Times New Roman"/>
          <w:color w:val="222222"/>
          <w:sz w:val="24"/>
          <w:szCs w:val="24"/>
          <w:shd w:val="clear" w:color="auto" w:fill="FFFFFF"/>
        </w:rPr>
        <w:t>Anuario</w:t>
      </w:r>
      <w:r w:rsidR="00A403E5">
        <w:rPr>
          <w:rFonts w:ascii="Times New Roman" w:hAnsi="Times New Roman"/>
          <w:color w:val="222222"/>
          <w:sz w:val="24"/>
          <w:szCs w:val="24"/>
          <w:shd w:val="clear" w:color="auto" w:fill="FFFFFF"/>
        </w:rPr>
        <w:t xml:space="preserve"> </w:t>
      </w:r>
      <w:r w:rsidRPr="00A403E5">
        <w:rPr>
          <w:rFonts w:ascii="Times New Roman" w:hAnsi="Times New Roman"/>
          <w:color w:val="222222"/>
          <w:sz w:val="24"/>
          <w:szCs w:val="24"/>
          <w:shd w:val="clear" w:color="auto" w:fill="FFFFFF"/>
        </w:rPr>
        <w:t>%20</w:t>
      </w:r>
      <w:r w:rsidR="00A403E5">
        <w:rPr>
          <w:rFonts w:ascii="Times New Roman" w:hAnsi="Times New Roman"/>
          <w:color w:val="222222"/>
          <w:sz w:val="24"/>
          <w:szCs w:val="24"/>
          <w:shd w:val="clear" w:color="auto" w:fill="FFFFFF"/>
        </w:rPr>
        <w:t xml:space="preserve"> </w:t>
      </w:r>
      <w:r w:rsidRPr="00A403E5">
        <w:rPr>
          <w:rFonts w:ascii="Times New Roman" w:hAnsi="Times New Roman"/>
          <w:color w:val="222222"/>
          <w:sz w:val="24"/>
          <w:szCs w:val="24"/>
          <w:shd w:val="clear" w:color="auto" w:fill="FFFFFF"/>
        </w:rPr>
        <w:t>Estad%C3%ADstico/Anuario2013.pdf</w:t>
      </w:r>
      <w:r w:rsidRPr="00A403E5">
        <w:rPr>
          <w:rFonts w:ascii="Times New Roman" w:hAnsi="Times New Roman"/>
          <w:sz w:val="24"/>
          <w:szCs w:val="24"/>
        </w:rPr>
        <w:t xml:space="preserve"> </w:t>
      </w:r>
    </w:p>
    <w:p w14:paraId="246BDE7D" w14:textId="77777777" w:rsidR="0097729B" w:rsidRPr="001E5CE2" w:rsidRDefault="0097729B" w:rsidP="001E5CE2">
      <w:pPr>
        <w:pStyle w:val="Prrafodelista"/>
        <w:numPr>
          <w:ilvl w:val="0"/>
          <w:numId w:val="4"/>
        </w:numPr>
        <w:spacing w:after="0" w:line="360" w:lineRule="auto"/>
        <w:ind w:left="284" w:hanging="284"/>
        <w:jc w:val="both"/>
        <w:rPr>
          <w:rFonts w:ascii="Times New Roman" w:eastAsia="Times New Roman" w:hAnsi="Times New Roman"/>
          <w:sz w:val="24"/>
          <w:szCs w:val="24"/>
          <w:lang w:eastAsia="es-ES"/>
        </w:rPr>
      </w:pPr>
      <w:r w:rsidRPr="001E5CE2">
        <w:rPr>
          <w:rFonts w:ascii="Times New Roman" w:eastAsia="Times New Roman" w:hAnsi="Times New Roman"/>
          <w:sz w:val="24"/>
          <w:szCs w:val="24"/>
          <w:lang w:eastAsia="es-ES"/>
        </w:rPr>
        <w:t xml:space="preserve">Cámara Argentina de Energía Renovable: </w:t>
      </w:r>
      <w:hyperlink r:id="rId26" w:history="1">
        <w:r w:rsidRPr="001E5CE2">
          <w:rPr>
            <w:rStyle w:val="Hipervnculo"/>
            <w:rFonts w:ascii="Times New Roman" w:eastAsia="Times New Roman" w:hAnsi="Times New Roman"/>
            <w:color w:val="auto"/>
            <w:sz w:val="24"/>
            <w:szCs w:val="24"/>
            <w:u w:val="none"/>
            <w:lang w:eastAsia="es-ES"/>
          </w:rPr>
          <w:t>http://www.cader.org.ar/</w:t>
        </w:r>
      </w:hyperlink>
    </w:p>
    <w:p w14:paraId="59432ECF" w14:textId="77777777" w:rsidR="0097729B" w:rsidRPr="001E5CE2" w:rsidRDefault="0097729B" w:rsidP="001E5CE2">
      <w:pPr>
        <w:pStyle w:val="Prrafodelista"/>
        <w:numPr>
          <w:ilvl w:val="0"/>
          <w:numId w:val="4"/>
        </w:numPr>
        <w:spacing w:after="0" w:line="360" w:lineRule="auto"/>
        <w:ind w:left="284" w:hanging="284"/>
        <w:jc w:val="both"/>
        <w:rPr>
          <w:rFonts w:ascii="Times New Roman" w:eastAsia="Times New Roman" w:hAnsi="Times New Roman"/>
          <w:sz w:val="24"/>
          <w:szCs w:val="24"/>
          <w:lang w:eastAsia="es-ES"/>
        </w:rPr>
      </w:pPr>
      <w:r w:rsidRPr="001E5CE2">
        <w:rPr>
          <w:rFonts w:ascii="Times New Roman" w:eastAsia="Times New Roman" w:hAnsi="Times New Roman"/>
          <w:sz w:val="24"/>
          <w:szCs w:val="24"/>
          <w:lang w:eastAsia="es-ES"/>
        </w:rPr>
        <w:t xml:space="preserve">Cámara Argentina de Biocombustibles: </w:t>
      </w:r>
      <w:hyperlink r:id="rId27" w:history="1">
        <w:r w:rsidRPr="001E5CE2">
          <w:rPr>
            <w:rStyle w:val="Hipervnculo"/>
            <w:rFonts w:ascii="Times New Roman" w:eastAsia="Times New Roman" w:hAnsi="Times New Roman"/>
            <w:color w:val="auto"/>
            <w:sz w:val="24"/>
            <w:szCs w:val="24"/>
            <w:u w:val="none"/>
            <w:lang w:eastAsia="es-ES"/>
          </w:rPr>
          <w:t>http://www.carbio.com.ar/es/</w:t>
        </w:r>
      </w:hyperlink>
    </w:p>
    <w:p w14:paraId="6EB71261" w14:textId="65A51311" w:rsidR="00D17C17" w:rsidRPr="00D17C17" w:rsidRDefault="00D17C17" w:rsidP="001E5CE2">
      <w:pPr>
        <w:pStyle w:val="Prrafodelista"/>
        <w:numPr>
          <w:ilvl w:val="0"/>
          <w:numId w:val="4"/>
        </w:numPr>
        <w:spacing w:after="0" w:line="360" w:lineRule="auto"/>
        <w:ind w:left="284" w:hanging="284"/>
        <w:jc w:val="both"/>
        <w:rPr>
          <w:rFonts w:ascii="Times New Roman" w:eastAsia="Times New Roman" w:hAnsi="Times New Roman"/>
          <w:sz w:val="24"/>
          <w:szCs w:val="24"/>
          <w:lang w:val="pt-BR" w:eastAsia="es-ES"/>
        </w:rPr>
      </w:pPr>
      <w:r w:rsidRPr="00D17C17">
        <w:rPr>
          <w:rFonts w:ascii="Times New Roman" w:eastAsia="Times New Roman" w:hAnsi="Times New Roman"/>
          <w:sz w:val="24"/>
          <w:szCs w:val="24"/>
          <w:lang w:val="pt-BR" w:eastAsia="es-ES"/>
        </w:rPr>
        <w:t xml:space="preserve">FAO: </w:t>
      </w:r>
      <w:hyperlink r:id="rId28" w:history="1">
        <w:r w:rsidRPr="00D17C17">
          <w:rPr>
            <w:rFonts w:ascii="Times New Roman" w:eastAsia="Times New Roman" w:hAnsi="Times New Roman"/>
            <w:sz w:val="24"/>
            <w:szCs w:val="24"/>
            <w:lang w:val="pt-BR" w:eastAsia="es-ES"/>
          </w:rPr>
          <w:t>http://www.fao.org/home/es/</w:t>
        </w:r>
      </w:hyperlink>
    </w:p>
    <w:p w14:paraId="0167AD65" w14:textId="086D9342" w:rsidR="0097729B" w:rsidRPr="001E5CE2" w:rsidRDefault="0097729B" w:rsidP="001E5CE2">
      <w:pPr>
        <w:pStyle w:val="Prrafodelista"/>
        <w:numPr>
          <w:ilvl w:val="0"/>
          <w:numId w:val="4"/>
        </w:numPr>
        <w:spacing w:after="0" w:line="360" w:lineRule="auto"/>
        <w:ind w:left="284" w:hanging="284"/>
        <w:jc w:val="both"/>
        <w:rPr>
          <w:rFonts w:ascii="Times New Roman" w:hAnsi="Times New Roman"/>
          <w:bCs/>
          <w:sz w:val="24"/>
          <w:szCs w:val="24"/>
        </w:rPr>
      </w:pPr>
      <w:r w:rsidRPr="00D17C17">
        <w:rPr>
          <w:rFonts w:ascii="Times New Roman" w:eastAsia="Times New Roman" w:hAnsi="Times New Roman"/>
          <w:sz w:val="24"/>
          <w:szCs w:val="24"/>
          <w:lang w:eastAsia="es-ES"/>
        </w:rPr>
        <w:t>Instituto Nacional de Estadística y</w:t>
      </w:r>
      <w:r w:rsidRPr="001E5CE2">
        <w:rPr>
          <w:rFonts w:ascii="Times New Roman" w:hAnsi="Times New Roman"/>
          <w:bCs/>
          <w:sz w:val="24"/>
          <w:szCs w:val="24"/>
        </w:rPr>
        <w:t xml:space="preserve"> Censos (INDEC): www.indec.mecon.ar INDEC: Informe de Biocombustibles Mayo de 2014.</w:t>
      </w:r>
    </w:p>
    <w:p w14:paraId="0173A847"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bCs/>
          <w:sz w:val="24"/>
          <w:szCs w:val="24"/>
        </w:rPr>
      </w:pPr>
      <w:r w:rsidRPr="001E5CE2">
        <w:rPr>
          <w:rFonts w:ascii="Times New Roman" w:hAnsi="Times New Roman"/>
          <w:bCs/>
          <w:sz w:val="24"/>
          <w:szCs w:val="24"/>
        </w:rPr>
        <w:t xml:space="preserve">Instituto Nacional de Tecnología Agropecuaria (INTA): </w:t>
      </w:r>
      <w:hyperlink r:id="rId29" w:history="1">
        <w:r w:rsidRPr="001E5CE2">
          <w:rPr>
            <w:rFonts w:ascii="Times New Roman" w:hAnsi="Times New Roman"/>
            <w:bCs/>
            <w:sz w:val="24"/>
            <w:szCs w:val="24"/>
          </w:rPr>
          <w:t>www.inta.gov.ar</w:t>
        </w:r>
      </w:hyperlink>
    </w:p>
    <w:p w14:paraId="4D0B6231"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bCs/>
          <w:sz w:val="24"/>
          <w:szCs w:val="24"/>
        </w:rPr>
      </w:pPr>
      <w:r w:rsidRPr="001E5CE2">
        <w:rPr>
          <w:rFonts w:ascii="Times New Roman" w:hAnsi="Times New Roman"/>
          <w:bCs/>
          <w:sz w:val="24"/>
          <w:szCs w:val="24"/>
        </w:rPr>
        <w:t xml:space="preserve">Leyes, Decretos y resoluciones: </w:t>
      </w:r>
      <w:hyperlink r:id="rId30" w:history="1">
        <w:r w:rsidRPr="001E5CE2">
          <w:rPr>
            <w:rFonts w:ascii="Times New Roman" w:hAnsi="Times New Roman"/>
            <w:bCs/>
            <w:sz w:val="24"/>
            <w:szCs w:val="24"/>
          </w:rPr>
          <w:t>www.infoleg.gov.ar</w:t>
        </w:r>
      </w:hyperlink>
    </w:p>
    <w:p w14:paraId="48C2D232" w14:textId="77777777" w:rsidR="0097729B" w:rsidRPr="001E5CE2" w:rsidRDefault="0097729B" w:rsidP="001E5CE2">
      <w:pPr>
        <w:pStyle w:val="Prrafodelista"/>
        <w:numPr>
          <w:ilvl w:val="0"/>
          <w:numId w:val="4"/>
        </w:numPr>
        <w:spacing w:after="0" w:line="360" w:lineRule="auto"/>
        <w:ind w:left="284" w:hanging="284"/>
        <w:jc w:val="both"/>
        <w:rPr>
          <w:rFonts w:ascii="Times New Roman" w:hAnsi="Times New Roman"/>
          <w:bCs/>
          <w:sz w:val="24"/>
          <w:szCs w:val="24"/>
        </w:rPr>
      </w:pPr>
      <w:r w:rsidRPr="001E5CE2">
        <w:rPr>
          <w:rFonts w:ascii="Times New Roman" w:hAnsi="Times New Roman"/>
          <w:bCs/>
          <w:sz w:val="24"/>
          <w:szCs w:val="24"/>
        </w:rPr>
        <w:t>Ministerio de Agricultura, Ganadería y Pesca de la Nación Argentina. Link:</w:t>
      </w:r>
    </w:p>
    <w:p w14:paraId="750691F7" w14:textId="77777777" w:rsidR="0097729B" w:rsidRPr="001E5CE2" w:rsidRDefault="00F27008" w:rsidP="001E5CE2">
      <w:pPr>
        <w:pStyle w:val="Prrafodelista"/>
        <w:spacing w:after="0" w:line="360" w:lineRule="auto"/>
        <w:ind w:left="284"/>
        <w:jc w:val="both"/>
        <w:rPr>
          <w:rFonts w:ascii="Times New Roman" w:hAnsi="Times New Roman"/>
          <w:bCs/>
          <w:sz w:val="24"/>
          <w:szCs w:val="24"/>
        </w:rPr>
      </w:pPr>
      <w:hyperlink r:id="rId31" w:history="1">
        <w:r w:rsidR="0097729B" w:rsidRPr="001E5CE2">
          <w:rPr>
            <w:rFonts w:ascii="Times New Roman" w:hAnsi="Times New Roman"/>
            <w:bCs/>
            <w:sz w:val="24"/>
            <w:szCs w:val="24"/>
          </w:rPr>
          <w:t>http://www.minagri.gob.ar/site/agricultura/informacion_agropecuaria/03=estimaciones%20agricolas/03-informe%20mensual/index.php</w:t>
        </w:r>
      </w:hyperlink>
    </w:p>
    <w:p w14:paraId="5286F80E" w14:textId="65F00EF9" w:rsidR="0097729B" w:rsidRPr="003D6F65" w:rsidRDefault="0097729B" w:rsidP="001E5CE2">
      <w:pPr>
        <w:pStyle w:val="Prrafodelista"/>
        <w:numPr>
          <w:ilvl w:val="0"/>
          <w:numId w:val="4"/>
        </w:numPr>
        <w:spacing w:after="0" w:line="360" w:lineRule="auto"/>
        <w:ind w:left="0" w:hanging="284"/>
        <w:jc w:val="both"/>
        <w:rPr>
          <w:rFonts w:ascii="Times New Roman" w:hAnsi="Times New Roman"/>
          <w:bCs/>
          <w:sz w:val="24"/>
          <w:szCs w:val="24"/>
          <w:lang w:val="en-US"/>
        </w:rPr>
      </w:pPr>
      <w:r w:rsidRPr="00B733AD">
        <w:rPr>
          <w:rFonts w:ascii="Times New Roman" w:hAnsi="Times New Roman"/>
          <w:bCs/>
          <w:sz w:val="24"/>
          <w:szCs w:val="24"/>
        </w:rPr>
        <w:t>Ministerio de Agroindustria de la Nación</w:t>
      </w:r>
      <w:r w:rsidR="00DD2CD7" w:rsidRPr="00B733AD">
        <w:rPr>
          <w:rFonts w:ascii="Times New Roman" w:hAnsi="Times New Roman"/>
          <w:bCs/>
          <w:sz w:val="24"/>
          <w:szCs w:val="24"/>
        </w:rPr>
        <w:t xml:space="preserve">. </w:t>
      </w:r>
      <w:r w:rsidR="00DD2CD7" w:rsidRPr="00B733AD">
        <w:rPr>
          <w:rFonts w:ascii="Times New Roman" w:hAnsi="Times New Roman"/>
          <w:bCs/>
          <w:sz w:val="24"/>
          <w:szCs w:val="24"/>
          <w:lang w:val="en-US"/>
        </w:rPr>
        <w:t>L</w:t>
      </w:r>
      <w:r w:rsidRPr="00B733AD">
        <w:rPr>
          <w:rFonts w:ascii="Times New Roman" w:hAnsi="Times New Roman"/>
          <w:bCs/>
          <w:sz w:val="24"/>
          <w:szCs w:val="24"/>
          <w:lang w:val="en-US"/>
        </w:rPr>
        <w:t>ink</w:t>
      </w:r>
      <w:r w:rsidR="00DD2CD7" w:rsidRPr="00B733AD">
        <w:rPr>
          <w:rFonts w:ascii="Times New Roman" w:hAnsi="Times New Roman"/>
          <w:bCs/>
          <w:sz w:val="24"/>
          <w:szCs w:val="24"/>
          <w:lang w:val="en-US"/>
        </w:rPr>
        <w:t>:</w:t>
      </w:r>
      <w:r w:rsidR="00B733AD" w:rsidRPr="00B733AD">
        <w:rPr>
          <w:rFonts w:ascii="Times New Roman" w:hAnsi="Times New Roman"/>
          <w:bCs/>
          <w:sz w:val="24"/>
          <w:szCs w:val="24"/>
          <w:lang w:val="en-US"/>
        </w:rPr>
        <w:t xml:space="preserve"> </w:t>
      </w:r>
      <w:r w:rsidRPr="00B733AD">
        <w:rPr>
          <w:rFonts w:ascii="Times New Roman" w:hAnsi="Times New Roman"/>
          <w:bCs/>
          <w:sz w:val="24"/>
          <w:szCs w:val="24"/>
          <w:lang w:val="en-US"/>
        </w:rPr>
        <w:t xml:space="preserve"> </w:t>
      </w:r>
      <w:r w:rsidR="00DD2CD7" w:rsidRPr="00B733AD">
        <w:rPr>
          <w:rFonts w:ascii="Times New Roman" w:hAnsi="Times New Roman"/>
          <w:bCs/>
          <w:sz w:val="24"/>
          <w:szCs w:val="24"/>
          <w:lang w:val="en-US"/>
        </w:rPr>
        <w:t xml:space="preserve">    </w:t>
      </w:r>
      <w:hyperlink r:id="rId32" w:history="1">
        <w:r w:rsidR="00B733AD" w:rsidRPr="003D6F65">
          <w:rPr>
            <w:rStyle w:val="Hipervnculo"/>
            <w:rFonts w:ascii="Times New Roman" w:hAnsi="Times New Roman"/>
            <w:bCs/>
            <w:color w:val="auto"/>
            <w:sz w:val="24"/>
            <w:szCs w:val="24"/>
            <w:u w:val="none"/>
            <w:lang w:val="en-US"/>
          </w:rPr>
          <w:t>http://www.agroindustria.gob.ar/</w:t>
        </w:r>
      </w:hyperlink>
    </w:p>
    <w:sectPr w:rsidR="0097729B" w:rsidRPr="003D6F65" w:rsidSect="00E71556">
      <w:footerReference w:type="default" r:id="rId33"/>
      <w:pgSz w:w="11907" w:h="16840" w:code="9"/>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74B7B" w14:textId="77777777" w:rsidR="00F27008" w:rsidRDefault="00F27008" w:rsidP="000433B3">
      <w:pPr>
        <w:spacing w:after="0" w:line="240" w:lineRule="auto"/>
      </w:pPr>
      <w:r>
        <w:separator/>
      </w:r>
    </w:p>
  </w:endnote>
  <w:endnote w:type="continuationSeparator" w:id="0">
    <w:p w14:paraId="14DC2E91" w14:textId="77777777" w:rsidR="00F27008" w:rsidRDefault="00F27008" w:rsidP="0004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523686"/>
      <w:docPartObj>
        <w:docPartGallery w:val="Page Numbers (Bottom of Page)"/>
        <w:docPartUnique/>
      </w:docPartObj>
    </w:sdtPr>
    <w:sdtEndPr/>
    <w:sdtContent>
      <w:p w14:paraId="72D670ED" w14:textId="7D0ABAA1" w:rsidR="00730F05" w:rsidRDefault="00730F05">
        <w:pPr>
          <w:pStyle w:val="Piedepgina"/>
          <w:jc w:val="center"/>
        </w:pPr>
        <w:r>
          <w:fldChar w:fldCharType="begin"/>
        </w:r>
        <w:r>
          <w:instrText>PAGE   \* MERGEFORMAT</w:instrText>
        </w:r>
        <w:r>
          <w:fldChar w:fldCharType="separate"/>
        </w:r>
        <w:r w:rsidR="00024F86" w:rsidRPr="00024F86">
          <w:rPr>
            <w:noProof/>
            <w:lang w:val="es-ES"/>
          </w:rPr>
          <w:t>0</w:t>
        </w:r>
        <w:r>
          <w:fldChar w:fldCharType="end"/>
        </w:r>
      </w:p>
    </w:sdtContent>
  </w:sdt>
  <w:p w14:paraId="27B722D8" w14:textId="77777777" w:rsidR="00730F05" w:rsidRDefault="00730F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D7A64" w14:textId="77777777" w:rsidR="00F27008" w:rsidRDefault="00F27008" w:rsidP="000433B3">
      <w:pPr>
        <w:spacing w:after="0" w:line="240" w:lineRule="auto"/>
      </w:pPr>
      <w:r>
        <w:separator/>
      </w:r>
    </w:p>
  </w:footnote>
  <w:footnote w:type="continuationSeparator" w:id="0">
    <w:p w14:paraId="79B95627" w14:textId="77777777" w:rsidR="00F27008" w:rsidRDefault="00F27008" w:rsidP="000433B3">
      <w:pPr>
        <w:spacing w:after="0" w:line="240" w:lineRule="auto"/>
      </w:pPr>
      <w:r>
        <w:continuationSeparator/>
      </w:r>
    </w:p>
  </w:footnote>
  <w:footnote w:id="1">
    <w:p w14:paraId="228ABD4B" w14:textId="1D390514" w:rsidR="00730F05" w:rsidRPr="00D002BD" w:rsidRDefault="00730F05" w:rsidP="00D002BD">
      <w:pPr>
        <w:spacing w:after="0" w:line="240" w:lineRule="auto"/>
        <w:jc w:val="both"/>
        <w:rPr>
          <w:rFonts w:ascii="Times New Roman" w:hAnsi="Times New Roman"/>
          <w:sz w:val="20"/>
          <w:szCs w:val="20"/>
          <w:lang w:val="es-ES_tradnl"/>
        </w:rPr>
      </w:pPr>
      <w:r>
        <w:rPr>
          <w:rStyle w:val="Refdenotaalpie"/>
        </w:rPr>
        <w:footnoteRef/>
      </w:r>
      <w:r>
        <w:t xml:space="preserve"> </w:t>
      </w:r>
      <w:r w:rsidRPr="00D002BD">
        <w:rPr>
          <w:rFonts w:ascii="Times New Roman" w:hAnsi="Times New Roman"/>
          <w:sz w:val="20"/>
          <w:szCs w:val="20"/>
        </w:rPr>
        <w:t>Los</w:t>
      </w:r>
      <w:r w:rsidRPr="00D002BD">
        <w:rPr>
          <w:rFonts w:ascii="Times New Roman" w:hAnsi="Times New Roman"/>
          <w:color w:val="000000"/>
          <w:sz w:val="20"/>
          <w:szCs w:val="20"/>
          <w:lang w:val="es-ES_tradnl"/>
        </w:rPr>
        <w:t xml:space="preserve"> centros importantes de estudios que se dedicaron al tema son el IICA (Instituto Interamericano de Cooperación para la Agricultura) de Costa Rica, el USDA (Departamento de Agricultura) de los Estados Unidos, el INRA (Instituto Nacional para la Investigación Agronómica) de Francia y la FAO (Organización de las Naciones Unidas para la Agricultura y la Alimentación), entre otros. En Argentina fue muy fructífero el papel del INTA (Instituto Nacional de Tecnología Agropecuaria) desde 1956 y el Ministerio de Agricultura, Ganadería, Pesca y Alimentación de la Nación.</w:t>
      </w:r>
    </w:p>
  </w:footnote>
  <w:footnote w:id="2">
    <w:p w14:paraId="728B69EA" w14:textId="4565A80D" w:rsidR="00730F05" w:rsidRPr="00D002BD" w:rsidRDefault="00730F05" w:rsidP="00D002BD">
      <w:pPr>
        <w:pStyle w:val="Textonotapie"/>
        <w:spacing w:line="240" w:lineRule="auto"/>
        <w:rPr>
          <w:rFonts w:ascii="Times New Roman" w:hAnsi="Times New Roman"/>
        </w:rPr>
      </w:pPr>
      <w:r w:rsidRPr="00D002BD">
        <w:rPr>
          <w:rStyle w:val="Refdenotaalpie"/>
          <w:rFonts w:ascii="Times New Roman" w:hAnsi="Times New Roman"/>
        </w:rPr>
        <w:footnoteRef/>
      </w:r>
      <w:r w:rsidRPr="00D002BD">
        <w:rPr>
          <w:rFonts w:ascii="Times New Roman" w:hAnsi="Times New Roman"/>
        </w:rPr>
        <w:t xml:space="preserve">  Un detallado análisis </w:t>
      </w:r>
      <w:hyperlink r:id="rId1" w:tgtFrame="_blank" w:history="1">
        <w:r w:rsidRPr="00D002BD">
          <w:rPr>
            <w:rStyle w:val="Hipervnculo"/>
            <w:rFonts w:ascii="Times New Roman" w:hAnsi="Times New Roman"/>
            <w:color w:val="auto"/>
            <w:u w:val="none"/>
          </w:rPr>
          <w:t xml:space="preserve">del </w:t>
        </w:r>
        <w:proofErr w:type="spellStart"/>
        <w:r w:rsidRPr="00D002BD">
          <w:rPr>
            <w:rStyle w:val="Hipervnculo"/>
            <w:rFonts w:ascii="Times New Roman" w:hAnsi="Times New Roman"/>
            <w:color w:val="auto"/>
            <w:u w:val="none"/>
          </w:rPr>
          <w:t>Upgrading</w:t>
        </w:r>
        <w:proofErr w:type="spellEnd"/>
        <w:r w:rsidRPr="00D002BD">
          <w:rPr>
            <w:rStyle w:val="Hipervnculo"/>
            <w:rFonts w:ascii="Times New Roman" w:hAnsi="Times New Roman"/>
            <w:color w:val="auto"/>
            <w:u w:val="none"/>
          </w:rPr>
          <w:t xml:space="preserve"> y </w:t>
        </w:r>
        <w:proofErr w:type="spellStart"/>
        <w:r w:rsidRPr="00D002BD">
          <w:rPr>
            <w:rStyle w:val="Hipervnculo"/>
            <w:rFonts w:ascii="Times New Roman" w:hAnsi="Times New Roman"/>
            <w:color w:val="auto"/>
            <w:u w:val="none"/>
          </w:rPr>
          <w:t>governance</w:t>
        </w:r>
        <w:proofErr w:type="spellEnd"/>
        <w:r w:rsidRPr="00D002BD">
          <w:rPr>
            <w:rStyle w:val="Hipervnculo"/>
            <w:rFonts w:ascii="Times New Roman" w:hAnsi="Times New Roman"/>
            <w:color w:val="auto"/>
            <w:u w:val="none"/>
          </w:rPr>
          <w:t xml:space="preserve"> de la cadena de soja</w:t>
        </w:r>
      </w:hyperlink>
      <w:r w:rsidRPr="00D002BD">
        <w:rPr>
          <w:rFonts w:ascii="Times New Roman" w:hAnsi="Times New Roman"/>
        </w:rPr>
        <w:t xml:space="preserve"> puede encontrarse en Asis, I, </w:t>
      </w:r>
      <w:proofErr w:type="spellStart"/>
      <w:r w:rsidRPr="00D002BD">
        <w:rPr>
          <w:rFonts w:ascii="Times New Roman" w:hAnsi="Times New Roman"/>
        </w:rPr>
        <w:t>Sattler</w:t>
      </w:r>
      <w:proofErr w:type="spellEnd"/>
      <w:r w:rsidRPr="00D002BD">
        <w:rPr>
          <w:rFonts w:ascii="Times New Roman" w:hAnsi="Times New Roman"/>
        </w:rPr>
        <w:t>, S y Castro González, E. (2018).</w:t>
      </w:r>
    </w:p>
  </w:footnote>
  <w:footnote w:id="3">
    <w:p w14:paraId="512C3DA4" w14:textId="035ACFB6" w:rsidR="00730F05" w:rsidRPr="009F37E6" w:rsidRDefault="00730F05" w:rsidP="009F37E6">
      <w:pPr>
        <w:pStyle w:val="Textonotapie"/>
        <w:spacing w:line="240" w:lineRule="auto"/>
        <w:rPr>
          <w:rFonts w:ascii="Times New Roman" w:hAnsi="Times New Roman"/>
        </w:rPr>
      </w:pPr>
      <w:r w:rsidRPr="009F37E6">
        <w:rPr>
          <w:rStyle w:val="Refdenotaalpie"/>
          <w:rFonts w:ascii="Times New Roman" w:hAnsi="Times New Roman"/>
        </w:rPr>
        <w:footnoteRef/>
      </w:r>
      <w:r w:rsidRPr="009F37E6">
        <w:rPr>
          <w:rFonts w:ascii="Times New Roman" w:hAnsi="Times New Roman"/>
        </w:rPr>
        <w:t xml:space="preserve"> Se analiza desde esta campaña, ya que la industria del biodiesel, a la que nos referiremos, tiene su nacimiento en ese año, tras la Ley Nacional 26093</w:t>
      </w:r>
      <w:r w:rsidR="00371746" w:rsidRPr="009F37E6">
        <w:rPr>
          <w:rFonts w:ascii="Times New Roman" w:hAnsi="Times New Roman"/>
        </w:rPr>
        <w:t>/2006</w:t>
      </w:r>
      <w:r w:rsidRPr="009F37E6">
        <w:rPr>
          <w:rFonts w:ascii="Times New Roman" w:hAnsi="Times New Roman"/>
        </w:rPr>
        <w:t>.</w:t>
      </w:r>
    </w:p>
  </w:footnote>
  <w:footnote w:id="4">
    <w:p w14:paraId="29459811" w14:textId="77777777" w:rsidR="00730F05" w:rsidRPr="009F37E6" w:rsidRDefault="00730F05" w:rsidP="009F37E6">
      <w:pPr>
        <w:spacing w:after="120" w:line="240" w:lineRule="auto"/>
        <w:jc w:val="both"/>
        <w:rPr>
          <w:rFonts w:ascii="Times New Roman" w:hAnsi="Times New Roman"/>
          <w:color w:val="000000"/>
          <w:sz w:val="20"/>
          <w:szCs w:val="20"/>
        </w:rPr>
      </w:pPr>
      <w:r w:rsidRPr="009F37E6">
        <w:rPr>
          <w:rStyle w:val="Refdenotaalpie"/>
          <w:rFonts w:ascii="Times New Roman" w:hAnsi="Times New Roman"/>
          <w:sz w:val="20"/>
          <w:szCs w:val="20"/>
        </w:rPr>
        <w:footnoteRef/>
      </w:r>
      <w:r w:rsidRPr="009F37E6">
        <w:rPr>
          <w:rFonts w:ascii="Times New Roman" w:hAnsi="Times New Roman"/>
          <w:sz w:val="20"/>
          <w:szCs w:val="20"/>
        </w:rPr>
        <w:t xml:space="preserve"> </w:t>
      </w:r>
      <w:r w:rsidRPr="009F37E6">
        <w:rPr>
          <w:rFonts w:ascii="Times New Roman" w:hAnsi="Times New Roman"/>
          <w:color w:val="000000"/>
          <w:sz w:val="20"/>
          <w:szCs w:val="20"/>
        </w:rPr>
        <w:t>Es importante tener presente que en la campaña 2008/9, se observó una caída en la producción del 33%, producto de la gran sequía, una de las peores en los últimos 50 años.</w:t>
      </w:r>
    </w:p>
    <w:p w14:paraId="6DE795B2" w14:textId="77777777" w:rsidR="00730F05" w:rsidRPr="009F37E6" w:rsidRDefault="00730F05" w:rsidP="009F37E6">
      <w:pPr>
        <w:pStyle w:val="Textonotapie"/>
        <w:spacing w:line="240" w:lineRule="auto"/>
        <w:rPr>
          <w:rFonts w:ascii="Times New Roman" w:hAnsi="Times New Roman"/>
        </w:rPr>
      </w:pPr>
    </w:p>
  </w:footnote>
  <w:footnote w:id="5">
    <w:p w14:paraId="6866BF7A" w14:textId="055D9E45" w:rsidR="00730F05" w:rsidRPr="005C08E9" w:rsidRDefault="00730F05">
      <w:pPr>
        <w:pStyle w:val="Textonotapie"/>
      </w:pPr>
      <w:r w:rsidRPr="005C08E9">
        <w:rPr>
          <w:rStyle w:val="Refdenotaalpie"/>
        </w:rPr>
        <w:footnoteRef/>
      </w:r>
      <w:r w:rsidRPr="005C08E9">
        <w:t xml:space="preserve"> </w:t>
      </w:r>
      <w:r w:rsidRPr="005C08E9">
        <w:rPr>
          <w:rFonts w:ascii="Times New Roman" w:hAnsi="Times New Roman"/>
          <w:color w:val="000000"/>
        </w:rPr>
        <w:t>En una segunda etapa de enfriado se obtiene la lecitina, para evitar su oscurecimiento y consecuente deterioro en la calidad.</w:t>
      </w:r>
    </w:p>
  </w:footnote>
  <w:footnote w:id="6">
    <w:p w14:paraId="692C99C4" w14:textId="12BE0CFE" w:rsidR="00260B90" w:rsidRPr="009F37E6" w:rsidRDefault="00260B90">
      <w:pPr>
        <w:pStyle w:val="Textonotapie"/>
        <w:rPr>
          <w:rFonts w:ascii="Times New Roman" w:hAnsi="Times New Roman"/>
        </w:rPr>
      </w:pPr>
      <w:r w:rsidRPr="009F37E6">
        <w:rPr>
          <w:rStyle w:val="Refdenotaalpie"/>
          <w:rFonts w:ascii="Times New Roman" w:hAnsi="Times New Roman"/>
        </w:rPr>
        <w:footnoteRef/>
      </w:r>
      <w:r w:rsidRPr="009F37E6">
        <w:rPr>
          <w:rFonts w:ascii="Times New Roman" w:hAnsi="Times New Roman"/>
        </w:rPr>
        <w:t xml:space="preserve"> Es importante que los datos de pellets y harinas se presentan unificados, ya que para los organismos fuente de información del presente trabajo, son un mismo producto.</w:t>
      </w:r>
    </w:p>
  </w:footnote>
  <w:footnote w:id="7">
    <w:p w14:paraId="550ECD93" w14:textId="60B9228F" w:rsidR="00730F05" w:rsidRPr="00142079" w:rsidRDefault="00730F05" w:rsidP="009F37E6">
      <w:pPr>
        <w:pStyle w:val="Textonotapie"/>
        <w:spacing w:line="240" w:lineRule="auto"/>
        <w:jc w:val="both"/>
        <w:rPr>
          <w:rFonts w:ascii="Times New Roman" w:hAnsi="Times New Roman"/>
        </w:rPr>
      </w:pPr>
      <w:r w:rsidRPr="00142079">
        <w:rPr>
          <w:rStyle w:val="Refdenotaalpie"/>
          <w:rFonts w:ascii="Times New Roman" w:hAnsi="Times New Roman"/>
        </w:rPr>
        <w:footnoteRef/>
      </w:r>
      <w:r w:rsidRPr="00142079">
        <w:rPr>
          <w:rFonts w:ascii="Times New Roman" w:hAnsi="Times New Roman"/>
        </w:rPr>
        <w:t xml:space="preserve"> Si bien se encuentra abierto el mercado de la Unión Europea, existe un fuerte lobby para restringir las exportaciones argentinas a dicho destino.</w:t>
      </w:r>
    </w:p>
  </w:footnote>
  <w:footnote w:id="8">
    <w:p w14:paraId="3E817C5F" w14:textId="6EAD7A35" w:rsidR="00730F05" w:rsidRPr="00142079" w:rsidRDefault="00730F05" w:rsidP="009F37E6">
      <w:pPr>
        <w:pStyle w:val="Textonotapie"/>
        <w:spacing w:line="240" w:lineRule="auto"/>
        <w:jc w:val="both"/>
        <w:rPr>
          <w:rFonts w:ascii="Times New Roman" w:hAnsi="Times New Roman"/>
        </w:rPr>
      </w:pPr>
      <w:r w:rsidRPr="00142079">
        <w:rPr>
          <w:rStyle w:val="Refdenotaalpie"/>
          <w:rFonts w:ascii="Times New Roman" w:hAnsi="Times New Roman"/>
        </w:rPr>
        <w:footnoteRef/>
      </w:r>
      <w:r w:rsidRPr="00142079">
        <w:rPr>
          <w:rFonts w:ascii="Times New Roman" w:hAnsi="Times New Roman"/>
        </w:rPr>
        <w:t xml:space="preserve"> La Bolsa de Comercio de Rosario</w:t>
      </w:r>
      <w:r w:rsidR="00142079" w:rsidRPr="00142079">
        <w:rPr>
          <w:rFonts w:ascii="Times New Roman" w:hAnsi="Times New Roman"/>
        </w:rPr>
        <w:t xml:space="preserve"> sugirió</w:t>
      </w:r>
      <w:r w:rsidRPr="00142079">
        <w:rPr>
          <w:rFonts w:ascii="Times New Roman" w:hAnsi="Times New Roman"/>
        </w:rPr>
        <w:t>, en junio de 2018,</w:t>
      </w:r>
      <w:r w:rsidR="00DF437B">
        <w:rPr>
          <w:rFonts w:ascii="Times New Roman" w:hAnsi="Times New Roman"/>
        </w:rPr>
        <w:t xml:space="preserve"> </w:t>
      </w:r>
      <w:r w:rsidRPr="00142079">
        <w:rPr>
          <w:rFonts w:ascii="Times New Roman" w:hAnsi="Times New Roman"/>
        </w:rPr>
        <w:t>que se eleve el corte de biodiesel del 10% al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97A51"/>
    <w:multiLevelType w:val="hybridMultilevel"/>
    <w:tmpl w:val="840A16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25D5EF4"/>
    <w:multiLevelType w:val="hybridMultilevel"/>
    <w:tmpl w:val="392A750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
    <w:nsid w:val="35F3688A"/>
    <w:multiLevelType w:val="hybridMultilevel"/>
    <w:tmpl w:val="BF92FBF4"/>
    <w:lvl w:ilvl="0" w:tplc="2C0A0001">
      <w:start w:val="1"/>
      <w:numFmt w:val="bullet"/>
      <w:lvlText w:val=""/>
      <w:lvlJc w:val="left"/>
      <w:pPr>
        <w:ind w:left="720" w:hanging="360"/>
      </w:pPr>
      <w:rPr>
        <w:rFonts w:ascii="Symbol" w:hAnsi="Symbol" w:hint="default"/>
      </w:rPr>
    </w:lvl>
    <w:lvl w:ilvl="1" w:tplc="5FA6E39A">
      <w:start w:val="1"/>
      <w:numFmt w:val="bullet"/>
      <w:lvlText w:val="o"/>
      <w:lvlJc w:val="left"/>
      <w:pPr>
        <w:ind w:left="1440" w:hanging="360"/>
      </w:pPr>
      <w:rPr>
        <w:rFonts w:ascii="Courier New" w:hAnsi="Courier New" w:cs="Courier New" w:hint="default"/>
        <w:lang w:val="en-US"/>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9BD4208"/>
    <w:multiLevelType w:val="multilevel"/>
    <w:tmpl w:val="9B4A0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BD60ACA"/>
    <w:multiLevelType w:val="hybridMultilevel"/>
    <w:tmpl w:val="F726F3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E3C152A"/>
    <w:multiLevelType w:val="hybridMultilevel"/>
    <w:tmpl w:val="8BC2F9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FAF3621"/>
    <w:multiLevelType w:val="hybridMultilevel"/>
    <w:tmpl w:val="83A013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A743B36"/>
    <w:multiLevelType w:val="hybridMultilevel"/>
    <w:tmpl w:val="8B9A1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620208"/>
    <w:multiLevelType w:val="hybridMultilevel"/>
    <w:tmpl w:val="9D58B9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8738EF"/>
    <w:multiLevelType w:val="hybridMultilevel"/>
    <w:tmpl w:val="D25E0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6"/>
  </w:num>
  <w:num w:numId="6">
    <w:abstractNumId w:val="4"/>
  </w:num>
  <w:num w:numId="7">
    <w:abstractNumId w:val="8"/>
  </w:num>
  <w:num w:numId="8">
    <w:abstractNumId w:val="1"/>
  </w:num>
  <w:num w:numId="9">
    <w:abstractNumId w:val="9"/>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9F"/>
    <w:rsid w:val="00004489"/>
    <w:rsid w:val="00010057"/>
    <w:rsid w:val="000118D3"/>
    <w:rsid w:val="00024F86"/>
    <w:rsid w:val="0002559F"/>
    <w:rsid w:val="00026083"/>
    <w:rsid w:val="00026B44"/>
    <w:rsid w:val="000304E0"/>
    <w:rsid w:val="00037648"/>
    <w:rsid w:val="0003776C"/>
    <w:rsid w:val="00041FF2"/>
    <w:rsid w:val="000433B3"/>
    <w:rsid w:val="00043FB2"/>
    <w:rsid w:val="00050990"/>
    <w:rsid w:val="00052D7C"/>
    <w:rsid w:val="0005530C"/>
    <w:rsid w:val="000575BB"/>
    <w:rsid w:val="000639C8"/>
    <w:rsid w:val="00066B2B"/>
    <w:rsid w:val="00067381"/>
    <w:rsid w:val="00073238"/>
    <w:rsid w:val="000829D2"/>
    <w:rsid w:val="00083598"/>
    <w:rsid w:val="00097CBB"/>
    <w:rsid w:val="000A6626"/>
    <w:rsid w:val="000A7441"/>
    <w:rsid w:val="000B0C64"/>
    <w:rsid w:val="000B0DBA"/>
    <w:rsid w:val="000B46C0"/>
    <w:rsid w:val="000B54C2"/>
    <w:rsid w:val="000B7DDD"/>
    <w:rsid w:val="000C0DF5"/>
    <w:rsid w:val="000C37F4"/>
    <w:rsid w:val="000C4827"/>
    <w:rsid w:val="000D1460"/>
    <w:rsid w:val="000D594C"/>
    <w:rsid w:val="000E1A13"/>
    <w:rsid w:val="000E6856"/>
    <w:rsid w:val="000F0B2F"/>
    <w:rsid w:val="0010027D"/>
    <w:rsid w:val="00105998"/>
    <w:rsid w:val="001143CC"/>
    <w:rsid w:val="00115119"/>
    <w:rsid w:val="00121870"/>
    <w:rsid w:val="00131B6A"/>
    <w:rsid w:val="0013224C"/>
    <w:rsid w:val="00142079"/>
    <w:rsid w:val="00147000"/>
    <w:rsid w:val="00151B07"/>
    <w:rsid w:val="00153EDA"/>
    <w:rsid w:val="001556A9"/>
    <w:rsid w:val="00155A4A"/>
    <w:rsid w:val="00162100"/>
    <w:rsid w:val="001632CD"/>
    <w:rsid w:val="001662EB"/>
    <w:rsid w:val="001755C3"/>
    <w:rsid w:val="0018326C"/>
    <w:rsid w:val="00190709"/>
    <w:rsid w:val="0019595F"/>
    <w:rsid w:val="001A26B2"/>
    <w:rsid w:val="001A429B"/>
    <w:rsid w:val="001A48B1"/>
    <w:rsid w:val="001B1D6E"/>
    <w:rsid w:val="001C3B43"/>
    <w:rsid w:val="001C52DB"/>
    <w:rsid w:val="001D5664"/>
    <w:rsid w:val="001D6061"/>
    <w:rsid w:val="001D7A18"/>
    <w:rsid w:val="001E1954"/>
    <w:rsid w:val="001E1B42"/>
    <w:rsid w:val="001E3787"/>
    <w:rsid w:val="001E5CE2"/>
    <w:rsid w:val="001E62A0"/>
    <w:rsid w:val="001F64D0"/>
    <w:rsid w:val="00205196"/>
    <w:rsid w:val="002112F6"/>
    <w:rsid w:val="00221265"/>
    <w:rsid w:val="00221A1D"/>
    <w:rsid w:val="0022606F"/>
    <w:rsid w:val="00235779"/>
    <w:rsid w:val="00237B8B"/>
    <w:rsid w:val="00245E4F"/>
    <w:rsid w:val="0024681C"/>
    <w:rsid w:val="0024726C"/>
    <w:rsid w:val="00260B90"/>
    <w:rsid w:val="00264199"/>
    <w:rsid w:val="00264CE5"/>
    <w:rsid w:val="00267E6F"/>
    <w:rsid w:val="00270A26"/>
    <w:rsid w:val="0027394D"/>
    <w:rsid w:val="0028304C"/>
    <w:rsid w:val="00284B38"/>
    <w:rsid w:val="00285CA2"/>
    <w:rsid w:val="002A7A53"/>
    <w:rsid w:val="002B3002"/>
    <w:rsid w:val="002D0A5E"/>
    <w:rsid w:val="002D0DA3"/>
    <w:rsid w:val="002D1D45"/>
    <w:rsid w:val="002D3916"/>
    <w:rsid w:val="002E01E1"/>
    <w:rsid w:val="002E4328"/>
    <w:rsid w:val="002E5C56"/>
    <w:rsid w:val="002E5E0D"/>
    <w:rsid w:val="00332D6A"/>
    <w:rsid w:val="00335AAC"/>
    <w:rsid w:val="003373BE"/>
    <w:rsid w:val="00345E3C"/>
    <w:rsid w:val="00363194"/>
    <w:rsid w:val="0036390C"/>
    <w:rsid w:val="00366BDE"/>
    <w:rsid w:val="00370F50"/>
    <w:rsid w:val="00371746"/>
    <w:rsid w:val="00393AD0"/>
    <w:rsid w:val="003A541E"/>
    <w:rsid w:val="003B32D2"/>
    <w:rsid w:val="003B7E2F"/>
    <w:rsid w:val="003C06A7"/>
    <w:rsid w:val="003C42AA"/>
    <w:rsid w:val="003C52E0"/>
    <w:rsid w:val="003C6A1E"/>
    <w:rsid w:val="003C7C3F"/>
    <w:rsid w:val="003D0D06"/>
    <w:rsid w:val="003D31AC"/>
    <w:rsid w:val="003D3EC1"/>
    <w:rsid w:val="003D6F65"/>
    <w:rsid w:val="003E08A0"/>
    <w:rsid w:val="004024C7"/>
    <w:rsid w:val="00402F66"/>
    <w:rsid w:val="004066C2"/>
    <w:rsid w:val="00410381"/>
    <w:rsid w:val="00410943"/>
    <w:rsid w:val="00415B6A"/>
    <w:rsid w:val="00427DFB"/>
    <w:rsid w:val="004362E9"/>
    <w:rsid w:val="00444A37"/>
    <w:rsid w:val="00446FC9"/>
    <w:rsid w:val="00447EC9"/>
    <w:rsid w:val="00451A6B"/>
    <w:rsid w:val="00454109"/>
    <w:rsid w:val="004563FC"/>
    <w:rsid w:val="004577AA"/>
    <w:rsid w:val="0047013F"/>
    <w:rsid w:val="00477F8B"/>
    <w:rsid w:val="00482AB7"/>
    <w:rsid w:val="00485871"/>
    <w:rsid w:val="00485CBB"/>
    <w:rsid w:val="00486FBB"/>
    <w:rsid w:val="004932A3"/>
    <w:rsid w:val="00493E81"/>
    <w:rsid w:val="004A4CF1"/>
    <w:rsid w:val="004B35C6"/>
    <w:rsid w:val="004B613F"/>
    <w:rsid w:val="004B6CE3"/>
    <w:rsid w:val="004B7EC6"/>
    <w:rsid w:val="004C528C"/>
    <w:rsid w:val="004E131D"/>
    <w:rsid w:val="004E235F"/>
    <w:rsid w:val="004E3D47"/>
    <w:rsid w:val="004F23FB"/>
    <w:rsid w:val="00504F4B"/>
    <w:rsid w:val="0050712F"/>
    <w:rsid w:val="005122EE"/>
    <w:rsid w:val="00516781"/>
    <w:rsid w:val="00522551"/>
    <w:rsid w:val="0052304B"/>
    <w:rsid w:val="0052669F"/>
    <w:rsid w:val="0052723E"/>
    <w:rsid w:val="00535881"/>
    <w:rsid w:val="00540D96"/>
    <w:rsid w:val="0054524B"/>
    <w:rsid w:val="00546CAA"/>
    <w:rsid w:val="00547972"/>
    <w:rsid w:val="0055069E"/>
    <w:rsid w:val="00563E1A"/>
    <w:rsid w:val="00567A1B"/>
    <w:rsid w:val="00571235"/>
    <w:rsid w:val="0057384A"/>
    <w:rsid w:val="0057645D"/>
    <w:rsid w:val="00580826"/>
    <w:rsid w:val="00585C06"/>
    <w:rsid w:val="0058726E"/>
    <w:rsid w:val="005952AD"/>
    <w:rsid w:val="005A11A2"/>
    <w:rsid w:val="005A1278"/>
    <w:rsid w:val="005A2F6C"/>
    <w:rsid w:val="005A7702"/>
    <w:rsid w:val="005A7B20"/>
    <w:rsid w:val="005B2D41"/>
    <w:rsid w:val="005B6B31"/>
    <w:rsid w:val="005B6FFF"/>
    <w:rsid w:val="005C013A"/>
    <w:rsid w:val="005C08E9"/>
    <w:rsid w:val="005C167C"/>
    <w:rsid w:val="005C6AD3"/>
    <w:rsid w:val="005D03F0"/>
    <w:rsid w:val="005D397D"/>
    <w:rsid w:val="005D4FF5"/>
    <w:rsid w:val="005E21D1"/>
    <w:rsid w:val="005F0DA2"/>
    <w:rsid w:val="00602F58"/>
    <w:rsid w:val="00604C48"/>
    <w:rsid w:val="006255A4"/>
    <w:rsid w:val="006260C7"/>
    <w:rsid w:val="0063344D"/>
    <w:rsid w:val="006358E0"/>
    <w:rsid w:val="00641013"/>
    <w:rsid w:val="0064667B"/>
    <w:rsid w:val="00647F75"/>
    <w:rsid w:val="00647F8A"/>
    <w:rsid w:val="006552DF"/>
    <w:rsid w:val="0066085F"/>
    <w:rsid w:val="00665DEA"/>
    <w:rsid w:val="00674A32"/>
    <w:rsid w:val="00681C2B"/>
    <w:rsid w:val="00683682"/>
    <w:rsid w:val="00695F8F"/>
    <w:rsid w:val="006A228A"/>
    <w:rsid w:val="006B28BB"/>
    <w:rsid w:val="006C297C"/>
    <w:rsid w:val="006C2CE9"/>
    <w:rsid w:val="006D5418"/>
    <w:rsid w:val="006D7A4D"/>
    <w:rsid w:val="006E26C8"/>
    <w:rsid w:val="006E6A20"/>
    <w:rsid w:val="006F2DC9"/>
    <w:rsid w:val="006F7BF9"/>
    <w:rsid w:val="0070062F"/>
    <w:rsid w:val="00700CEF"/>
    <w:rsid w:val="0071634C"/>
    <w:rsid w:val="00716889"/>
    <w:rsid w:val="00730F05"/>
    <w:rsid w:val="00745C8F"/>
    <w:rsid w:val="00747CD7"/>
    <w:rsid w:val="00747FD2"/>
    <w:rsid w:val="00750130"/>
    <w:rsid w:val="00752EAC"/>
    <w:rsid w:val="0075430E"/>
    <w:rsid w:val="0076103F"/>
    <w:rsid w:val="00763A95"/>
    <w:rsid w:val="00775CCD"/>
    <w:rsid w:val="007802D6"/>
    <w:rsid w:val="007A07ED"/>
    <w:rsid w:val="007B00F4"/>
    <w:rsid w:val="007B2404"/>
    <w:rsid w:val="007B29D7"/>
    <w:rsid w:val="007C537C"/>
    <w:rsid w:val="007D439A"/>
    <w:rsid w:val="007D7C76"/>
    <w:rsid w:val="007E0555"/>
    <w:rsid w:val="007F31F8"/>
    <w:rsid w:val="007F544D"/>
    <w:rsid w:val="007F76D7"/>
    <w:rsid w:val="00807B32"/>
    <w:rsid w:val="0081104D"/>
    <w:rsid w:val="00822094"/>
    <w:rsid w:val="00832904"/>
    <w:rsid w:val="008330E0"/>
    <w:rsid w:val="008343EF"/>
    <w:rsid w:val="008369C1"/>
    <w:rsid w:val="00855A3F"/>
    <w:rsid w:val="008563D4"/>
    <w:rsid w:val="00857712"/>
    <w:rsid w:val="00860C6D"/>
    <w:rsid w:val="008674A6"/>
    <w:rsid w:val="008758E6"/>
    <w:rsid w:val="00890401"/>
    <w:rsid w:val="00891994"/>
    <w:rsid w:val="00892BA7"/>
    <w:rsid w:val="00894580"/>
    <w:rsid w:val="00895FBD"/>
    <w:rsid w:val="008A1543"/>
    <w:rsid w:val="008A1661"/>
    <w:rsid w:val="008B249C"/>
    <w:rsid w:val="008B7291"/>
    <w:rsid w:val="008C328A"/>
    <w:rsid w:val="008D47BA"/>
    <w:rsid w:val="008E3BF9"/>
    <w:rsid w:val="008F22A3"/>
    <w:rsid w:val="008F3CFD"/>
    <w:rsid w:val="009113DC"/>
    <w:rsid w:val="0091269F"/>
    <w:rsid w:val="00914ACD"/>
    <w:rsid w:val="009364D0"/>
    <w:rsid w:val="00955702"/>
    <w:rsid w:val="00971DA7"/>
    <w:rsid w:val="0097337E"/>
    <w:rsid w:val="00974837"/>
    <w:rsid w:val="009771A1"/>
    <w:rsid w:val="0097729B"/>
    <w:rsid w:val="0098103A"/>
    <w:rsid w:val="009A0D25"/>
    <w:rsid w:val="009B00E6"/>
    <w:rsid w:val="009B3C40"/>
    <w:rsid w:val="009B6DE5"/>
    <w:rsid w:val="009B799D"/>
    <w:rsid w:val="009C08BB"/>
    <w:rsid w:val="009C3A97"/>
    <w:rsid w:val="009C3BC1"/>
    <w:rsid w:val="009C5A2F"/>
    <w:rsid w:val="009C755E"/>
    <w:rsid w:val="009C7BE9"/>
    <w:rsid w:val="009D722B"/>
    <w:rsid w:val="009E4EEA"/>
    <w:rsid w:val="009E65A2"/>
    <w:rsid w:val="009F2A34"/>
    <w:rsid w:val="009F37E6"/>
    <w:rsid w:val="00A03A0F"/>
    <w:rsid w:val="00A04A60"/>
    <w:rsid w:val="00A053AC"/>
    <w:rsid w:val="00A074F4"/>
    <w:rsid w:val="00A24C02"/>
    <w:rsid w:val="00A24C94"/>
    <w:rsid w:val="00A403E5"/>
    <w:rsid w:val="00A47C02"/>
    <w:rsid w:val="00A505DA"/>
    <w:rsid w:val="00A52DB3"/>
    <w:rsid w:val="00A6137B"/>
    <w:rsid w:val="00A6511A"/>
    <w:rsid w:val="00A74678"/>
    <w:rsid w:val="00A768D6"/>
    <w:rsid w:val="00A81EB2"/>
    <w:rsid w:val="00A81F14"/>
    <w:rsid w:val="00A92033"/>
    <w:rsid w:val="00A939F2"/>
    <w:rsid w:val="00A96594"/>
    <w:rsid w:val="00AA1B69"/>
    <w:rsid w:val="00AA4ECE"/>
    <w:rsid w:val="00AA581F"/>
    <w:rsid w:val="00AA5A98"/>
    <w:rsid w:val="00AB0B87"/>
    <w:rsid w:val="00AB0E3C"/>
    <w:rsid w:val="00AB2F63"/>
    <w:rsid w:val="00AB5BAE"/>
    <w:rsid w:val="00AC4228"/>
    <w:rsid w:val="00AC6528"/>
    <w:rsid w:val="00AC7D50"/>
    <w:rsid w:val="00AD0C32"/>
    <w:rsid w:val="00AD7231"/>
    <w:rsid w:val="00AE450C"/>
    <w:rsid w:val="00AE5397"/>
    <w:rsid w:val="00AE6855"/>
    <w:rsid w:val="00AE7DAE"/>
    <w:rsid w:val="00AF46AD"/>
    <w:rsid w:val="00B06991"/>
    <w:rsid w:val="00B22638"/>
    <w:rsid w:val="00B268C6"/>
    <w:rsid w:val="00B32BA3"/>
    <w:rsid w:val="00B405DD"/>
    <w:rsid w:val="00B407DB"/>
    <w:rsid w:val="00B40A01"/>
    <w:rsid w:val="00B4601A"/>
    <w:rsid w:val="00B559B8"/>
    <w:rsid w:val="00B628E4"/>
    <w:rsid w:val="00B62A2B"/>
    <w:rsid w:val="00B6415C"/>
    <w:rsid w:val="00B665C7"/>
    <w:rsid w:val="00B67BD5"/>
    <w:rsid w:val="00B70518"/>
    <w:rsid w:val="00B733AD"/>
    <w:rsid w:val="00B90627"/>
    <w:rsid w:val="00B91EAF"/>
    <w:rsid w:val="00BA0070"/>
    <w:rsid w:val="00BB5D89"/>
    <w:rsid w:val="00BE46BC"/>
    <w:rsid w:val="00BE62DF"/>
    <w:rsid w:val="00BE63F4"/>
    <w:rsid w:val="00BE71BF"/>
    <w:rsid w:val="00BF0DBE"/>
    <w:rsid w:val="00BF15A6"/>
    <w:rsid w:val="00BF1D40"/>
    <w:rsid w:val="00BF790A"/>
    <w:rsid w:val="00BF7D78"/>
    <w:rsid w:val="00C02DE5"/>
    <w:rsid w:val="00C05905"/>
    <w:rsid w:val="00C101E8"/>
    <w:rsid w:val="00C15B42"/>
    <w:rsid w:val="00C168D0"/>
    <w:rsid w:val="00C20B10"/>
    <w:rsid w:val="00C32C4F"/>
    <w:rsid w:val="00C33092"/>
    <w:rsid w:val="00C40B88"/>
    <w:rsid w:val="00C4132D"/>
    <w:rsid w:val="00C43477"/>
    <w:rsid w:val="00C4405E"/>
    <w:rsid w:val="00C47613"/>
    <w:rsid w:val="00C52266"/>
    <w:rsid w:val="00C60263"/>
    <w:rsid w:val="00C60626"/>
    <w:rsid w:val="00C627DF"/>
    <w:rsid w:val="00C64085"/>
    <w:rsid w:val="00C64611"/>
    <w:rsid w:val="00C668E7"/>
    <w:rsid w:val="00C66A89"/>
    <w:rsid w:val="00C67639"/>
    <w:rsid w:val="00C90BA9"/>
    <w:rsid w:val="00CA04B1"/>
    <w:rsid w:val="00CA4838"/>
    <w:rsid w:val="00CB149C"/>
    <w:rsid w:val="00CB2A13"/>
    <w:rsid w:val="00CE0402"/>
    <w:rsid w:val="00CE07A6"/>
    <w:rsid w:val="00CF470A"/>
    <w:rsid w:val="00D002BD"/>
    <w:rsid w:val="00D04932"/>
    <w:rsid w:val="00D060D5"/>
    <w:rsid w:val="00D10B5F"/>
    <w:rsid w:val="00D14E09"/>
    <w:rsid w:val="00D17C17"/>
    <w:rsid w:val="00D24DFE"/>
    <w:rsid w:val="00D25815"/>
    <w:rsid w:val="00D2624D"/>
    <w:rsid w:val="00D30D2D"/>
    <w:rsid w:val="00D31FEA"/>
    <w:rsid w:val="00D3677F"/>
    <w:rsid w:val="00D40BEF"/>
    <w:rsid w:val="00D4382C"/>
    <w:rsid w:val="00D56BBB"/>
    <w:rsid w:val="00D622A6"/>
    <w:rsid w:val="00D72341"/>
    <w:rsid w:val="00D7400D"/>
    <w:rsid w:val="00D82895"/>
    <w:rsid w:val="00D8495E"/>
    <w:rsid w:val="00D84BC9"/>
    <w:rsid w:val="00DA40DF"/>
    <w:rsid w:val="00DA4AC3"/>
    <w:rsid w:val="00DA5956"/>
    <w:rsid w:val="00DA7680"/>
    <w:rsid w:val="00DC6CB5"/>
    <w:rsid w:val="00DC70AA"/>
    <w:rsid w:val="00DD02F7"/>
    <w:rsid w:val="00DD2CD7"/>
    <w:rsid w:val="00DF18D3"/>
    <w:rsid w:val="00DF2EE9"/>
    <w:rsid w:val="00DF437B"/>
    <w:rsid w:val="00DF51AA"/>
    <w:rsid w:val="00E01142"/>
    <w:rsid w:val="00E05664"/>
    <w:rsid w:val="00E06AE5"/>
    <w:rsid w:val="00E14EBF"/>
    <w:rsid w:val="00E267E2"/>
    <w:rsid w:val="00E27A9E"/>
    <w:rsid w:val="00E30B06"/>
    <w:rsid w:val="00E31D7C"/>
    <w:rsid w:val="00E34CFB"/>
    <w:rsid w:val="00E351D5"/>
    <w:rsid w:val="00E57BE0"/>
    <w:rsid w:val="00E604C7"/>
    <w:rsid w:val="00E61C0E"/>
    <w:rsid w:val="00E6438B"/>
    <w:rsid w:val="00E6568C"/>
    <w:rsid w:val="00E70A81"/>
    <w:rsid w:val="00E71556"/>
    <w:rsid w:val="00E75E02"/>
    <w:rsid w:val="00E760FA"/>
    <w:rsid w:val="00E92CB3"/>
    <w:rsid w:val="00E95111"/>
    <w:rsid w:val="00E951B3"/>
    <w:rsid w:val="00E97CF5"/>
    <w:rsid w:val="00EA1600"/>
    <w:rsid w:val="00EB26FC"/>
    <w:rsid w:val="00EB797A"/>
    <w:rsid w:val="00EB7CAB"/>
    <w:rsid w:val="00EC21EC"/>
    <w:rsid w:val="00EC406A"/>
    <w:rsid w:val="00EC7430"/>
    <w:rsid w:val="00EE41D0"/>
    <w:rsid w:val="00EF22F7"/>
    <w:rsid w:val="00EF38A9"/>
    <w:rsid w:val="00F003AE"/>
    <w:rsid w:val="00F05BD0"/>
    <w:rsid w:val="00F06C9A"/>
    <w:rsid w:val="00F13179"/>
    <w:rsid w:val="00F2038B"/>
    <w:rsid w:val="00F20E29"/>
    <w:rsid w:val="00F27008"/>
    <w:rsid w:val="00F27AA7"/>
    <w:rsid w:val="00F31BF3"/>
    <w:rsid w:val="00F31EE7"/>
    <w:rsid w:val="00F3293F"/>
    <w:rsid w:val="00F43C72"/>
    <w:rsid w:val="00F5396E"/>
    <w:rsid w:val="00F63F83"/>
    <w:rsid w:val="00F7070A"/>
    <w:rsid w:val="00F7084A"/>
    <w:rsid w:val="00F82A4E"/>
    <w:rsid w:val="00FC2ED5"/>
    <w:rsid w:val="00FC55E0"/>
    <w:rsid w:val="00FD56A6"/>
    <w:rsid w:val="00FE065D"/>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DB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6E"/>
    <w:pPr>
      <w:spacing w:after="200" w:line="276" w:lineRule="auto"/>
    </w:pPr>
    <w:rPr>
      <w:sz w:val="22"/>
      <w:szCs w:val="22"/>
      <w:lang w:val="es-AR"/>
    </w:rPr>
  </w:style>
  <w:style w:type="paragraph" w:styleId="Ttulo1">
    <w:name w:val="heading 1"/>
    <w:basedOn w:val="Normal"/>
    <w:link w:val="Ttulo1Car"/>
    <w:uiPriority w:val="9"/>
    <w:qFormat/>
    <w:rsid w:val="007B00F4"/>
    <w:pPr>
      <w:spacing w:before="100" w:beforeAutospacing="1" w:after="100" w:afterAutospacing="1" w:line="240" w:lineRule="auto"/>
      <w:outlineLvl w:val="0"/>
    </w:pPr>
    <w:rPr>
      <w:rFonts w:ascii="Times New Roman" w:eastAsia="Times New Roman" w:hAnsi="Times New Roman"/>
      <w:b/>
      <w:bCs/>
      <w:kern w:val="36"/>
      <w:sz w:val="48"/>
      <w:szCs w:val="48"/>
      <w:lang w:val="pt-BR" w:eastAsia="pt-BR"/>
    </w:rPr>
  </w:style>
  <w:style w:type="paragraph" w:styleId="Ttulo4">
    <w:name w:val="heading 4"/>
    <w:basedOn w:val="Normal"/>
    <w:link w:val="Ttulo4Car"/>
    <w:uiPriority w:val="9"/>
    <w:qFormat/>
    <w:rsid w:val="007B00F4"/>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B00F4"/>
    <w:rPr>
      <w:rFonts w:ascii="Times New Roman" w:eastAsia="Times New Roman" w:hAnsi="Times New Roman"/>
      <w:b/>
      <w:bCs/>
      <w:kern w:val="36"/>
      <w:sz w:val="48"/>
      <w:szCs w:val="48"/>
      <w:lang w:val="pt-BR" w:eastAsia="pt-BR"/>
    </w:rPr>
  </w:style>
  <w:style w:type="character" w:customStyle="1" w:styleId="Ttulo4Car">
    <w:name w:val="Título 4 Car"/>
    <w:link w:val="Ttulo4"/>
    <w:uiPriority w:val="9"/>
    <w:rsid w:val="007B00F4"/>
    <w:rPr>
      <w:rFonts w:ascii="Times New Roman" w:eastAsia="Times New Roman" w:hAnsi="Times New Roman"/>
      <w:b/>
      <w:bCs/>
      <w:sz w:val="24"/>
      <w:szCs w:val="24"/>
      <w:lang w:val="x-none" w:eastAsia="x-none"/>
    </w:rPr>
  </w:style>
  <w:style w:type="character" w:styleId="Hipervnculo">
    <w:name w:val="Hyperlink"/>
    <w:uiPriority w:val="99"/>
    <w:unhideWhenUsed/>
    <w:rsid w:val="00393AD0"/>
    <w:rPr>
      <w:color w:val="0000FF"/>
      <w:u w:val="single"/>
    </w:rPr>
  </w:style>
  <w:style w:type="character" w:customStyle="1" w:styleId="apple-converted-space">
    <w:name w:val="apple-converted-space"/>
    <w:basedOn w:val="Fuentedeprrafopredeter"/>
    <w:rsid w:val="00C67639"/>
  </w:style>
  <w:style w:type="character" w:styleId="Textoennegrita">
    <w:name w:val="Strong"/>
    <w:uiPriority w:val="22"/>
    <w:qFormat/>
    <w:rsid w:val="00C67639"/>
    <w:rPr>
      <w:b/>
      <w:bCs/>
    </w:rPr>
  </w:style>
  <w:style w:type="paragraph" w:styleId="Textodeglobo">
    <w:name w:val="Balloon Text"/>
    <w:basedOn w:val="Normal"/>
    <w:link w:val="TextodegloboCar"/>
    <w:uiPriority w:val="99"/>
    <w:semiHidden/>
    <w:unhideWhenUsed/>
    <w:rsid w:val="00CB2A1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B2A13"/>
    <w:rPr>
      <w:rFonts w:ascii="Tahoma" w:hAnsi="Tahoma" w:cs="Tahoma"/>
      <w:sz w:val="16"/>
      <w:szCs w:val="16"/>
      <w:lang w:val="es-AR" w:eastAsia="en-US"/>
    </w:rPr>
  </w:style>
  <w:style w:type="table" w:styleId="Tablaconcuadrcula">
    <w:name w:val="Table Grid"/>
    <w:basedOn w:val="Tablanormal"/>
    <w:uiPriority w:val="59"/>
    <w:rsid w:val="00CB2A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1">
    <w:name w:val="Light Shading Accent 1"/>
    <w:basedOn w:val="Tablanormal"/>
    <w:uiPriority w:val="60"/>
    <w:rsid w:val="00EB26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nfasis11">
    <w:name w:val="Tabla con cuadrícula 2 - Énfasis 11"/>
    <w:basedOn w:val="Tablanormal"/>
    <w:uiPriority w:val="47"/>
    <w:rsid w:val="00235779"/>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2-nfasis51">
    <w:name w:val="Tabla con cuadrícula 2 - Énfasis 51"/>
    <w:basedOn w:val="Tablanormal"/>
    <w:uiPriority w:val="47"/>
    <w:rsid w:val="00A939F2"/>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notapie">
    <w:name w:val="footnote text"/>
    <w:aliases w:val="fn,Footnotes,Footnote ak,ft,fn cafc,Footnotes Char Char,Footnote Text Char Char,fn Char Char,footnote text Char Char Char Ch,Footnote Text Char1,footnote text Char Char Char Ch Char,footnote text Char Char"/>
    <w:basedOn w:val="Normal"/>
    <w:link w:val="TextonotapieCar"/>
    <w:uiPriority w:val="99"/>
    <w:unhideWhenUsed/>
    <w:rsid w:val="000433B3"/>
    <w:rPr>
      <w:sz w:val="20"/>
      <w:szCs w:val="20"/>
    </w:rPr>
  </w:style>
  <w:style w:type="character" w:customStyle="1" w:styleId="TextonotapieCar">
    <w:name w:val="Texto nota pie Car"/>
    <w:aliases w:val="fn Car,Footnotes Car,Footnote ak Car,ft Car,fn cafc Car,Footnotes Char Char Car,Footnote Text Char Char Car,fn Char Char Car,footnote text Char Char Char Ch Car,Footnote Text Char1 Car,footnote text Char Char Char Ch Char Car"/>
    <w:link w:val="Textonotapie"/>
    <w:uiPriority w:val="99"/>
    <w:rsid w:val="000433B3"/>
    <w:rPr>
      <w:lang w:val="es-AR" w:eastAsia="en-US"/>
    </w:rPr>
  </w:style>
  <w:style w:type="character" w:styleId="Refdenotaalpie">
    <w:name w:val="footnote reference"/>
    <w:semiHidden/>
    <w:unhideWhenUsed/>
    <w:rsid w:val="000433B3"/>
    <w:rPr>
      <w:vertAlign w:val="superscript"/>
    </w:rPr>
  </w:style>
  <w:style w:type="table" w:customStyle="1" w:styleId="Tablaconcuadrcula3-nfasis51">
    <w:name w:val="Tabla con cuadrícula 3 - Énfasis 51"/>
    <w:basedOn w:val="Tablanormal"/>
    <w:uiPriority w:val="48"/>
    <w:rsid w:val="00C90BA9"/>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styleId="Refdecomentario">
    <w:name w:val="annotation reference"/>
    <w:uiPriority w:val="99"/>
    <w:semiHidden/>
    <w:unhideWhenUsed/>
    <w:rsid w:val="00284B38"/>
    <w:rPr>
      <w:sz w:val="16"/>
      <w:szCs w:val="16"/>
    </w:rPr>
  </w:style>
  <w:style w:type="paragraph" w:styleId="Textocomentario">
    <w:name w:val="annotation text"/>
    <w:basedOn w:val="Normal"/>
    <w:link w:val="TextocomentarioCar"/>
    <w:uiPriority w:val="99"/>
    <w:semiHidden/>
    <w:unhideWhenUsed/>
    <w:rsid w:val="00284B38"/>
    <w:rPr>
      <w:sz w:val="20"/>
      <w:szCs w:val="20"/>
      <w:lang w:val="x-none"/>
    </w:rPr>
  </w:style>
  <w:style w:type="character" w:customStyle="1" w:styleId="TextocomentarioCar">
    <w:name w:val="Texto comentario Car"/>
    <w:link w:val="Textocomentario"/>
    <w:uiPriority w:val="99"/>
    <w:semiHidden/>
    <w:rsid w:val="00284B38"/>
    <w:rPr>
      <w:lang w:eastAsia="en-US"/>
    </w:rPr>
  </w:style>
  <w:style w:type="paragraph" w:styleId="Asuntodelcomentario">
    <w:name w:val="annotation subject"/>
    <w:basedOn w:val="Textocomentario"/>
    <w:next w:val="Textocomentario"/>
    <w:link w:val="AsuntodelcomentarioCar"/>
    <w:uiPriority w:val="99"/>
    <w:semiHidden/>
    <w:unhideWhenUsed/>
    <w:rsid w:val="00284B38"/>
    <w:rPr>
      <w:b/>
      <w:bCs/>
    </w:rPr>
  </w:style>
  <w:style w:type="character" w:customStyle="1" w:styleId="AsuntodelcomentarioCar">
    <w:name w:val="Asunto del comentario Car"/>
    <w:link w:val="Asuntodelcomentario"/>
    <w:uiPriority w:val="99"/>
    <w:semiHidden/>
    <w:rsid w:val="00284B38"/>
    <w:rPr>
      <w:b/>
      <w:bCs/>
      <w:lang w:eastAsia="en-US"/>
    </w:rPr>
  </w:style>
  <w:style w:type="paragraph" w:customStyle="1" w:styleId="default">
    <w:name w:val="default"/>
    <w:basedOn w:val="Normal"/>
    <w:rsid w:val="003B7E2F"/>
    <w:pPr>
      <w:spacing w:before="100" w:beforeAutospacing="1" w:after="100" w:afterAutospacing="1" w:line="240" w:lineRule="auto"/>
    </w:pPr>
    <w:rPr>
      <w:rFonts w:ascii="Times New Roman" w:eastAsia="Times New Roman" w:hAnsi="Times New Roman"/>
      <w:sz w:val="24"/>
      <w:szCs w:val="24"/>
      <w:lang w:val="es-ES" w:eastAsia="es-ES"/>
    </w:rPr>
  </w:style>
  <w:style w:type="table" w:customStyle="1" w:styleId="Tablaconcuadrcula1clara-nfasis51">
    <w:name w:val="Tabla con cuadrícula 1 clara - Énfasis 51"/>
    <w:basedOn w:val="Tablanormal"/>
    <w:uiPriority w:val="46"/>
    <w:rsid w:val="00DC6CB5"/>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style-span">
    <w:name w:val="apple-style-span"/>
    <w:basedOn w:val="Fuentedeprrafopredeter"/>
    <w:rsid w:val="00F31BF3"/>
  </w:style>
  <w:style w:type="table" w:styleId="Listamedia2-nfasis1">
    <w:name w:val="Medium List 2 Accent 1"/>
    <w:basedOn w:val="Tablanormal"/>
    <w:uiPriority w:val="66"/>
    <w:rsid w:val="00F31BF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3-nfasis11">
    <w:name w:val="Tabla con cuadrícula 3 - Énfasis 11"/>
    <w:basedOn w:val="Tablanormal"/>
    <w:uiPriority w:val="48"/>
    <w:rsid w:val="006C297C"/>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styleId="Hipervnculovisitado">
    <w:name w:val="FollowedHyperlink"/>
    <w:uiPriority w:val="99"/>
    <w:semiHidden/>
    <w:unhideWhenUsed/>
    <w:rsid w:val="005B6FFF"/>
    <w:rPr>
      <w:color w:val="954F72"/>
      <w:u w:val="single"/>
    </w:rPr>
  </w:style>
  <w:style w:type="table" w:styleId="Cuadrculamedia2-nfasis1">
    <w:name w:val="Medium Grid 2 Accent 1"/>
    <w:basedOn w:val="Tablanormal"/>
    <w:uiPriority w:val="68"/>
    <w:rsid w:val="007802D6"/>
    <w:rPr>
      <w:rFonts w:ascii="Calibri Light" w:eastAsia="Times New Roman" w:hAnsi="Calibri Light"/>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NormalWeb">
    <w:name w:val="Normal (Web)"/>
    <w:basedOn w:val="Normal"/>
    <w:uiPriority w:val="99"/>
    <w:unhideWhenUsed/>
    <w:rsid w:val="0010027D"/>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97729B"/>
    <w:pPr>
      <w:spacing w:after="160" w:line="259" w:lineRule="auto"/>
      <w:ind w:left="720"/>
      <w:contextualSpacing/>
    </w:pPr>
  </w:style>
  <w:style w:type="character" w:customStyle="1" w:styleId="apple-tab-span">
    <w:name w:val="apple-tab-span"/>
    <w:rsid w:val="007B00F4"/>
  </w:style>
  <w:style w:type="paragraph" w:customStyle="1" w:styleId="texto2">
    <w:name w:val="texto2"/>
    <w:basedOn w:val="Normal"/>
    <w:rsid w:val="007B00F4"/>
    <w:pPr>
      <w:spacing w:before="100" w:beforeAutospacing="1" w:after="100" w:afterAutospacing="1" w:line="240" w:lineRule="auto"/>
    </w:pPr>
    <w:rPr>
      <w:rFonts w:ascii="Times New Roman" w:eastAsia="Times New Roman" w:hAnsi="Times New Roman"/>
      <w:sz w:val="24"/>
      <w:szCs w:val="24"/>
      <w:lang w:val="pt-BR" w:eastAsia="pt-BR"/>
    </w:rPr>
  </w:style>
  <w:style w:type="table" w:customStyle="1" w:styleId="Tablaconcuadrcula1clara1">
    <w:name w:val="Tabla con cuadrícula 1 clara1"/>
    <w:basedOn w:val="Tablanormal"/>
    <w:uiPriority w:val="46"/>
    <w:rsid w:val="007B00F4"/>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7B00F4"/>
    <w:rPr>
      <w:rFonts w:ascii="Segoe UI" w:hAnsi="Segoe UI" w:cs="Segoe UI" w:hint="default"/>
      <w:b w:val="0"/>
      <w:bCs w:val="0"/>
      <w:i w:val="0"/>
      <w:iCs w:val="0"/>
      <w:color w:val="595959"/>
      <w:sz w:val="18"/>
      <w:szCs w:val="18"/>
    </w:rPr>
  </w:style>
  <w:style w:type="paragraph" w:customStyle="1" w:styleId="estilo2">
    <w:name w:val="estilo2"/>
    <w:basedOn w:val="Normal"/>
    <w:rsid w:val="007B00F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stilo11">
    <w:name w:val="estilo11"/>
    <w:rsid w:val="007B00F4"/>
  </w:style>
  <w:style w:type="character" w:customStyle="1" w:styleId="estilo3">
    <w:name w:val="estilo3"/>
    <w:rsid w:val="007B00F4"/>
  </w:style>
  <w:style w:type="character" w:customStyle="1" w:styleId="estilo5">
    <w:name w:val="estilo5"/>
    <w:rsid w:val="007B00F4"/>
  </w:style>
  <w:style w:type="character" w:customStyle="1" w:styleId="estilo17">
    <w:name w:val="estilo17"/>
    <w:rsid w:val="007B00F4"/>
  </w:style>
  <w:style w:type="paragraph" w:customStyle="1" w:styleId="textbox">
    <w:name w:val="textbox"/>
    <w:basedOn w:val="Normal"/>
    <w:rsid w:val="00345E3C"/>
    <w:pPr>
      <w:spacing w:before="100" w:beforeAutospacing="1" w:after="100" w:afterAutospacing="1" w:line="240" w:lineRule="auto"/>
    </w:pPr>
    <w:rPr>
      <w:rFonts w:ascii="Times New Roman" w:eastAsia="Times New Roman" w:hAnsi="Times New Roman"/>
      <w:sz w:val="24"/>
      <w:szCs w:val="24"/>
      <w:lang w:eastAsia="es-AR"/>
    </w:rPr>
  </w:style>
  <w:style w:type="paragraph" w:styleId="Encabezado">
    <w:name w:val="header"/>
    <w:basedOn w:val="Normal"/>
    <w:link w:val="EncabezadoCar"/>
    <w:uiPriority w:val="99"/>
    <w:unhideWhenUsed/>
    <w:rsid w:val="00E71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556"/>
    <w:rPr>
      <w:sz w:val="22"/>
      <w:szCs w:val="22"/>
      <w:lang w:val="es-AR"/>
    </w:rPr>
  </w:style>
  <w:style w:type="paragraph" w:styleId="Piedepgina">
    <w:name w:val="footer"/>
    <w:basedOn w:val="Normal"/>
    <w:link w:val="PiedepginaCar"/>
    <w:uiPriority w:val="99"/>
    <w:unhideWhenUsed/>
    <w:rsid w:val="00E71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556"/>
    <w:rPr>
      <w:sz w:val="22"/>
      <w:szCs w:val="22"/>
      <w:lang w:val="es-AR"/>
    </w:rPr>
  </w:style>
  <w:style w:type="character" w:customStyle="1" w:styleId="Mencinsinresolver1">
    <w:name w:val="Mención sin resolver1"/>
    <w:basedOn w:val="Fuentedeprrafopredeter"/>
    <w:uiPriority w:val="99"/>
    <w:semiHidden/>
    <w:unhideWhenUsed/>
    <w:rsid w:val="00D17C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6E"/>
    <w:pPr>
      <w:spacing w:after="200" w:line="276" w:lineRule="auto"/>
    </w:pPr>
    <w:rPr>
      <w:sz w:val="22"/>
      <w:szCs w:val="22"/>
      <w:lang w:val="es-AR"/>
    </w:rPr>
  </w:style>
  <w:style w:type="paragraph" w:styleId="Ttulo1">
    <w:name w:val="heading 1"/>
    <w:basedOn w:val="Normal"/>
    <w:link w:val="Ttulo1Car"/>
    <w:uiPriority w:val="9"/>
    <w:qFormat/>
    <w:rsid w:val="007B00F4"/>
    <w:pPr>
      <w:spacing w:before="100" w:beforeAutospacing="1" w:after="100" w:afterAutospacing="1" w:line="240" w:lineRule="auto"/>
      <w:outlineLvl w:val="0"/>
    </w:pPr>
    <w:rPr>
      <w:rFonts w:ascii="Times New Roman" w:eastAsia="Times New Roman" w:hAnsi="Times New Roman"/>
      <w:b/>
      <w:bCs/>
      <w:kern w:val="36"/>
      <w:sz w:val="48"/>
      <w:szCs w:val="48"/>
      <w:lang w:val="pt-BR" w:eastAsia="pt-BR"/>
    </w:rPr>
  </w:style>
  <w:style w:type="paragraph" w:styleId="Ttulo4">
    <w:name w:val="heading 4"/>
    <w:basedOn w:val="Normal"/>
    <w:link w:val="Ttulo4Car"/>
    <w:uiPriority w:val="9"/>
    <w:qFormat/>
    <w:rsid w:val="007B00F4"/>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B00F4"/>
    <w:rPr>
      <w:rFonts w:ascii="Times New Roman" w:eastAsia="Times New Roman" w:hAnsi="Times New Roman"/>
      <w:b/>
      <w:bCs/>
      <w:kern w:val="36"/>
      <w:sz w:val="48"/>
      <w:szCs w:val="48"/>
      <w:lang w:val="pt-BR" w:eastAsia="pt-BR"/>
    </w:rPr>
  </w:style>
  <w:style w:type="character" w:customStyle="1" w:styleId="Ttulo4Car">
    <w:name w:val="Título 4 Car"/>
    <w:link w:val="Ttulo4"/>
    <w:uiPriority w:val="9"/>
    <w:rsid w:val="007B00F4"/>
    <w:rPr>
      <w:rFonts w:ascii="Times New Roman" w:eastAsia="Times New Roman" w:hAnsi="Times New Roman"/>
      <w:b/>
      <w:bCs/>
      <w:sz w:val="24"/>
      <w:szCs w:val="24"/>
      <w:lang w:val="x-none" w:eastAsia="x-none"/>
    </w:rPr>
  </w:style>
  <w:style w:type="character" w:styleId="Hipervnculo">
    <w:name w:val="Hyperlink"/>
    <w:uiPriority w:val="99"/>
    <w:unhideWhenUsed/>
    <w:rsid w:val="00393AD0"/>
    <w:rPr>
      <w:color w:val="0000FF"/>
      <w:u w:val="single"/>
    </w:rPr>
  </w:style>
  <w:style w:type="character" w:customStyle="1" w:styleId="apple-converted-space">
    <w:name w:val="apple-converted-space"/>
    <w:basedOn w:val="Fuentedeprrafopredeter"/>
    <w:rsid w:val="00C67639"/>
  </w:style>
  <w:style w:type="character" w:styleId="Textoennegrita">
    <w:name w:val="Strong"/>
    <w:uiPriority w:val="22"/>
    <w:qFormat/>
    <w:rsid w:val="00C67639"/>
    <w:rPr>
      <w:b/>
      <w:bCs/>
    </w:rPr>
  </w:style>
  <w:style w:type="paragraph" w:styleId="Textodeglobo">
    <w:name w:val="Balloon Text"/>
    <w:basedOn w:val="Normal"/>
    <w:link w:val="TextodegloboCar"/>
    <w:uiPriority w:val="99"/>
    <w:semiHidden/>
    <w:unhideWhenUsed/>
    <w:rsid w:val="00CB2A1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B2A13"/>
    <w:rPr>
      <w:rFonts w:ascii="Tahoma" w:hAnsi="Tahoma" w:cs="Tahoma"/>
      <w:sz w:val="16"/>
      <w:szCs w:val="16"/>
      <w:lang w:val="es-AR" w:eastAsia="en-US"/>
    </w:rPr>
  </w:style>
  <w:style w:type="table" w:styleId="Tablaconcuadrcula">
    <w:name w:val="Table Grid"/>
    <w:basedOn w:val="Tablanormal"/>
    <w:uiPriority w:val="59"/>
    <w:rsid w:val="00CB2A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1">
    <w:name w:val="Light Shading Accent 1"/>
    <w:basedOn w:val="Tablanormal"/>
    <w:uiPriority w:val="60"/>
    <w:rsid w:val="00EB26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nfasis11">
    <w:name w:val="Tabla con cuadrícula 2 - Énfasis 11"/>
    <w:basedOn w:val="Tablanormal"/>
    <w:uiPriority w:val="47"/>
    <w:rsid w:val="00235779"/>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2-nfasis51">
    <w:name w:val="Tabla con cuadrícula 2 - Énfasis 51"/>
    <w:basedOn w:val="Tablanormal"/>
    <w:uiPriority w:val="47"/>
    <w:rsid w:val="00A939F2"/>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notapie">
    <w:name w:val="footnote text"/>
    <w:aliases w:val="fn,Footnotes,Footnote ak,ft,fn cafc,Footnotes Char Char,Footnote Text Char Char,fn Char Char,footnote text Char Char Char Ch,Footnote Text Char1,footnote text Char Char Char Ch Char,footnote text Char Char"/>
    <w:basedOn w:val="Normal"/>
    <w:link w:val="TextonotapieCar"/>
    <w:uiPriority w:val="99"/>
    <w:unhideWhenUsed/>
    <w:rsid w:val="000433B3"/>
    <w:rPr>
      <w:sz w:val="20"/>
      <w:szCs w:val="20"/>
    </w:rPr>
  </w:style>
  <w:style w:type="character" w:customStyle="1" w:styleId="TextonotapieCar">
    <w:name w:val="Texto nota pie Car"/>
    <w:aliases w:val="fn Car,Footnotes Car,Footnote ak Car,ft Car,fn cafc Car,Footnotes Char Char Car,Footnote Text Char Char Car,fn Char Char Car,footnote text Char Char Char Ch Car,Footnote Text Char1 Car,footnote text Char Char Char Ch Char Car"/>
    <w:link w:val="Textonotapie"/>
    <w:uiPriority w:val="99"/>
    <w:rsid w:val="000433B3"/>
    <w:rPr>
      <w:lang w:val="es-AR" w:eastAsia="en-US"/>
    </w:rPr>
  </w:style>
  <w:style w:type="character" w:styleId="Refdenotaalpie">
    <w:name w:val="footnote reference"/>
    <w:semiHidden/>
    <w:unhideWhenUsed/>
    <w:rsid w:val="000433B3"/>
    <w:rPr>
      <w:vertAlign w:val="superscript"/>
    </w:rPr>
  </w:style>
  <w:style w:type="table" w:customStyle="1" w:styleId="Tablaconcuadrcula3-nfasis51">
    <w:name w:val="Tabla con cuadrícula 3 - Énfasis 51"/>
    <w:basedOn w:val="Tablanormal"/>
    <w:uiPriority w:val="48"/>
    <w:rsid w:val="00C90BA9"/>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styleId="Refdecomentario">
    <w:name w:val="annotation reference"/>
    <w:uiPriority w:val="99"/>
    <w:semiHidden/>
    <w:unhideWhenUsed/>
    <w:rsid w:val="00284B38"/>
    <w:rPr>
      <w:sz w:val="16"/>
      <w:szCs w:val="16"/>
    </w:rPr>
  </w:style>
  <w:style w:type="paragraph" w:styleId="Textocomentario">
    <w:name w:val="annotation text"/>
    <w:basedOn w:val="Normal"/>
    <w:link w:val="TextocomentarioCar"/>
    <w:uiPriority w:val="99"/>
    <w:semiHidden/>
    <w:unhideWhenUsed/>
    <w:rsid w:val="00284B38"/>
    <w:rPr>
      <w:sz w:val="20"/>
      <w:szCs w:val="20"/>
      <w:lang w:val="x-none"/>
    </w:rPr>
  </w:style>
  <w:style w:type="character" w:customStyle="1" w:styleId="TextocomentarioCar">
    <w:name w:val="Texto comentario Car"/>
    <w:link w:val="Textocomentario"/>
    <w:uiPriority w:val="99"/>
    <w:semiHidden/>
    <w:rsid w:val="00284B38"/>
    <w:rPr>
      <w:lang w:eastAsia="en-US"/>
    </w:rPr>
  </w:style>
  <w:style w:type="paragraph" w:styleId="Asuntodelcomentario">
    <w:name w:val="annotation subject"/>
    <w:basedOn w:val="Textocomentario"/>
    <w:next w:val="Textocomentario"/>
    <w:link w:val="AsuntodelcomentarioCar"/>
    <w:uiPriority w:val="99"/>
    <w:semiHidden/>
    <w:unhideWhenUsed/>
    <w:rsid w:val="00284B38"/>
    <w:rPr>
      <w:b/>
      <w:bCs/>
    </w:rPr>
  </w:style>
  <w:style w:type="character" w:customStyle="1" w:styleId="AsuntodelcomentarioCar">
    <w:name w:val="Asunto del comentario Car"/>
    <w:link w:val="Asuntodelcomentario"/>
    <w:uiPriority w:val="99"/>
    <w:semiHidden/>
    <w:rsid w:val="00284B38"/>
    <w:rPr>
      <w:b/>
      <w:bCs/>
      <w:lang w:eastAsia="en-US"/>
    </w:rPr>
  </w:style>
  <w:style w:type="paragraph" w:customStyle="1" w:styleId="default">
    <w:name w:val="default"/>
    <w:basedOn w:val="Normal"/>
    <w:rsid w:val="003B7E2F"/>
    <w:pPr>
      <w:spacing w:before="100" w:beforeAutospacing="1" w:after="100" w:afterAutospacing="1" w:line="240" w:lineRule="auto"/>
    </w:pPr>
    <w:rPr>
      <w:rFonts w:ascii="Times New Roman" w:eastAsia="Times New Roman" w:hAnsi="Times New Roman"/>
      <w:sz w:val="24"/>
      <w:szCs w:val="24"/>
      <w:lang w:val="es-ES" w:eastAsia="es-ES"/>
    </w:rPr>
  </w:style>
  <w:style w:type="table" w:customStyle="1" w:styleId="Tablaconcuadrcula1clara-nfasis51">
    <w:name w:val="Tabla con cuadrícula 1 clara - Énfasis 51"/>
    <w:basedOn w:val="Tablanormal"/>
    <w:uiPriority w:val="46"/>
    <w:rsid w:val="00DC6CB5"/>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style-span">
    <w:name w:val="apple-style-span"/>
    <w:basedOn w:val="Fuentedeprrafopredeter"/>
    <w:rsid w:val="00F31BF3"/>
  </w:style>
  <w:style w:type="table" w:styleId="Listamedia2-nfasis1">
    <w:name w:val="Medium List 2 Accent 1"/>
    <w:basedOn w:val="Tablanormal"/>
    <w:uiPriority w:val="66"/>
    <w:rsid w:val="00F31BF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3-nfasis11">
    <w:name w:val="Tabla con cuadrícula 3 - Énfasis 11"/>
    <w:basedOn w:val="Tablanormal"/>
    <w:uiPriority w:val="48"/>
    <w:rsid w:val="006C297C"/>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styleId="Hipervnculovisitado">
    <w:name w:val="FollowedHyperlink"/>
    <w:uiPriority w:val="99"/>
    <w:semiHidden/>
    <w:unhideWhenUsed/>
    <w:rsid w:val="005B6FFF"/>
    <w:rPr>
      <w:color w:val="954F72"/>
      <w:u w:val="single"/>
    </w:rPr>
  </w:style>
  <w:style w:type="table" w:styleId="Cuadrculamedia2-nfasis1">
    <w:name w:val="Medium Grid 2 Accent 1"/>
    <w:basedOn w:val="Tablanormal"/>
    <w:uiPriority w:val="68"/>
    <w:rsid w:val="007802D6"/>
    <w:rPr>
      <w:rFonts w:ascii="Calibri Light" w:eastAsia="Times New Roman" w:hAnsi="Calibri Light"/>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NormalWeb">
    <w:name w:val="Normal (Web)"/>
    <w:basedOn w:val="Normal"/>
    <w:uiPriority w:val="99"/>
    <w:unhideWhenUsed/>
    <w:rsid w:val="0010027D"/>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97729B"/>
    <w:pPr>
      <w:spacing w:after="160" w:line="259" w:lineRule="auto"/>
      <w:ind w:left="720"/>
      <w:contextualSpacing/>
    </w:pPr>
  </w:style>
  <w:style w:type="character" w:customStyle="1" w:styleId="apple-tab-span">
    <w:name w:val="apple-tab-span"/>
    <w:rsid w:val="007B00F4"/>
  </w:style>
  <w:style w:type="paragraph" w:customStyle="1" w:styleId="texto2">
    <w:name w:val="texto2"/>
    <w:basedOn w:val="Normal"/>
    <w:rsid w:val="007B00F4"/>
    <w:pPr>
      <w:spacing w:before="100" w:beforeAutospacing="1" w:after="100" w:afterAutospacing="1" w:line="240" w:lineRule="auto"/>
    </w:pPr>
    <w:rPr>
      <w:rFonts w:ascii="Times New Roman" w:eastAsia="Times New Roman" w:hAnsi="Times New Roman"/>
      <w:sz w:val="24"/>
      <w:szCs w:val="24"/>
      <w:lang w:val="pt-BR" w:eastAsia="pt-BR"/>
    </w:rPr>
  </w:style>
  <w:style w:type="table" w:customStyle="1" w:styleId="Tablaconcuadrcula1clara1">
    <w:name w:val="Tabla con cuadrícula 1 clara1"/>
    <w:basedOn w:val="Tablanormal"/>
    <w:uiPriority w:val="46"/>
    <w:rsid w:val="007B00F4"/>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7B00F4"/>
    <w:rPr>
      <w:rFonts w:ascii="Segoe UI" w:hAnsi="Segoe UI" w:cs="Segoe UI" w:hint="default"/>
      <w:b w:val="0"/>
      <w:bCs w:val="0"/>
      <w:i w:val="0"/>
      <w:iCs w:val="0"/>
      <w:color w:val="595959"/>
      <w:sz w:val="18"/>
      <w:szCs w:val="18"/>
    </w:rPr>
  </w:style>
  <w:style w:type="paragraph" w:customStyle="1" w:styleId="estilo2">
    <w:name w:val="estilo2"/>
    <w:basedOn w:val="Normal"/>
    <w:rsid w:val="007B00F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stilo11">
    <w:name w:val="estilo11"/>
    <w:rsid w:val="007B00F4"/>
  </w:style>
  <w:style w:type="character" w:customStyle="1" w:styleId="estilo3">
    <w:name w:val="estilo3"/>
    <w:rsid w:val="007B00F4"/>
  </w:style>
  <w:style w:type="character" w:customStyle="1" w:styleId="estilo5">
    <w:name w:val="estilo5"/>
    <w:rsid w:val="007B00F4"/>
  </w:style>
  <w:style w:type="character" w:customStyle="1" w:styleId="estilo17">
    <w:name w:val="estilo17"/>
    <w:rsid w:val="007B00F4"/>
  </w:style>
  <w:style w:type="paragraph" w:customStyle="1" w:styleId="textbox">
    <w:name w:val="textbox"/>
    <w:basedOn w:val="Normal"/>
    <w:rsid w:val="00345E3C"/>
    <w:pPr>
      <w:spacing w:before="100" w:beforeAutospacing="1" w:after="100" w:afterAutospacing="1" w:line="240" w:lineRule="auto"/>
    </w:pPr>
    <w:rPr>
      <w:rFonts w:ascii="Times New Roman" w:eastAsia="Times New Roman" w:hAnsi="Times New Roman"/>
      <w:sz w:val="24"/>
      <w:szCs w:val="24"/>
      <w:lang w:eastAsia="es-AR"/>
    </w:rPr>
  </w:style>
  <w:style w:type="paragraph" w:styleId="Encabezado">
    <w:name w:val="header"/>
    <w:basedOn w:val="Normal"/>
    <w:link w:val="EncabezadoCar"/>
    <w:uiPriority w:val="99"/>
    <w:unhideWhenUsed/>
    <w:rsid w:val="00E71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556"/>
    <w:rPr>
      <w:sz w:val="22"/>
      <w:szCs w:val="22"/>
      <w:lang w:val="es-AR"/>
    </w:rPr>
  </w:style>
  <w:style w:type="paragraph" w:styleId="Piedepgina">
    <w:name w:val="footer"/>
    <w:basedOn w:val="Normal"/>
    <w:link w:val="PiedepginaCar"/>
    <w:uiPriority w:val="99"/>
    <w:unhideWhenUsed/>
    <w:rsid w:val="00E71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556"/>
    <w:rPr>
      <w:sz w:val="22"/>
      <w:szCs w:val="22"/>
      <w:lang w:val="es-AR"/>
    </w:rPr>
  </w:style>
  <w:style w:type="character" w:customStyle="1" w:styleId="Mencinsinresolver1">
    <w:name w:val="Mención sin resolver1"/>
    <w:basedOn w:val="Fuentedeprrafopredeter"/>
    <w:uiPriority w:val="99"/>
    <w:semiHidden/>
    <w:unhideWhenUsed/>
    <w:rsid w:val="00D1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7576">
      <w:bodyDiv w:val="1"/>
      <w:marLeft w:val="0"/>
      <w:marRight w:val="0"/>
      <w:marTop w:val="0"/>
      <w:marBottom w:val="0"/>
      <w:divBdr>
        <w:top w:val="none" w:sz="0" w:space="0" w:color="auto"/>
        <w:left w:val="none" w:sz="0" w:space="0" w:color="auto"/>
        <w:bottom w:val="none" w:sz="0" w:space="0" w:color="auto"/>
        <w:right w:val="none" w:sz="0" w:space="0" w:color="auto"/>
      </w:divBdr>
    </w:div>
    <w:div w:id="60442727">
      <w:bodyDiv w:val="1"/>
      <w:marLeft w:val="0"/>
      <w:marRight w:val="0"/>
      <w:marTop w:val="0"/>
      <w:marBottom w:val="0"/>
      <w:divBdr>
        <w:top w:val="none" w:sz="0" w:space="0" w:color="auto"/>
        <w:left w:val="none" w:sz="0" w:space="0" w:color="auto"/>
        <w:bottom w:val="none" w:sz="0" w:space="0" w:color="auto"/>
        <w:right w:val="none" w:sz="0" w:space="0" w:color="auto"/>
      </w:divBdr>
    </w:div>
    <w:div w:id="72356127">
      <w:bodyDiv w:val="1"/>
      <w:marLeft w:val="0"/>
      <w:marRight w:val="0"/>
      <w:marTop w:val="0"/>
      <w:marBottom w:val="0"/>
      <w:divBdr>
        <w:top w:val="none" w:sz="0" w:space="0" w:color="auto"/>
        <w:left w:val="none" w:sz="0" w:space="0" w:color="auto"/>
        <w:bottom w:val="none" w:sz="0" w:space="0" w:color="auto"/>
        <w:right w:val="none" w:sz="0" w:space="0" w:color="auto"/>
      </w:divBdr>
    </w:div>
    <w:div w:id="165248422">
      <w:bodyDiv w:val="1"/>
      <w:marLeft w:val="0"/>
      <w:marRight w:val="0"/>
      <w:marTop w:val="0"/>
      <w:marBottom w:val="0"/>
      <w:divBdr>
        <w:top w:val="none" w:sz="0" w:space="0" w:color="auto"/>
        <w:left w:val="none" w:sz="0" w:space="0" w:color="auto"/>
        <w:bottom w:val="none" w:sz="0" w:space="0" w:color="auto"/>
        <w:right w:val="none" w:sz="0" w:space="0" w:color="auto"/>
      </w:divBdr>
    </w:div>
    <w:div w:id="183443082">
      <w:bodyDiv w:val="1"/>
      <w:marLeft w:val="0"/>
      <w:marRight w:val="0"/>
      <w:marTop w:val="0"/>
      <w:marBottom w:val="0"/>
      <w:divBdr>
        <w:top w:val="none" w:sz="0" w:space="0" w:color="auto"/>
        <w:left w:val="none" w:sz="0" w:space="0" w:color="auto"/>
        <w:bottom w:val="none" w:sz="0" w:space="0" w:color="auto"/>
        <w:right w:val="none" w:sz="0" w:space="0" w:color="auto"/>
      </w:divBdr>
    </w:div>
    <w:div w:id="184103554">
      <w:bodyDiv w:val="1"/>
      <w:marLeft w:val="0"/>
      <w:marRight w:val="0"/>
      <w:marTop w:val="0"/>
      <w:marBottom w:val="0"/>
      <w:divBdr>
        <w:top w:val="none" w:sz="0" w:space="0" w:color="auto"/>
        <w:left w:val="none" w:sz="0" w:space="0" w:color="auto"/>
        <w:bottom w:val="none" w:sz="0" w:space="0" w:color="auto"/>
        <w:right w:val="none" w:sz="0" w:space="0" w:color="auto"/>
      </w:divBdr>
    </w:div>
    <w:div w:id="184372475">
      <w:bodyDiv w:val="1"/>
      <w:marLeft w:val="0"/>
      <w:marRight w:val="0"/>
      <w:marTop w:val="0"/>
      <w:marBottom w:val="0"/>
      <w:divBdr>
        <w:top w:val="none" w:sz="0" w:space="0" w:color="auto"/>
        <w:left w:val="none" w:sz="0" w:space="0" w:color="auto"/>
        <w:bottom w:val="none" w:sz="0" w:space="0" w:color="auto"/>
        <w:right w:val="none" w:sz="0" w:space="0" w:color="auto"/>
      </w:divBdr>
    </w:div>
    <w:div w:id="195435839">
      <w:bodyDiv w:val="1"/>
      <w:marLeft w:val="0"/>
      <w:marRight w:val="0"/>
      <w:marTop w:val="0"/>
      <w:marBottom w:val="0"/>
      <w:divBdr>
        <w:top w:val="none" w:sz="0" w:space="0" w:color="auto"/>
        <w:left w:val="none" w:sz="0" w:space="0" w:color="auto"/>
        <w:bottom w:val="none" w:sz="0" w:space="0" w:color="auto"/>
        <w:right w:val="none" w:sz="0" w:space="0" w:color="auto"/>
      </w:divBdr>
    </w:div>
    <w:div w:id="237059820">
      <w:bodyDiv w:val="1"/>
      <w:marLeft w:val="0"/>
      <w:marRight w:val="0"/>
      <w:marTop w:val="0"/>
      <w:marBottom w:val="0"/>
      <w:divBdr>
        <w:top w:val="none" w:sz="0" w:space="0" w:color="auto"/>
        <w:left w:val="none" w:sz="0" w:space="0" w:color="auto"/>
        <w:bottom w:val="none" w:sz="0" w:space="0" w:color="auto"/>
        <w:right w:val="none" w:sz="0" w:space="0" w:color="auto"/>
      </w:divBdr>
    </w:div>
    <w:div w:id="263615080">
      <w:bodyDiv w:val="1"/>
      <w:marLeft w:val="0"/>
      <w:marRight w:val="0"/>
      <w:marTop w:val="0"/>
      <w:marBottom w:val="0"/>
      <w:divBdr>
        <w:top w:val="none" w:sz="0" w:space="0" w:color="auto"/>
        <w:left w:val="none" w:sz="0" w:space="0" w:color="auto"/>
        <w:bottom w:val="none" w:sz="0" w:space="0" w:color="auto"/>
        <w:right w:val="none" w:sz="0" w:space="0" w:color="auto"/>
      </w:divBdr>
    </w:div>
    <w:div w:id="332998139">
      <w:bodyDiv w:val="1"/>
      <w:marLeft w:val="0"/>
      <w:marRight w:val="0"/>
      <w:marTop w:val="0"/>
      <w:marBottom w:val="0"/>
      <w:divBdr>
        <w:top w:val="none" w:sz="0" w:space="0" w:color="auto"/>
        <w:left w:val="none" w:sz="0" w:space="0" w:color="auto"/>
        <w:bottom w:val="none" w:sz="0" w:space="0" w:color="auto"/>
        <w:right w:val="none" w:sz="0" w:space="0" w:color="auto"/>
      </w:divBdr>
    </w:div>
    <w:div w:id="487602210">
      <w:bodyDiv w:val="1"/>
      <w:marLeft w:val="0"/>
      <w:marRight w:val="0"/>
      <w:marTop w:val="0"/>
      <w:marBottom w:val="0"/>
      <w:divBdr>
        <w:top w:val="none" w:sz="0" w:space="0" w:color="auto"/>
        <w:left w:val="none" w:sz="0" w:space="0" w:color="auto"/>
        <w:bottom w:val="none" w:sz="0" w:space="0" w:color="auto"/>
        <w:right w:val="none" w:sz="0" w:space="0" w:color="auto"/>
      </w:divBdr>
    </w:div>
    <w:div w:id="487671200">
      <w:bodyDiv w:val="1"/>
      <w:marLeft w:val="0"/>
      <w:marRight w:val="0"/>
      <w:marTop w:val="0"/>
      <w:marBottom w:val="0"/>
      <w:divBdr>
        <w:top w:val="none" w:sz="0" w:space="0" w:color="auto"/>
        <w:left w:val="none" w:sz="0" w:space="0" w:color="auto"/>
        <w:bottom w:val="none" w:sz="0" w:space="0" w:color="auto"/>
        <w:right w:val="none" w:sz="0" w:space="0" w:color="auto"/>
      </w:divBdr>
    </w:div>
    <w:div w:id="536816044">
      <w:bodyDiv w:val="1"/>
      <w:marLeft w:val="0"/>
      <w:marRight w:val="0"/>
      <w:marTop w:val="0"/>
      <w:marBottom w:val="0"/>
      <w:divBdr>
        <w:top w:val="none" w:sz="0" w:space="0" w:color="auto"/>
        <w:left w:val="none" w:sz="0" w:space="0" w:color="auto"/>
        <w:bottom w:val="none" w:sz="0" w:space="0" w:color="auto"/>
        <w:right w:val="none" w:sz="0" w:space="0" w:color="auto"/>
      </w:divBdr>
    </w:div>
    <w:div w:id="541291366">
      <w:bodyDiv w:val="1"/>
      <w:marLeft w:val="0"/>
      <w:marRight w:val="0"/>
      <w:marTop w:val="0"/>
      <w:marBottom w:val="0"/>
      <w:divBdr>
        <w:top w:val="none" w:sz="0" w:space="0" w:color="auto"/>
        <w:left w:val="none" w:sz="0" w:space="0" w:color="auto"/>
        <w:bottom w:val="none" w:sz="0" w:space="0" w:color="auto"/>
        <w:right w:val="none" w:sz="0" w:space="0" w:color="auto"/>
      </w:divBdr>
    </w:div>
    <w:div w:id="558829820">
      <w:bodyDiv w:val="1"/>
      <w:marLeft w:val="0"/>
      <w:marRight w:val="0"/>
      <w:marTop w:val="0"/>
      <w:marBottom w:val="0"/>
      <w:divBdr>
        <w:top w:val="none" w:sz="0" w:space="0" w:color="auto"/>
        <w:left w:val="none" w:sz="0" w:space="0" w:color="auto"/>
        <w:bottom w:val="none" w:sz="0" w:space="0" w:color="auto"/>
        <w:right w:val="none" w:sz="0" w:space="0" w:color="auto"/>
      </w:divBdr>
    </w:div>
    <w:div w:id="558907342">
      <w:bodyDiv w:val="1"/>
      <w:marLeft w:val="0"/>
      <w:marRight w:val="0"/>
      <w:marTop w:val="0"/>
      <w:marBottom w:val="0"/>
      <w:divBdr>
        <w:top w:val="none" w:sz="0" w:space="0" w:color="auto"/>
        <w:left w:val="none" w:sz="0" w:space="0" w:color="auto"/>
        <w:bottom w:val="none" w:sz="0" w:space="0" w:color="auto"/>
        <w:right w:val="none" w:sz="0" w:space="0" w:color="auto"/>
      </w:divBdr>
    </w:div>
    <w:div w:id="572930405">
      <w:bodyDiv w:val="1"/>
      <w:marLeft w:val="0"/>
      <w:marRight w:val="0"/>
      <w:marTop w:val="0"/>
      <w:marBottom w:val="0"/>
      <w:divBdr>
        <w:top w:val="none" w:sz="0" w:space="0" w:color="auto"/>
        <w:left w:val="none" w:sz="0" w:space="0" w:color="auto"/>
        <w:bottom w:val="none" w:sz="0" w:space="0" w:color="auto"/>
        <w:right w:val="none" w:sz="0" w:space="0" w:color="auto"/>
      </w:divBdr>
    </w:div>
    <w:div w:id="663975613">
      <w:bodyDiv w:val="1"/>
      <w:marLeft w:val="0"/>
      <w:marRight w:val="0"/>
      <w:marTop w:val="0"/>
      <w:marBottom w:val="0"/>
      <w:divBdr>
        <w:top w:val="none" w:sz="0" w:space="0" w:color="auto"/>
        <w:left w:val="none" w:sz="0" w:space="0" w:color="auto"/>
        <w:bottom w:val="none" w:sz="0" w:space="0" w:color="auto"/>
        <w:right w:val="none" w:sz="0" w:space="0" w:color="auto"/>
      </w:divBdr>
      <w:divsChild>
        <w:div w:id="727001591">
          <w:marLeft w:val="0"/>
          <w:marRight w:val="0"/>
          <w:marTop w:val="0"/>
          <w:marBottom w:val="0"/>
          <w:divBdr>
            <w:top w:val="none" w:sz="0" w:space="0" w:color="auto"/>
            <w:left w:val="none" w:sz="0" w:space="0" w:color="auto"/>
            <w:bottom w:val="none" w:sz="0" w:space="0" w:color="auto"/>
            <w:right w:val="none" w:sz="0" w:space="0" w:color="auto"/>
          </w:divBdr>
        </w:div>
        <w:div w:id="2032102772">
          <w:marLeft w:val="0"/>
          <w:marRight w:val="0"/>
          <w:marTop w:val="0"/>
          <w:marBottom w:val="0"/>
          <w:divBdr>
            <w:top w:val="none" w:sz="0" w:space="0" w:color="auto"/>
            <w:left w:val="none" w:sz="0" w:space="0" w:color="auto"/>
            <w:bottom w:val="none" w:sz="0" w:space="0" w:color="auto"/>
            <w:right w:val="none" w:sz="0" w:space="0" w:color="auto"/>
          </w:divBdr>
        </w:div>
      </w:divsChild>
    </w:div>
    <w:div w:id="750664982">
      <w:bodyDiv w:val="1"/>
      <w:marLeft w:val="0"/>
      <w:marRight w:val="0"/>
      <w:marTop w:val="0"/>
      <w:marBottom w:val="0"/>
      <w:divBdr>
        <w:top w:val="none" w:sz="0" w:space="0" w:color="auto"/>
        <w:left w:val="none" w:sz="0" w:space="0" w:color="auto"/>
        <w:bottom w:val="none" w:sz="0" w:space="0" w:color="auto"/>
        <w:right w:val="none" w:sz="0" w:space="0" w:color="auto"/>
      </w:divBdr>
    </w:div>
    <w:div w:id="779834967">
      <w:bodyDiv w:val="1"/>
      <w:marLeft w:val="0"/>
      <w:marRight w:val="0"/>
      <w:marTop w:val="0"/>
      <w:marBottom w:val="0"/>
      <w:divBdr>
        <w:top w:val="none" w:sz="0" w:space="0" w:color="auto"/>
        <w:left w:val="none" w:sz="0" w:space="0" w:color="auto"/>
        <w:bottom w:val="none" w:sz="0" w:space="0" w:color="auto"/>
        <w:right w:val="none" w:sz="0" w:space="0" w:color="auto"/>
      </w:divBdr>
    </w:div>
    <w:div w:id="843975556">
      <w:bodyDiv w:val="1"/>
      <w:marLeft w:val="0"/>
      <w:marRight w:val="0"/>
      <w:marTop w:val="0"/>
      <w:marBottom w:val="0"/>
      <w:divBdr>
        <w:top w:val="none" w:sz="0" w:space="0" w:color="auto"/>
        <w:left w:val="none" w:sz="0" w:space="0" w:color="auto"/>
        <w:bottom w:val="none" w:sz="0" w:space="0" w:color="auto"/>
        <w:right w:val="none" w:sz="0" w:space="0" w:color="auto"/>
      </w:divBdr>
    </w:div>
    <w:div w:id="893009514">
      <w:bodyDiv w:val="1"/>
      <w:marLeft w:val="0"/>
      <w:marRight w:val="0"/>
      <w:marTop w:val="0"/>
      <w:marBottom w:val="0"/>
      <w:divBdr>
        <w:top w:val="none" w:sz="0" w:space="0" w:color="auto"/>
        <w:left w:val="none" w:sz="0" w:space="0" w:color="auto"/>
        <w:bottom w:val="none" w:sz="0" w:space="0" w:color="auto"/>
        <w:right w:val="none" w:sz="0" w:space="0" w:color="auto"/>
      </w:divBdr>
    </w:div>
    <w:div w:id="903367878">
      <w:bodyDiv w:val="1"/>
      <w:marLeft w:val="0"/>
      <w:marRight w:val="0"/>
      <w:marTop w:val="0"/>
      <w:marBottom w:val="0"/>
      <w:divBdr>
        <w:top w:val="none" w:sz="0" w:space="0" w:color="auto"/>
        <w:left w:val="none" w:sz="0" w:space="0" w:color="auto"/>
        <w:bottom w:val="none" w:sz="0" w:space="0" w:color="auto"/>
        <w:right w:val="none" w:sz="0" w:space="0" w:color="auto"/>
      </w:divBdr>
    </w:div>
    <w:div w:id="998846445">
      <w:bodyDiv w:val="1"/>
      <w:marLeft w:val="0"/>
      <w:marRight w:val="0"/>
      <w:marTop w:val="0"/>
      <w:marBottom w:val="0"/>
      <w:divBdr>
        <w:top w:val="none" w:sz="0" w:space="0" w:color="auto"/>
        <w:left w:val="none" w:sz="0" w:space="0" w:color="auto"/>
        <w:bottom w:val="none" w:sz="0" w:space="0" w:color="auto"/>
        <w:right w:val="none" w:sz="0" w:space="0" w:color="auto"/>
      </w:divBdr>
    </w:div>
    <w:div w:id="1022705737">
      <w:bodyDiv w:val="1"/>
      <w:marLeft w:val="0"/>
      <w:marRight w:val="0"/>
      <w:marTop w:val="0"/>
      <w:marBottom w:val="0"/>
      <w:divBdr>
        <w:top w:val="none" w:sz="0" w:space="0" w:color="auto"/>
        <w:left w:val="none" w:sz="0" w:space="0" w:color="auto"/>
        <w:bottom w:val="none" w:sz="0" w:space="0" w:color="auto"/>
        <w:right w:val="none" w:sz="0" w:space="0" w:color="auto"/>
      </w:divBdr>
    </w:div>
    <w:div w:id="1024137258">
      <w:bodyDiv w:val="1"/>
      <w:marLeft w:val="0"/>
      <w:marRight w:val="0"/>
      <w:marTop w:val="0"/>
      <w:marBottom w:val="0"/>
      <w:divBdr>
        <w:top w:val="none" w:sz="0" w:space="0" w:color="auto"/>
        <w:left w:val="none" w:sz="0" w:space="0" w:color="auto"/>
        <w:bottom w:val="none" w:sz="0" w:space="0" w:color="auto"/>
        <w:right w:val="none" w:sz="0" w:space="0" w:color="auto"/>
      </w:divBdr>
    </w:div>
    <w:div w:id="1060979636">
      <w:bodyDiv w:val="1"/>
      <w:marLeft w:val="0"/>
      <w:marRight w:val="0"/>
      <w:marTop w:val="0"/>
      <w:marBottom w:val="0"/>
      <w:divBdr>
        <w:top w:val="none" w:sz="0" w:space="0" w:color="auto"/>
        <w:left w:val="none" w:sz="0" w:space="0" w:color="auto"/>
        <w:bottom w:val="none" w:sz="0" w:space="0" w:color="auto"/>
        <w:right w:val="none" w:sz="0" w:space="0" w:color="auto"/>
      </w:divBdr>
    </w:div>
    <w:div w:id="1078480959">
      <w:bodyDiv w:val="1"/>
      <w:marLeft w:val="0"/>
      <w:marRight w:val="0"/>
      <w:marTop w:val="0"/>
      <w:marBottom w:val="0"/>
      <w:divBdr>
        <w:top w:val="none" w:sz="0" w:space="0" w:color="auto"/>
        <w:left w:val="none" w:sz="0" w:space="0" w:color="auto"/>
        <w:bottom w:val="none" w:sz="0" w:space="0" w:color="auto"/>
        <w:right w:val="none" w:sz="0" w:space="0" w:color="auto"/>
      </w:divBdr>
    </w:div>
    <w:div w:id="1083993617">
      <w:bodyDiv w:val="1"/>
      <w:marLeft w:val="0"/>
      <w:marRight w:val="0"/>
      <w:marTop w:val="0"/>
      <w:marBottom w:val="0"/>
      <w:divBdr>
        <w:top w:val="none" w:sz="0" w:space="0" w:color="auto"/>
        <w:left w:val="none" w:sz="0" w:space="0" w:color="auto"/>
        <w:bottom w:val="none" w:sz="0" w:space="0" w:color="auto"/>
        <w:right w:val="none" w:sz="0" w:space="0" w:color="auto"/>
      </w:divBdr>
    </w:div>
    <w:div w:id="1151827453">
      <w:bodyDiv w:val="1"/>
      <w:marLeft w:val="0"/>
      <w:marRight w:val="0"/>
      <w:marTop w:val="0"/>
      <w:marBottom w:val="0"/>
      <w:divBdr>
        <w:top w:val="none" w:sz="0" w:space="0" w:color="auto"/>
        <w:left w:val="none" w:sz="0" w:space="0" w:color="auto"/>
        <w:bottom w:val="none" w:sz="0" w:space="0" w:color="auto"/>
        <w:right w:val="none" w:sz="0" w:space="0" w:color="auto"/>
      </w:divBdr>
    </w:div>
    <w:div w:id="1162701737">
      <w:bodyDiv w:val="1"/>
      <w:marLeft w:val="0"/>
      <w:marRight w:val="0"/>
      <w:marTop w:val="0"/>
      <w:marBottom w:val="0"/>
      <w:divBdr>
        <w:top w:val="none" w:sz="0" w:space="0" w:color="auto"/>
        <w:left w:val="none" w:sz="0" w:space="0" w:color="auto"/>
        <w:bottom w:val="none" w:sz="0" w:space="0" w:color="auto"/>
        <w:right w:val="none" w:sz="0" w:space="0" w:color="auto"/>
      </w:divBdr>
    </w:div>
    <w:div w:id="1171794971">
      <w:bodyDiv w:val="1"/>
      <w:marLeft w:val="0"/>
      <w:marRight w:val="0"/>
      <w:marTop w:val="0"/>
      <w:marBottom w:val="0"/>
      <w:divBdr>
        <w:top w:val="none" w:sz="0" w:space="0" w:color="auto"/>
        <w:left w:val="none" w:sz="0" w:space="0" w:color="auto"/>
        <w:bottom w:val="none" w:sz="0" w:space="0" w:color="auto"/>
        <w:right w:val="none" w:sz="0" w:space="0" w:color="auto"/>
      </w:divBdr>
    </w:div>
    <w:div w:id="1195076917">
      <w:bodyDiv w:val="1"/>
      <w:marLeft w:val="0"/>
      <w:marRight w:val="0"/>
      <w:marTop w:val="0"/>
      <w:marBottom w:val="0"/>
      <w:divBdr>
        <w:top w:val="none" w:sz="0" w:space="0" w:color="auto"/>
        <w:left w:val="none" w:sz="0" w:space="0" w:color="auto"/>
        <w:bottom w:val="none" w:sz="0" w:space="0" w:color="auto"/>
        <w:right w:val="none" w:sz="0" w:space="0" w:color="auto"/>
      </w:divBdr>
    </w:div>
    <w:div w:id="1229683312">
      <w:bodyDiv w:val="1"/>
      <w:marLeft w:val="0"/>
      <w:marRight w:val="0"/>
      <w:marTop w:val="0"/>
      <w:marBottom w:val="0"/>
      <w:divBdr>
        <w:top w:val="none" w:sz="0" w:space="0" w:color="auto"/>
        <w:left w:val="none" w:sz="0" w:space="0" w:color="auto"/>
        <w:bottom w:val="none" w:sz="0" w:space="0" w:color="auto"/>
        <w:right w:val="none" w:sz="0" w:space="0" w:color="auto"/>
      </w:divBdr>
    </w:div>
    <w:div w:id="1358432479">
      <w:bodyDiv w:val="1"/>
      <w:marLeft w:val="0"/>
      <w:marRight w:val="0"/>
      <w:marTop w:val="0"/>
      <w:marBottom w:val="0"/>
      <w:divBdr>
        <w:top w:val="none" w:sz="0" w:space="0" w:color="auto"/>
        <w:left w:val="none" w:sz="0" w:space="0" w:color="auto"/>
        <w:bottom w:val="none" w:sz="0" w:space="0" w:color="auto"/>
        <w:right w:val="none" w:sz="0" w:space="0" w:color="auto"/>
      </w:divBdr>
    </w:div>
    <w:div w:id="1364405826">
      <w:bodyDiv w:val="1"/>
      <w:marLeft w:val="0"/>
      <w:marRight w:val="0"/>
      <w:marTop w:val="0"/>
      <w:marBottom w:val="0"/>
      <w:divBdr>
        <w:top w:val="none" w:sz="0" w:space="0" w:color="auto"/>
        <w:left w:val="none" w:sz="0" w:space="0" w:color="auto"/>
        <w:bottom w:val="none" w:sz="0" w:space="0" w:color="auto"/>
        <w:right w:val="none" w:sz="0" w:space="0" w:color="auto"/>
      </w:divBdr>
    </w:div>
    <w:div w:id="1403747598">
      <w:bodyDiv w:val="1"/>
      <w:marLeft w:val="0"/>
      <w:marRight w:val="0"/>
      <w:marTop w:val="0"/>
      <w:marBottom w:val="0"/>
      <w:divBdr>
        <w:top w:val="none" w:sz="0" w:space="0" w:color="auto"/>
        <w:left w:val="none" w:sz="0" w:space="0" w:color="auto"/>
        <w:bottom w:val="none" w:sz="0" w:space="0" w:color="auto"/>
        <w:right w:val="none" w:sz="0" w:space="0" w:color="auto"/>
      </w:divBdr>
    </w:div>
    <w:div w:id="1450200687">
      <w:bodyDiv w:val="1"/>
      <w:marLeft w:val="0"/>
      <w:marRight w:val="0"/>
      <w:marTop w:val="0"/>
      <w:marBottom w:val="0"/>
      <w:divBdr>
        <w:top w:val="none" w:sz="0" w:space="0" w:color="auto"/>
        <w:left w:val="none" w:sz="0" w:space="0" w:color="auto"/>
        <w:bottom w:val="none" w:sz="0" w:space="0" w:color="auto"/>
        <w:right w:val="none" w:sz="0" w:space="0" w:color="auto"/>
      </w:divBdr>
    </w:div>
    <w:div w:id="1486821157">
      <w:bodyDiv w:val="1"/>
      <w:marLeft w:val="0"/>
      <w:marRight w:val="0"/>
      <w:marTop w:val="0"/>
      <w:marBottom w:val="0"/>
      <w:divBdr>
        <w:top w:val="none" w:sz="0" w:space="0" w:color="auto"/>
        <w:left w:val="none" w:sz="0" w:space="0" w:color="auto"/>
        <w:bottom w:val="none" w:sz="0" w:space="0" w:color="auto"/>
        <w:right w:val="none" w:sz="0" w:space="0" w:color="auto"/>
      </w:divBdr>
    </w:div>
    <w:div w:id="1607813759">
      <w:bodyDiv w:val="1"/>
      <w:marLeft w:val="0"/>
      <w:marRight w:val="0"/>
      <w:marTop w:val="0"/>
      <w:marBottom w:val="0"/>
      <w:divBdr>
        <w:top w:val="none" w:sz="0" w:space="0" w:color="auto"/>
        <w:left w:val="none" w:sz="0" w:space="0" w:color="auto"/>
        <w:bottom w:val="none" w:sz="0" w:space="0" w:color="auto"/>
        <w:right w:val="none" w:sz="0" w:space="0" w:color="auto"/>
      </w:divBdr>
    </w:div>
    <w:div w:id="1631014296">
      <w:bodyDiv w:val="1"/>
      <w:marLeft w:val="0"/>
      <w:marRight w:val="0"/>
      <w:marTop w:val="0"/>
      <w:marBottom w:val="0"/>
      <w:divBdr>
        <w:top w:val="none" w:sz="0" w:space="0" w:color="auto"/>
        <w:left w:val="none" w:sz="0" w:space="0" w:color="auto"/>
        <w:bottom w:val="none" w:sz="0" w:space="0" w:color="auto"/>
        <w:right w:val="none" w:sz="0" w:space="0" w:color="auto"/>
      </w:divBdr>
    </w:div>
    <w:div w:id="1702054091">
      <w:bodyDiv w:val="1"/>
      <w:marLeft w:val="0"/>
      <w:marRight w:val="0"/>
      <w:marTop w:val="0"/>
      <w:marBottom w:val="0"/>
      <w:divBdr>
        <w:top w:val="none" w:sz="0" w:space="0" w:color="auto"/>
        <w:left w:val="none" w:sz="0" w:space="0" w:color="auto"/>
        <w:bottom w:val="none" w:sz="0" w:space="0" w:color="auto"/>
        <w:right w:val="none" w:sz="0" w:space="0" w:color="auto"/>
      </w:divBdr>
    </w:div>
    <w:div w:id="1724789691">
      <w:bodyDiv w:val="1"/>
      <w:marLeft w:val="0"/>
      <w:marRight w:val="0"/>
      <w:marTop w:val="0"/>
      <w:marBottom w:val="0"/>
      <w:divBdr>
        <w:top w:val="none" w:sz="0" w:space="0" w:color="auto"/>
        <w:left w:val="none" w:sz="0" w:space="0" w:color="auto"/>
        <w:bottom w:val="none" w:sz="0" w:space="0" w:color="auto"/>
        <w:right w:val="none" w:sz="0" w:space="0" w:color="auto"/>
      </w:divBdr>
    </w:div>
    <w:div w:id="1800417761">
      <w:bodyDiv w:val="1"/>
      <w:marLeft w:val="0"/>
      <w:marRight w:val="0"/>
      <w:marTop w:val="0"/>
      <w:marBottom w:val="0"/>
      <w:divBdr>
        <w:top w:val="none" w:sz="0" w:space="0" w:color="auto"/>
        <w:left w:val="none" w:sz="0" w:space="0" w:color="auto"/>
        <w:bottom w:val="none" w:sz="0" w:space="0" w:color="auto"/>
        <w:right w:val="none" w:sz="0" w:space="0" w:color="auto"/>
      </w:divBdr>
    </w:div>
    <w:div w:id="1816675079">
      <w:bodyDiv w:val="1"/>
      <w:marLeft w:val="0"/>
      <w:marRight w:val="0"/>
      <w:marTop w:val="0"/>
      <w:marBottom w:val="0"/>
      <w:divBdr>
        <w:top w:val="none" w:sz="0" w:space="0" w:color="auto"/>
        <w:left w:val="none" w:sz="0" w:space="0" w:color="auto"/>
        <w:bottom w:val="none" w:sz="0" w:space="0" w:color="auto"/>
        <w:right w:val="none" w:sz="0" w:space="0" w:color="auto"/>
      </w:divBdr>
    </w:div>
    <w:div w:id="1819691910">
      <w:bodyDiv w:val="1"/>
      <w:marLeft w:val="0"/>
      <w:marRight w:val="0"/>
      <w:marTop w:val="0"/>
      <w:marBottom w:val="0"/>
      <w:divBdr>
        <w:top w:val="none" w:sz="0" w:space="0" w:color="auto"/>
        <w:left w:val="none" w:sz="0" w:space="0" w:color="auto"/>
        <w:bottom w:val="none" w:sz="0" w:space="0" w:color="auto"/>
        <w:right w:val="none" w:sz="0" w:space="0" w:color="auto"/>
      </w:divBdr>
    </w:div>
    <w:div w:id="1925458443">
      <w:bodyDiv w:val="1"/>
      <w:marLeft w:val="0"/>
      <w:marRight w:val="0"/>
      <w:marTop w:val="0"/>
      <w:marBottom w:val="0"/>
      <w:divBdr>
        <w:top w:val="none" w:sz="0" w:space="0" w:color="auto"/>
        <w:left w:val="none" w:sz="0" w:space="0" w:color="auto"/>
        <w:bottom w:val="none" w:sz="0" w:space="0" w:color="auto"/>
        <w:right w:val="none" w:sz="0" w:space="0" w:color="auto"/>
      </w:divBdr>
    </w:div>
    <w:div w:id="1930649773">
      <w:bodyDiv w:val="1"/>
      <w:marLeft w:val="0"/>
      <w:marRight w:val="0"/>
      <w:marTop w:val="0"/>
      <w:marBottom w:val="0"/>
      <w:divBdr>
        <w:top w:val="none" w:sz="0" w:space="0" w:color="auto"/>
        <w:left w:val="none" w:sz="0" w:space="0" w:color="auto"/>
        <w:bottom w:val="none" w:sz="0" w:space="0" w:color="auto"/>
        <w:right w:val="none" w:sz="0" w:space="0" w:color="auto"/>
      </w:divBdr>
    </w:div>
    <w:div w:id="2027753801">
      <w:bodyDiv w:val="1"/>
      <w:marLeft w:val="0"/>
      <w:marRight w:val="0"/>
      <w:marTop w:val="0"/>
      <w:marBottom w:val="0"/>
      <w:divBdr>
        <w:top w:val="none" w:sz="0" w:space="0" w:color="auto"/>
        <w:left w:val="none" w:sz="0" w:space="0" w:color="auto"/>
        <w:bottom w:val="none" w:sz="0" w:space="0" w:color="auto"/>
        <w:right w:val="none" w:sz="0" w:space="0" w:color="auto"/>
      </w:divBdr>
    </w:div>
    <w:div w:id="2103258241">
      <w:bodyDiv w:val="1"/>
      <w:marLeft w:val="0"/>
      <w:marRight w:val="0"/>
      <w:marTop w:val="0"/>
      <w:marBottom w:val="0"/>
      <w:divBdr>
        <w:top w:val="none" w:sz="0" w:space="0" w:color="auto"/>
        <w:left w:val="none" w:sz="0" w:space="0" w:color="auto"/>
        <w:bottom w:val="none" w:sz="0" w:space="0" w:color="auto"/>
        <w:right w:val="none" w:sz="0" w:space="0" w:color="auto"/>
      </w:divBdr>
    </w:div>
    <w:div w:id="2136410263">
      <w:bodyDiv w:val="1"/>
      <w:marLeft w:val="0"/>
      <w:marRight w:val="0"/>
      <w:marTop w:val="0"/>
      <w:marBottom w:val="0"/>
      <w:divBdr>
        <w:top w:val="none" w:sz="0" w:space="0" w:color="auto"/>
        <w:left w:val="none" w:sz="0" w:space="0" w:color="auto"/>
        <w:bottom w:val="none" w:sz="0" w:space="0" w:color="auto"/>
        <w:right w:val="none" w:sz="0" w:space="0" w:color="auto"/>
      </w:divBdr>
    </w:div>
    <w:div w:id="21423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cader.org.ar/" TargetMode="Externa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www.bcr.com.ar/Publicacion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www.inta.gov.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strogonzalez2003@gmail.com" TargetMode="External"/><Relationship Id="rId24" Type="http://schemas.openxmlformats.org/officeDocument/2006/relationships/hyperlink" Target="https://aaep.org.ar/anales/works/works2018/asis.pdf" TargetMode="External"/><Relationship Id="rId32" Type="http://schemas.openxmlformats.org/officeDocument/2006/relationships/hyperlink" Target="http://www.agroindustria.gob.ar/"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3.emf"/><Relationship Id="rId28" Type="http://schemas.openxmlformats.org/officeDocument/2006/relationships/hyperlink" Target="http://www.fao.org/home/es/" TargetMode="External"/><Relationship Id="rId10" Type="http://schemas.openxmlformats.org/officeDocument/2006/relationships/hyperlink" Target="mailto:silsattler@gmail.com" TargetMode="External"/><Relationship Id="rId19" Type="http://schemas.openxmlformats.org/officeDocument/2006/relationships/chart" Target="charts/chart8.xml"/><Relationship Id="rId31" Type="http://schemas.openxmlformats.org/officeDocument/2006/relationships/hyperlink" Target="http://www.minagri.gob.ar/site/agricultura/informacion_agropecuaria/03=estimaciones%20agricolas/03-informe%20mensual/index.php" TargetMode="External"/><Relationship Id="rId4" Type="http://schemas.microsoft.com/office/2007/relationships/stylesWithEffects" Target="stylesWithEffects.xml"/><Relationship Id="rId9" Type="http://schemas.openxmlformats.org/officeDocument/2006/relationships/hyperlink" Target="mailto:iasisfa@hotmail.com" TargetMode="External"/><Relationship Id="rId14" Type="http://schemas.openxmlformats.org/officeDocument/2006/relationships/chart" Target="charts/chart3.xml"/><Relationship Id="rId22" Type="http://schemas.openxmlformats.org/officeDocument/2006/relationships/image" Target="media/image2.emf"/><Relationship Id="rId27" Type="http://schemas.openxmlformats.org/officeDocument/2006/relationships/hyperlink" Target="http://www.carbio.com.ar/es/" TargetMode="External"/><Relationship Id="rId30" Type="http://schemas.openxmlformats.org/officeDocument/2006/relationships/hyperlink" Target="http://www.infoleg.gov.a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aep.org.ar/anales/works/works2018/asi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r\Desktop\AAEP%202018%20Trabaj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l_s\Dropbox\E-S%20compartir\02%20-%20Base%20de%20Datos\0%20EXCELS\Modelo%204%20cuadran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l_s\Dropbox\E-S%20compartir\02%20-%20Base%20de%20Datos\0%20EXCELS\Modelo%204%20cuadran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il_s\Dropbox\E-S%20compartir\02%20-%20Base%20de%20Datos\0%20EXCELS\Modelo%204%20cuadrant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l_s\Dropbox\E-S%20compartir\02%20-%20Base%20de%20Datos\0%20EXCELS\Modelo%204%20cuadrant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Henry\Dropbox\Dropbox\E-S%20compartir\02%20-%20Base%20de%20Datos\0%20EXCELS\Indec%20con%20gr&#225;ficos%202019.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Henry\Dropbox\E-S%20compartir\09%20-%20Papers%20en%20desarrollo\2016\CONCENTRACI&#211;N%202016.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D:\Henry\Dropbox\Dropbox\E-S%20compartir\02%20-%20Base%20de%20Datos\0%20EXCELS\Indec%20con%20gr&#225;ficos%20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il_s\Dropbox\E-S%20compartir\02%20-%20Base%20de%20Datos\0%20EXCELS\Modelo%204%20cuadrant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Henry\Dropbox\Dropbox\E-S%20compartir\02%20-%20Base%20de%20Datos\0%20EXCELS\Indec%20y%20PRECIOS%20bio%20aceite%20con%20gr&#225;ficos%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'Modelo Esquematico con el 18%'!$D$7:$D$8</c:f>
              <c:strCache>
                <c:ptCount val="2"/>
                <c:pt idx="0">
                  <c:v>A.Sembrada Ha</c:v>
                </c:pt>
                <c:pt idx="1">
                  <c:v>(ha)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'Modelo Esquematico con el 18%'!$C$10:$C$21</c:f>
              <c:strCache>
                <c:ptCount val="12"/>
                <c:pt idx="0">
                  <c:v>2006/07 </c:v>
                </c:pt>
                <c:pt idx="1">
                  <c:v>2007/08 </c:v>
                </c:pt>
                <c:pt idx="2">
                  <c:v>2008/09</c:v>
                </c:pt>
                <c:pt idx="3">
                  <c:v>2009/10</c:v>
                </c:pt>
                <c:pt idx="4">
                  <c:v>2010/11</c:v>
                </c:pt>
                <c:pt idx="5">
                  <c:v>2011/12</c:v>
                </c:pt>
                <c:pt idx="6">
                  <c:v>2012/13</c:v>
                </c:pt>
                <c:pt idx="7">
                  <c:v>2013/14</c:v>
                </c:pt>
                <c:pt idx="8">
                  <c:v>2014/15</c:v>
                </c:pt>
                <c:pt idx="9">
                  <c:v>2015/16</c:v>
                </c:pt>
                <c:pt idx="10">
                  <c:v>2016/17</c:v>
                </c:pt>
                <c:pt idx="11">
                  <c:v>2017/18</c:v>
                </c:pt>
              </c:strCache>
            </c:strRef>
          </c:cat>
          <c:val>
            <c:numRef>
              <c:f>'Modelo Esquematico con el 18%'!$D$10:$D$21</c:f>
              <c:numCache>
                <c:formatCode>#,##0</c:formatCode>
                <c:ptCount val="12"/>
                <c:pt idx="0">
                  <c:v>16141338</c:v>
                </c:pt>
                <c:pt idx="1">
                  <c:v>16608935</c:v>
                </c:pt>
                <c:pt idx="2">
                  <c:v>18042895</c:v>
                </c:pt>
                <c:pt idx="3">
                  <c:v>18860732</c:v>
                </c:pt>
                <c:pt idx="4">
                  <c:v>18884309</c:v>
                </c:pt>
                <c:pt idx="5">
                  <c:v>18670937</c:v>
                </c:pt>
                <c:pt idx="6">
                  <c:v>20035572</c:v>
                </c:pt>
                <c:pt idx="7">
                  <c:v>19704942</c:v>
                </c:pt>
                <c:pt idx="8">
                  <c:v>19792100</c:v>
                </c:pt>
                <c:pt idx="9">
                  <c:v>20479090</c:v>
                </c:pt>
                <c:pt idx="10">
                  <c:v>18057162</c:v>
                </c:pt>
                <c:pt idx="11">
                  <c:v>17259260</c:v>
                </c:pt>
              </c:numCache>
            </c:numRef>
          </c:val>
          <c:smooth val="0"/>
          <c:extLst xmlns:c16r2="http://schemas.microsoft.com/office/drawing/2015/06/chart">
            <c:ext xmlns:c16="http://schemas.microsoft.com/office/drawing/2014/chart" uri="{C3380CC4-5D6E-409C-BE32-E72D297353CC}">
              <c16:uniqueId val="{00000000-406F-4D5C-8694-F199699F0687}"/>
            </c:ext>
          </c:extLst>
        </c:ser>
        <c:ser>
          <c:idx val="1"/>
          <c:order val="1"/>
          <c:tx>
            <c:strRef>
              <c:f>'Modelo Esquematico con el 18%'!$F$7:$F$8</c:f>
              <c:strCache>
                <c:ptCount val="2"/>
                <c:pt idx="0">
                  <c:v>Producción de soja en TN</c:v>
                </c:pt>
                <c:pt idx="1">
                  <c:v>(tn)</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strRef>
              <c:f>'Modelo Esquematico con el 18%'!$C$10:$C$21</c:f>
              <c:strCache>
                <c:ptCount val="12"/>
                <c:pt idx="0">
                  <c:v>2006/07 </c:v>
                </c:pt>
                <c:pt idx="1">
                  <c:v>2007/08 </c:v>
                </c:pt>
                <c:pt idx="2">
                  <c:v>2008/09</c:v>
                </c:pt>
                <c:pt idx="3">
                  <c:v>2009/10</c:v>
                </c:pt>
                <c:pt idx="4">
                  <c:v>2010/11</c:v>
                </c:pt>
                <c:pt idx="5">
                  <c:v>2011/12</c:v>
                </c:pt>
                <c:pt idx="6">
                  <c:v>2012/13</c:v>
                </c:pt>
                <c:pt idx="7">
                  <c:v>2013/14</c:v>
                </c:pt>
                <c:pt idx="8">
                  <c:v>2014/15</c:v>
                </c:pt>
                <c:pt idx="9">
                  <c:v>2015/16</c:v>
                </c:pt>
                <c:pt idx="10">
                  <c:v>2016/17</c:v>
                </c:pt>
                <c:pt idx="11">
                  <c:v>2017/18</c:v>
                </c:pt>
              </c:strCache>
            </c:strRef>
          </c:cat>
          <c:val>
            <c:numRef>
              <c:f>'Modelo Esquematico con el 18%'!$F$10:$F$21</c:f>
              <c:numCache>
                <c:formatCode>#,##0</c:formatCode>
                <c:ptCount val="12"/>
                <c:pt idx="0">
                  <c:v>47482787</c:v>
                </c:pt>
                <c:pt idx="1">
                  <c:v>46238890</c:v>
                </c:pt>
                <c:pt idx="2">
                  <c:v>30989474</c:v>
                </c:pt>
                <c:pt idx="3">
                  <c:v>54247538</c:v>
                </c:pt>
                <c:pt idx="4">
                  <c:v>48880986</c:v>
                </c:pt>
                <c:pt idx="5">
                  <c:v>40100197</c:v>
                </c:pt>
                <c:pt idx="6">
                  <c:v>49353642</c:v>
                </c:pt>
                <c:pt idx="7">
                  <c:v>53397720</c:v>
                </c:pt>
                <c:pt idx="8">
                  <c:v>61398276</c:v>
                </c:pt>
                <c:pt idx="9">
                  <c:v>58799258</c:v>
                </c:pt>
                <c:pt idx="10">
                  <c:v>54972546</c:v>
                </c:pt>
                <c:pt idx="11">
                  <c:v>37787927</c:v>
                </c:pt>
              </c:numCache>
            </c:numRef>
          </c:val>
          <c:smooth val="0"/>
          <c:extLst xmlns:c16r2="http://schemas.microsoft.com/office/drawing/2015/06/chart">
            <c:ext xmlns:c16="http://schemas.microsoft.com/office/drawing/2014/chart" uri="{C3380CC4-5D6E-409C-BE32-E72D297353CC}">
              <c16:uniqueId val="{00000001-406F-4D5C-8694-F199699F0687}"/>
            </c:ext>
          </c:extLst>
        </c:ser>
        <c:ser>
          <c:idx val="3"/>
          <c:order val="2"/>
          <c:tx>
            <c:strRef>
              <c:f>'Modelo Esquematico con el 18%'!$AE$7:$AE$8</c:f>
              <c:strCache>
                <c:ptCount val="2"/>
                <c:pt idx="0">
                  <c:v>Eportaciones de Granos de Soja TN</c:v>
                </c:pt>
              </c:strCache>
            </c:strRef>
          </c:tx>
          <c:spPr>
            <a:ln w="22225" cap="rnd">
              <a:solidFill>
                <a:schemeClr val="accent1">
                  <a:lumMod val="60000"/>
                </a:schemeClr>
              </a:solidFill>
              <a:round/>
            </a:ln>
            <a:effectLst/>
          </c:spPr>
          <c:marker>
            <c:symbol val="x"/>
            <c:size val="6"/>
            <c:spPr>
              <a:noFill/>
              <a:ln w="9525">
                <a:solidFill>
                  <a:schemeClr val="accent1">
                    <a:lumMod val="60000"/>
                  </a:schemeClr>
                </a:solidFill>
                <a:round/>
              </a:ln>
              <a:effectLst/>
            </c:spPr>
          </c:marker>
          <c:cat>
            <c:strRef>
              <c:f>'Modelo Esquematico con el 18%'!$C$10:$C$21</c:f>
              <c:strCache>
                <c:ptCount val="12"/>
                <c:pt idx="0">
                  <c:v>2006/07 </c:v>
                </c:pt>
                <c:pt idx="1">
                  <c:v>2007/08 </c:v>
                </c:pt>
                <c:pt idx="2">
                  <c:v>2008/09</c:v>
                </c:pt>
                <c:pt idx="3">
                  <c:v>2009/10</c:v>
                </c:pt>
                <c:pt idx="4">
                  <c:v>2010/11</c:v>
                </c:pt>
                <c:pt idx="5">
                  <c:v>2011/12</c:v>
                </c:pt>
                <c:pt idx="6">
                  <c:v>2012/13</c:v>
                </c:pt>
                <c:pt idx="7">
                  <c:v>2013/14</c:v>
                </c:pt>
                <c:pt idx="8">
                  <c:v>2014/15</c:v>
                </c:pt>
                <c:pt idx="9">
                  <c:v>2015/16</c:v>
                </c:pt>
                <c:pt idx="10">
                  <c:v>2016/17</c:v>
                </c:pt>
                <c:pt idx="11">
                  <c:v>2017/18</c:v>
                </c:pt>
              </c:strCache>
            </c:strRef>
          </c:cat>
          <c:val>
            <c:numRef>
              <c:f>'Modelo Esquematico con el 18%'!$AE$10:$AE$21</c:f>
              <c:numCache>
                <c:formatCode>General</c:formatCode>
                <c:ptCount val="12"/>
                <c:pt idx="5" formatCode="#,##0">
                  <c:v>8961033</c:v>
                </c:pt>
                <c:pt idx="6" formatCode="#,##0">
                  <c:v>4909179</c:v>
                </c:pt>
                <c:pt idx="7" formatCode="#,##0">
                  <c:v>7751003</c:v>
                </c:pt>
                <c:pt idx="8" formatCode="#,##0">
                  <c:v>7409756</c:v>
                </c:pt>
                <c:pt idx="9" formatCode="#,##0">
                  <c:v>11623224</c:v>
                </c:pt>
                <c:pt idx="10" formatCode="#,##0">
                  <c:v>8918312</c:v>
                </c:pt>
                <c:pt idx="11" formatCode="#,##0">
                  <c:v>7379973</c:v>
                </c:pt>
              </c:numCache>
            </c:numRef>
          </c:val>
          <c:smooth val="0"/>
          <c:extLst xmlns:c16r2="http://schemas.microsoft.com/office/drawing/2015/06/chart">
            <c:ext xmlns:c16="http://schemas.microsoft.com/office/drawing/2014/chart" uri="{C3380CC4-5D6E-409C-BE32-E72D297353CC}">
              <c16:uniqueId val="{00000002-406F-4D5C-8694-F199699F0687}"/>
            </c:ext>
          </c:extLst>
        </c:ser>
        <c:dLbls>
          <c:showLegendKey val="0"/>
          <c:showVal val="0"/>
          <c:showCatName val="0"/>
          <c:showSerName val="0"/>
          <c:showPercent val="0"/>
          <c:showBubbleSize val="0"/>
        </c:dLbls>
        <c:marker val="1"/>
        <c:smooth val="0"/>
        <c:axId val="26690688"/>
        <c:axId val="26692608"/>
      </c:lineChart>
      <c:catAx>
        <c:axId val="26690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crossAx val="26692608"/>
        <c:crosses val="autoZero"/>
        <c:auto val="1"/>
        <c:lblAlgn val="ctr"/>
        <c:lblOffset val="100"/>
        <c:noMultiLvlLbl val="0"/>
      </c:catAx>
      <c:valAx>
        <c:axId val="26692608"/>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crossAx val="26690688"/>
        <c:crosses val="autoZero"/>
        <c:crossBetween val="between"/>
      </c:valAx>
      <c:spPr>
        <a:noFill/>
        <a:ln>
          <a:noFill/>
        </a:ln>
        <a:effectLst/>
      </c:spPr>
    </c:plotArea>
    <c:legend>
      <c:legendPos val="t"/>
      <c:layout>
        <c:manualLayout>
          <c:xMode val="edge"/>
          <c:yMode val="edge"/>
          <c:x val="4.5635420729713445E-2"/>
          <c:y val="2.6229508196721311E-2"/>
          <c:w val="0.83779887884681381"/>
          <c:h val="0.1417632631986575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'Modelo Esquematico con el 18%'!$AF$7:$AF$8</c:f>
              <c:strCache>
                <c:ptCount val="2"/>
                <c:pt idx="0">
                  <c:v>Producción de Aceite TN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'Modelo Esquematico con el 18%'!$B$9:$B$22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'Modelo Esquematico con el 18%'!$AF$9:$AF$22</c:f>
              <c:numCache>
                <c:formatCode>#,##0</c:formatCode>
                <c:ptCount val="14"/>
                <c:pt idx="0">
                  <c:v>5395517</c:v>
                </c:pt>
                <c:pt idx="1">
                  <c:v>6161281</c:v>
                </c:pt>
                <c:pt idx="2">
                  <c:v>6962207</c:v>
                </c:pt>
                <c:pt idx="3">
                  <c:v>6024086</c:v>
                </c:pt>
                <c:pt idx="4">
                  <c:v>5773230</c:v>
                </c:pt>
                <c:pt idx="5">
                  <c:v>7000043</c:v>
                </c:pt>
                <c:pt idx="6">
                  <c:v>7113360</c:v>
                </c:pt>
                <c:pt idx="7">
                  <c:v>6353360</c:v>
                </c:pt>
                <c:pt idx="8">
                  <c:v>6432941</c:v>
                </c:pt>
                <c:pt idx="9">
                  <c:v>7097399</c:v>
                </c:pt>
                <c:pt idx="10">
                  <c:v>7896954</c:v>
                </c:pt>
                <c:pt idx="11">
                  <c:v>8671023</c:v>
                </c:pt>
                <c:pt idx="12">
                  <c:v>8065601</c:v>
                </c:pt>
                <c:pt idx="13">
                  <c:v>7213371</c:v>
                </c:pt>
              </c:numCache>
            </c:numRef>
          </c:val>
          <c:smooth val="0"/>
          <c:extLst xmlns:c16r2="http://schemas.microsoft.com/office/drawing/2015/06/chart">
            <c:ext xmlns:c16="http://schemas.microsoft.com/office/drawing/2014/chart" uri="{C3380CC4-5D6E-409C-BE32-E72D297353CC}">
              <c16:uniqueId val="{00000000-5B18-4748-B802-C967BC69B7D3}"/>
            </c:ext>
          </c:extLst>
        </c:ser>
        <c:ser>
          <c:idx val="1"/>
          <c:order val="1"/>
          <c:tx>
            <c:strRef>
              <c:f>'Modelo Esquematico con el 18%'!$AG$7:$AG$8</c:f>
              <c:strCache>
                <c:ptCount val="2"/>
                <c:pt idx="0">
                  <c:v>Exportación de Aceite TN</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numRef>
              <c:f>'Modelo Esquematico con el 18%'!$B$9:$B$22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'Modelo Esquematico con el 18%'!$AG$9:$AG$22</c:f>
              <c:numCache>
                <c:formatCode>General</c:formatCode>
                <c:ptCount val="14"/>
                <c:pt idx="5" formatCode="#,##0">
                  <c:v>4889482</c:v>
                </c:pt>
                <c:pt idx="6" formatCode="#,##0">
                  <c:v>3955979</c:v>
                </c:pt>
                <c:pt idx="7" formatCode="#,##0">
                  <c:v>3742658</c:v>
                </c:pt>
                <c:pt idx="8" formatCode="#,##0">
                  <c:v>4148523.9819999998</c:v>
                </c:pt>
                <c:pt idx="9" formatCode="#,##0">
                  <c:v>3907927.95</c:v>
                </c:pt>
                <c:pt idx="10" formatCode="#,##0">
                  <c:v>5475068.1979999999</c:v>
                </c:pt>
                <c:pt idx="11" formatCode="#,##0">
                  <c:v>5624030.3229999999</c:v>
                </c:pt>
                <c:pt idx="12" formatCode="#,##0">
                  <c:v>7379973.7230000002</c:v>
                </c:pt>
                <c:pt idx="13" formatCode="#,##0">
                  <c:v>4161663.0550000002</c:v>
                </c:pt>
              </c:numCache>
            </c:numRef>
          </c:val>
          <c:smooth val="0"/>
          <c:extLst xmlns:c16r2="http://schemas.microsoft.com/office/drawing/2015/06/chart">
            <c:ext xmlns:c16="http://schemas.microsoft.com/office/drawing/2014/chart" uri="{C3380CC4-5D6E-409C-BE32-E72D297353CC}">
              <c16:uniqueId val="{00000001-5B18-4748-B802-C967BC69B7D3}"/>
            </c:ext>
          </c:extLst>
        </c:ser>
        <c:dLbls>
          <c:showLegendKey val="0"/>
          <c:showVal val="0"/>
          <c:showCatName val="0"/>
          <c:showSerName val="0"/>
          <c:showPercent val="0"/>
          <c:showBubbleSize val="0"/>
        </c:dLbls>
        <c:marker val="1"/>
        <c:smooth val="0"/>
        <c:axId val="26709376"/>
        <c:axId val="26715648"/>
      </c:lineChart>
      <c:catAx>
        <c:axId val="26709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26715648"/>
        <c:crosses val="autoZero"/>
        <c:auto val="1"/>
        <c:lblAlgn val="ctr"/>
        <c:lblOffset val="100"/>
        <c:noMultiLvlLbl val="0"/>
      </c:catAx>
      <c:valAx>
        <c:axId val="26715648"/>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6709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'Modelo Esquematico con el 18%'!$AH$7:$AH$8</c:f>
              <c:strCache>
                <c:ptCount val="2"/>
                <c:pt idx="0">
                  <c:v>Producción de Expeller TN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'Modelo Esquematico con el 18%'!$B$9:$B$22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'Modelo Esquematico con el 18%'!$AH$9:$AH$22</c:f>
              <c:numCache>
                <c:formatCode>General</c:formatCode>
                <c:ptCount val="14"/>
                <c:pt idx="0">
                  <c:v>115167</c:v>
                </c:pt>
                <c:pt idx="1">
                  <c:v>135473</c:v>
                </c:pt>
                <c:pt idx="2">
                  <c:v>159557</c:v>
                </c:pt>
                <c:pt idx="3">
                  <c:v>183512</c:v>
                </c:pt>
                <c:pt idx="4">
                  <c:v>223192</c:v>
                </c:pt>
                <c:pt idx="5">
                  <c:v>357161</c:v>
                </c:pt>
                <c:pt idx="6">
                  <c:v>397386</c:v>
                </c:pt>
                <c:pt idx="7">
                  <c:v>420344</c:v>
                </c:pt>
                <c:pt idx="8">
                  <c:v>422831</c:v>
                </c:pt>
                <c:pt idx="9">
                  <c:v>545044</c:v>
                </c:pt>
                <c:pt idx="10">
                  <c:v>705424</c:v>
                </c:pt>
                <c:pt idx="11">
                  <c:v>656244</c:v>
                </c:pt>
                <c:pt idx="12">
                  <c:v>720290</c:v>
                </c:pt>
                <c:pt idx="13">
                  <c:v>709642</c:v>
                </c:pt>
              </c:numCache>
            </c:numRef>
          </c:val>
          <c:smooth val="0"/>
          <c:extLst xmlns:c16r2="http://schemas.microsoft.com/office/drawing/2015/06/chart">
            <c:ext xmlns:c16="http://schemas.microsoft.com/office/drawing/2014/chart" uri="{C3380CC4-5D6E-409C-BE32-E72D297353CC}">
              <c16:uniqueId val="{00000000-966B-4ED6-8E80-76AB2E74A735}"/>
            </c:ext>
          </c:extLst>
        </c:ser>
        <c:dLbls>
          <c:showLegendKey val="0"/>
          <c:showVal val="0"/>
          <c:showCatName val="0"/>
          <c:showSerName val="0"/>
          <c:showPercent val="0"/>
          <c:showBubbleSize val="0"/>
        </c:dLbls>
        <c:marker val="1"/>
        <c:smooth val="0"/>
        <c:axId val="26727552"/>
        <c:axId val="26729472"/>
      </c:lineChart>
      <c:catAx>
        <c:axId val="26727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26729472"/>
        <c:crosses val="autoZero"/>
        <c:auto val="1"/>
        <c:lblAlgn val="ctr"/>
        <c:lblOffset val="100"/>
        <c:noMultiLvlLbl val="0"/>
      </c:catAx>
      <c:valAx>
        <c:axId val="2672947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6727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'Modelo Esquematico con el 18%'!$AI$7:$AI$8</c:f>
              <c:strCache>
                <c:ptCount val="2"/>
                <c:pt idx="0">
                  <c:v>Producción de Harina TN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'Modelo Esquematico con el 18%'!$B$9:$B$22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'Modelo Esquematico con el 18%'!$AI$9:$AI$22</c:f>
              <c:numCache>
                <c:formatCode>#,##0</c:formatCode>
                <c:ptCount val="14"/>
                <c:pt idx="0">
                  <c:v>22543590</c:v>
                </c:pt>
                <c:pt idx="1">
                  <c:v>25517833</c:v>
                </c:pt>
                <c:pt idx="2">
                  <c:v>27924429</c:v>
                </c:pt>
                <c:pt idx="3">
                  <c:v>24524309</c:v>
                </c:pt>
                <c:pt idx="4">
                  <c:v>23642621</c:v>
                </c:pt>
                <c:pt idx="5">
                  <c:v>28299923</c:v>
                </c:pt>
                <c:pt idx="6">
                  <c:v>28664269</c:v>
                </c:pt>
                <c:pt idx="7">
                  <c:v>25590641</c:v>
                </c:pt>
                <c:pt idx="8">
                  <c:v>26033465</c:v>
                </c:pt>
                <c:pt idx="9">
                  <c:v>28596280</c:v>
                </c:pt>
                <c:pt idx="10">
                  <c:v>30775647</c:v>
                </c:pt>
                <c:pt idx="11">
                  <c:v>33484221</c:v>
                </c:pt>
                <c:pt idx="12">
                  <c:v>31243034</c:v>
                </c:pt>
                <c:pt idx="13">
                  <c:v>27011663</c:v>
                </c:pt>
              </c:numCache>
            </c:numRef>
          </c:val>
          <c:smooth val="0"/>
          <c:extLst xmlns:c16r2="http://schemas.microsoft.com/office/drawing/2015/06/chart">
            <c:ext xmlns:c16="http://schemas.microsoft.com/office/drawing/2014/chart" uri="{C3380CC4-5D6E-409C-BE32-E72D297353CC}">
              <c16:uniqueId val="{00000000-1BFF-400D-8C31-F6862F24807B}"/>
            </c:ext>
          </c:extLst>
        </c:ser>
        <c:ser>
          <c:idx val="1"/>
          <c:order val="1"/>
          <c:tx>
            <c:strRef>
              <c:f>'Modelo Esquematico con el 18%'!$AJ$7:$AJ$8</c:f>
              <c:strCache>
                <c:ptCount val="2"/>
                <c:pt idx="0">
                  <c:v>Exportación de Harina TN</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numRef>
              <c:f>'Modelo Esquematico con el 18%'!$B$9:$B$22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'Modelo Esquematico con el 18%'!$AJ$9:$AJ$22</c:f>
              <c:numCache>
                <c:formatCode>General</c:formatCode>
                <c:ptCount val="14"/>
                <c:pt idx="5" formatCode="#,##0">
                  <c:v>22018683</c:v>
                </c:pt>
                <c:pt idx="6" formatCode="#,##0">
                  <c:v>23588648</c:v>
                </c:pt>
                <c:pt idx="7" formatCode="#,##0">
                  <c:v>22060097</c:v>
                </c:pt>
                <c:pt idx="8" formatCode="#,##0">
                  <c:v>22065432</c:v>
                </c:pt>
                <c:pt idx="9" formatCode="#,##0">
                  <c:v>24676944</c:v>
                </c:pt>
                <c:pt idx="10" formatCode="#,##0">
                  <c:v>26624619</c:v>
                </c:pt>
                <c:pt idx="11" formatCode="#,##0">
                  <c:v>29074912</c:v>
                </c:pt>
                <c:pt idx="12" formatCode="#,##0">
                  <c:v>28253098</c:v>
                </c:pt>
                <c:pt idx="13" formatCode="#,##0">
                  <c:v>24213409</c:v>
                </c:pt>
              </c:numCache>
            </c:numRef>
          </c:val>
          <c:smooth val="0"/>
          <c:extLst xmlns:c16r2="http://schemas.microsoft.com/office/drawing/2015/06/chart">
            <c:ext xmlns:c16="http://schemas.microsoft.com/office/drawing/2014/chart" uri="{C3380CC4-5D6E-409C-BE32-E72D297353CC}">
              <c16:uniqueId val="{00000001-1BFF-400D-8C31-F6862F24807B}"/>
            </c:ext>
          </c:extLst>
        </c:ser>
        <c:dLbls>
          <c:showLegendKey val="0"/>
          <c:showVal val="0"/>
          <c:showCatName val="0"/>
          <c:showSerName val="0"/>
          <c:showPercent val="0"/>
          <c:showBubbleSize val="0"/>
        </c:dLbls>
        <c:marker val="1"/>
        <c:smooth val="0"/>
        <c:axId val="26878720"/>
        <c:axId val="26880256"/>
      </c:lineChart>
      <c:catAx>
        <c:axId val="26878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26880256"/>
        <c:crosses val="autoZero"/>
        <c:auto val="1"/>
        <c:lblAlgn val="ctr"/>
        <c:lblOffset val="100"/>
        <c:noMultiLvlLbl val="0"/>
      </c:catAx>
      <c:valAx>
        <c:axId val="26880256"/>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6878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BD!$B$1</c:f>
              <c:strCache>
                <c:ptCount val="1"/>
                <c:pt idx="0">
                  <c:v>Producción</c:v>
                </c:pt>
              </c:strCache>
            </c:strRef>
          </c:tx>
          <c:spPr>
            <a:ln w="19050" cap="rnd" cmpd="sng" algn="ctr">
              <a:solidFill>
                <a:schemeClr val="accent1"/>
              </a:solidFill>
              <a:prstDash val="solid"/>
              <a:round/>
            </a:ln>
            <a:effectLst/>
          </c:spPr>
          <c:marker>
            <c:symbol val="diamond"/>
            <c:size val="6"/>
            <c:spPr>
              <a:solidFill>
                <a:schemeClr val="accent1"/>
              </a:solidFill>
              <a:ln w="6350" cap="flat" cmpd="sng" algn="ctr">
                <a:solidFill>
                  <a:schemeClr val="accent1"/>
                </a:solidFill>
                <a:prstDash val="solid"/>
                <a:round/>
              </a:ln>
              <a:effectLst/>
            </c:spPr>
          </c:marker>
          <c:cat>
            <c:numRef>
              <c:f>BD!$A$3:$A$13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BD!$B$3:$B$13</c:f>
              <c:numCache>
                <c:formatCode>#,##0</c:formatCode>
                <c:ptCount val="11"/>
                <c:pt idx="0">
                  <c:v>711864</c:v>
                </c:pt>
                <c:pt idx="1">
                  <c:v>1179103</c:v>
                </c:pt>
                <c:pt idx="2">
                  <c:v>1820385</c:v>
                </c:pt>
                <c:pt idx="3">
                  <c:v>2429964</c:v>
                </c:pt>
                <c:pt idx="4">
                  <c:v>2456578</c:v>
                </c:pt>
                <c:pt idx="5">
                  <c:v>1997809</c:v>
                </c:pt>
                <c:pt idx="6">
                  <c:v>2584290</c:v>
                </c:pt>
                <c:pt idx="7">
                  <c:v>1810659</c:v>
                </c:pt>
                <c:pt idx="8">
                  <c:v>2659275</c:v>
                </c:pt>
                <c:pt idx="9">
                  <c:v>2871435</c:v>
                </c:pt>
                <c:pt idx="10">
                  <c:v>2428997</c:v>
                </c:pt>
              </c:numCache>
            </c:numRef>
          </c:val>
          <c:smooth val="0"/>
          <c:extLst xmlns:c16r2="http://schemas.microsoft.com/office/drawing/2015/06/chart">
            <c:ext xmlns:c16="http://schemas.microsoft.com/office/drawing/2014/chart" uri="{C3380CC4-5D6E-409C-BE32-E72D297353CC}">
              <c16:uniqueId val="{00000000-340F-441A-88E1-1D31E7B50331}"/>
            </c:ext>
          </c:extLst>
        </c:ser>
        <c:ser>
          <c:idx val="1"/>
          <c:order val="1"/>
          <c:tx>
            <c:strRef>
              <c:f>BD!$D$1</c:f>
              <c:strCache>
                <c:ptCount val="1"/>
                <c:pt idx="0">
                  <c:v>Ventas Internas</c:v>
                </c:pt>
              </c:strCache>
            </c:strRef>
          </c:tx>
          <c:spPr>
            <a:ln w="19050" cap="rnd" cmpd="sng" algn="ctr">
              <a:solidFill>
                <a:schemeClr val="accent3"/>
              </a:solidFill>
              <a:prstDash val="solid"/>
              <a:round/>
            </a:ln>
            <a:effectLst/>
          </c:spPr>
          <c:marker>
            <c:symbol val="square"/>
            <c:size val="6"/>
            <c:spPr>
              <a:solidFill>
                <a:schemeClr val="accent3"/>
              </a:solidFill>
              <a:ln w="6350" cap="flat" cmpd="sng" algn="ctr">
                <a:solidFill>
                  <a:schemeClr val="accent3"/>
                </a:solidFill>
                <a:prstDash val="solid"/>
                <a:round/>
              </a:ln>
              <a:effectLst/>
            </c:spPr>
          </c:marker>
          <c:cat>
            <c:numRef>
              <c:f>BD!$A$3:$A$13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BD!$D$3:$D$13</c:f>
              <c:numCache>
                <c:formatCode>General</c:formatCode>
                <c:ptCount val="11"/>
                <c:pt idx="0">
                  <c:v>0</c:v>
                </c:pt>
                <c:pt idx="1">
                  <c:v>426</c:v>
                </c:pt>
                <c:pt idx="2" formatCode="#,##0">
                  <c:v>508566</c:v>
                </c:pt>
                <c:pt idx="3" formatCode="#,##0">
                  <c:v>748742</c:v>
                </c:pt>
                <c:pt idx="4" formatCode="#,##0">
                  <c:v>874794</c:v>
                </c:pt>
                <c:pt idx="5" formatCode="#,##0">
                  <c:v>884976</c:v>
                </c:pt>
                <c:pt idx="6" formatCode="#,##0">
                  <c:v>970141</c:v>
                </c:pt>
                <c:pt idx="7" formatCode="#,##0">
                  <c:v>1014361</c:v>
                </c:pt>
                <c:pt idx="8" formatCode="#,##0">
                  <c:v>1036397</c:v>
                </c:pt>
                <c:pt idx="9" formatCode="#,##0">
                  <c:v>1173532</c:v>
                </c:pt>
                <c:pt idx="10" formatCode="#,##0">
                  <c:v>1099891</c:v>
                </c:pt>
              </c:numCache>
            </c:numRef>
          </c:val>
          <c:smooth val="0"/>
          <c:extLst xmlns:c16r2="http://schemas.microsoft.com/office/drawing/2015/06/chart">
            <c:ext xmlns:c16="http://schemas.microsoft.com/office/drawing/2014/chart" uri="{C3380CC4-5D6E-409C-BE32-E72D297353CC}">
              <c16:uniqueId val="{00000001-340F-441A-88E1-1D31E7B50331}"/>
            </c:ext>
          </c:extLst>
        </c:ser>
        <c:ser>
          <c:idx val="2"/>
          <c:order val="2"/>
          <c:tx>
            <c:strRef>
              <c:f>BD!$F$1</c:f>
              <c:strCache>
                <c:ptCount val="1"/>
                <c:pt idx="0">
                  <c:v>Exportaciones</c:v>
                </c:pt>
              </c:strCache>
            </c:strRef>
          </c:tx>
          <c:spPr>
            <a:ln w="19050" cap="rnd" cmpd="sng" algn="ctr">
              <a:solidFill>
                <a:schemeClr val="accent5"/>
              </a:solidFill>
              <a:prstDash val="solid"/>
              <a:round/>
            </a:ln>
            <a:effectLst/>
          </c:spPr>
          <c:marker>
            <c:symbol val="triangle"/>
            <c:size val="6"/>
            <c:spPr>
              <a:solidFill>
                <a:schemeClr val="accent5"/>
              </a:solidFill>
              <a:ln w="6350" cap="flat" cmpd="sng" algn="ctr">
                <a:solidFill>
                  <a:schemeClr val="accent5"/>
                </a:solidFill>
                <a:prstDash val="solid"/>
                <a:round/>
              </a:ln>
              <a:effectLst/>
            </c:spPr>
          </c:marker>
          <c:cat>
            <c:numRef>
              <c:f>BD!$A$3:$A$13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BD!$F$3:$F$13</c:f>
              <c:numCache>
                <c:formatCode>#,##0</c:formatCode>
                <c:ptCount val="11"/>
                <c:pt idx="0">
                  <c:v>680219</c:v>
                </c:pt>
                <c:pt idx="1">
                  <c:v>1142283</c:v>
                </c:pt>
                <c:pt idx="2">
                  <c:v>1342318</c:v>
                </c:pt>
                <c:pt idx="3">
                  <c:v>1649352</c:v>
                </c:pt>
                <c:pt idx="4">
                  <c:v>1543094</c:v>
                </c:pt>
                <c:pt idx="5">
                  <c:v>1149259</c:v>
                </c:pt>
                <c:pt idx="6">
                  <c:v>1602695</c:v>
                </c:pt>
                <c:pt idx="7">
                  <c:v>788226</c:v>
                </c:pt>
                <c:pt idx="8">
                  <c:v>1626264</c:v>
                </c:pt>
                <c:pt idx="9">
                  <c:v>1650119</c:v>
                </c:pt>
                <c:pt idx="10">
                  <c:v>1401317</c:v>
                </c:pt>
              </c:numCache>
            </c:numRef>
          </c:val>
          <c:smooth val="0"/>
          <c:extLst xmlns:c16r2="http://schemas.microsoft.com/office/drawing/2015/06/chart">
            <c:ext xmlns:c16="http://schemas.microsoft.com/office/drawing/2014/chart" uri="{C3380CC4-5D6E-409C-BE32-E72D297353CC}">
              <c16:uniqueId val="{00000002-340F-441A-88E1-1D31E7B50331}"/>
            </c:ext>
          </c:extLst>
        </c:ser>
        <c:dLbls>
          <c:showLegendKey val="0"/>
          <c:showVal val="0"/>
          <c:showCatName val="0"/>
          <c:showSerName val="0"/>
          <c:showPercent val="0"/>
          <c:showBubbleSize val="0"/>
        </c:dLbls>
        <c:marker val="1"/>
        <c:smooth val="0"/>
        <c:axId val="26902528"/>
        <c:axId val="26904448"/>
      </c:lineChart>
      <c:catAx>
        <c:axId val="269025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cap="all" spc="120" normalizeH="0" baseline="0">
                <a:solidFill>
                  <a:schemeClr val="tx1">
                    <a:lumMod val="65000"/>
                    <a:lumOff val="35000"/>
                  </a:schemeClr>
                </a:solidFill>
                <a:latin typeface="+mn-lt"/>
                <a:ea typeface="+mn-ea"/>
                <a:cs typeface="+mn-cs"/>
              </a:defRPr>
            </a:pPr>
            <a:endParaRPr lang="es-AR"/>
          </a:p>
        </c:txPr>
        <c:crossAx val="26904448"/>
        <c:crosses val="autoZero"/>
        <c:auto val="1"/>
        <c:lblAlgn val="ctr"/>
        <c:lblOffset val="100"/>
        <c:noMultiLvlLbl val="0"/>
      </c:catAx>
      <c:valAx>
        <c:axId val="26904448"/>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AR"/>
          </a:p>
        </c:txPr>
        <c:crossAx val="26902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sz="1050"/>
      </a:pPr>
      <a:endParaRPr lang="es-A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'Tamaño planta promedio'!$B$3:$I$3</c:f>
              <c:numCache>
                <c:formatCode>General</c:formatCode>
                <c:ptCount val="8"/>
                <c:pt idx="0">
                  <c:v>2006</c:v>
                </c:pt>
                <c:pt idx="1">
                  <c:v>2007</c:v>
                </c:pt>
                <c:pt idx="2">
                  <c:v>2008</c:v>
                </c:pt>
                <c:pt idx="3">
                  <c:v>2009</c:v>
                </c:pt>
                <c:pt idx="4">
                  <c:v>2010</c:v>
                </c:pt>
                <c:pt idx="5">
                  <c:v>2011</c:v>
                </c:pt>
                <c:pt idx="6">
                  <c:v>2012</c:v>
                </c:pt>
                <c:pt idx="7">
                  <c:v>2016</c:v>
                </c:pt>
              </c:numCache>
            </c:numRef>
          </c:cat>
          <c:val>
            <c:numRef>
              <c:f>'Tamaño planta promedio'!$B$6:$I$6</c:f>
              <c:numCache>
                <c:formatCode>_-* #,##0\ _€_-;\-* #,##0\ _€_-;_-* "-"??\ _€_-;_-@_-</c:formatCode>
                <c:ptCount val="8"/>
                <c:pt idx="0">
                  <c:v>26000</c:v>
                </c:pt>
                <c:pt idx="1">
                  <c:v>70000</c:v>
                </c:pt>
                <c:pt idx="2">
                  <c:v>104115.38461538461</c:v>
                </c:pt>
                <c:pt idx="3">
                  <c:v>130443.75</c:v>
                </c:pt>
                <c:pt idx="4">
                  <c:v>108130.43478260869</c:v>
                </c:pt>
                <c:pt idx="5">
                  <c:v>118615.38461538461</c:v>
                </c:pt>
                <c:pt idx="6">
                  <c:v>118485.18518518518</c:v>
                </c:pt>
                <c:pt idx="7">
                  <c:v>123267.27027027027</c:v>
                </c:pt>
              </c:numCache>
            </c:numRef>
          </c:val>
          <c:extLst xmlns:c16r2="http://schemas.microsoft.com/office/drawing/2015/06/chart">
            <c:ext xmlns:c16="http://schemas.microsoft.com/office/drawing/2014/chart" uri="{C3380CC4-5D6E-409C-BE32-E72D297353CC}">
              <c16:uniqueId val="{00000000-1C6E-4041-A544-7ABD5085C54D}"/>
            </c:ext>
          </c:extLst>
        </c:ser>
        <c:dLbls>
          <c:showLegendKey val="0"/>
          <c:showVal val="0"/>
          <c:showCatName val="0"/>
          <c:showSerName val="0"/>
          <c:showPercent val="0"/>
          <c:showBubbleSize val="0"/>
        </c:dLbls>
        <c:gapWidth val="219"/>
        <c:overlap val="-27"/>
        <c:axId val="26933504"/>
        <c:axId val="27262976"/>
      </c:barChart>
      <c:catAx>
        <c:axId val="2693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7262976"/>
        <c:crosses val="autoZero"/>
        <c:auto val="1"/>
        <c:lblAlgn val="ctr"/>
        <c:lblOffset val="100"/>
        <c:noMultiLvlLbl val="0"/>
      </c:catAx>
      <c:valAx>
        <c:axId val="27262976"/>
        <c:scaling>
          <c:orientation val="minMax"/>
        </c:scaling>
        <c:delete val="0"/>
        <c:axPos val="l"/>
        <c:majorGridlines>
          <c:spPr>
            <a:ln w="9525" cap="flat" cmpd="sng" algn="ctr">
              <a:solidFill>
                <a:schemeClr val="tx1">
                  <a:lumMod val="15000"/>
                  <a:lumOff val="8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693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BD!$B$19</c:f>
              <c:strCache>
                <c:ptCount val="1"/>
                <c:pt idx="0">
                  <c:v>Tn</c:v>
                </c:pt>
              </c:strCache>
            </c:strRef>
          </c:tx>
          <c:spPr>
            <a:ln w="19050" cap="rnd" cmpd="sng" algn="ctr">
              <a:solidFill>
                <a:schemeClr val="accent1"/>
              </a:solidFill>
              <a:prstDash val="solid"/>
              <a:round/>
            </a:ln>
            <a:effectLst/>
          </c:spPr>
          <c:marker>
            <c:symbol val="diamond"/>
            <c:size val="6"/>
            <c:spPr>
              <a:solidFill>
                <a:schemeClr val="accent1"/>
              </a:solidFill>
              <a:ln w="6350" cap="flat" cmpd="sng" algn="ctr">
                <a:solidFill>
                  <a:schemeClr val="accent1"/>
                </a:solidFill>
                <a:prstDash val="solid"/>
                <a:round/>
              </a:ln>
              <a:effectLst/>
            </c:spPr>
          </c:marker>
          <c:cat>
            <c:numRef>
              <c:f>BD!$A$20:$A$30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BD!$B$20:$B$30</c:f>
              <c:numCache>
                <c:formatCode>#,##0</c:formatCode>
                <c:ptCount val="11"/>
                <c:pt idx="0">
                  <c:v>70643</c:v>
                </c:pt>
                <c:pt idx="1">
                  <c:v>104817</c:v>
                </c:pt>
                <c:pt idx="2">
                  <c:v>143367</c:v>
                </c:pt>
                <c:pt idx="3">
                  <c:v>165240</c:v>
                </c:pt>
                <c:pt idx="4">
                  <c:v>169869</c:v>
                </c:pt>
                <c:pt idx="5">
                  <c:v>75699</c:v>
                </c:pt>
                <c:pt idx="6">
                  <c:v>160853</c:v>
                </c:pt>
                <c:pt idx="7">
                  <c:v>78700</c:v>
                </c:pt>
                <c:pt idx="8">
                  <c:v>174321</c:v>
                </c:pt>
                <c:pt idx="9">
                  <c:v>173466</c:v>
                </c:pt>
                <c:pt idx="10">
                  <c:v>132915</c:v>
                </c:pt>
              </c:numCache>
            </c:numRef>
          </c:val>
          <c:smooth val="0"/>
          <c:extLst xmlns:c16r2="http://schemas.microsoft.com/office/drawing/2015/06/chart">
            <c:ext xmlns:c16="http://schemas.microsoft.com/office/drawing/2014/chart" uri="{C3380CC4-5D6E-409C-BE32-E72D297353CC}">
              <c16:uniqueId val="{00000000-B967-4C9A-8A83-C8FE6BE4E1D7}"/>
            </c:ext>
          </c:extLst>
        </c:ser>
        <c:dLbls>
          <c:showLegendKey val="0"/>
          <c:showVal val="0"/>
          <c:showCatName val="0"/>
          <c:showSerName val="0"/>
          <c:showPercent val="0"/>
          <c:showBubbleSize val="0"/>
        </c:dLbls>
        <c:marker val="1"/>
        <c:smooth val="0"/>
        <c:axId val="27284992"/>
        <c:axId val="27286912"/>
      </c:lineChart>
      <c:lineChart>
        <c:grouping val="standard"/>
        <c:varyColors val="0"/>
        <c:ser>
          <c:idx val="1"/>
          <c:order val="1"/>
          <c:tx>
            <c:strRef>
              <c:f>BD!$D$19</c:f>
              <c:strCache>
                <c:ptCount val="1"/>
                <c:pt idx="0">
                  <c:v>Monto U$S por TN</c:v>
                </c:pt>
              </c:strCache>
            </c:strRef>
          </c:tx>
          <c:spPr>
            <a:ln w="19050" cap="rnd" cmpd="sng" algn="ctr">
              <a:solidFill>
                <a:schemeClr val="accent3"/>
              </a:solidFill>
              <a:prstDash val="solid"/>
              <a:round/>
            </a:ln>
            <a:effectLst/>
          </c:spPr>
          <c:marker>
            <c:symbol val="square"/>
            <c:size val="6"/>
            <c:spPr>
              <a:solidFill>
                <a:schemeClr val="accent3"/>
              </a:solidFill>
              <a:ln w="6350" cap="flat" cmpd="sng" algn="ctr">
                <a:solidFill>
                  <a:schemeClr val="accent3"/>
                </a:solidFill>
                <a:prstDash val="solid"/>
                <a:round/>
              </a:ln>
              <a:effectLst/>
            </c:spPr>
          </c:marker>
          <c:cat>
            <c:numRef>
              <c:f>BD!$A$20:$A$30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BD!$D$20:$D$30</c:f>
              <c:numCache>
                <c:formatCode>0</c:formatCode>
                <c:ptCount val="11"/>
                <c:pt idx="0">
                  <c:v>346.23421995102132</c:v>
                </c:pt>
                <c:pt idx="1">
                  <c:v>119.58705171870974</c:v>
                </c:pt>
                <c:pt idx="2">
                  <c:v>155.9230297069758</c:v>
                </c:pt>
                <c:pt idx="3">
                  <c:v>272.09512829823285</c:v>
                </c:pt>
                <c:pt idx="4">
                  <c:v>265.05015629691115</c:v>
                </c:pt>
                <c:pt idx="5">
                  <c:v>310.07313174546562</c:v>
                </c:pt>
                <c:pt idx="6">
                  <c:v>203.65025831038278</c:v>
                </c:pt>
                <c:pt idx="7">
                  <c:v>148.67391359593393</c:v>
                </c:pt>
                <c:pt idx="8">
                  <c:v>107.71667211638299</c:v>
                </c:pt>
                <c:pt idx="9">
                  <c:v>222.29494540716914</c:v>
                </c:pt>
                <c:pt idx="10">
                  <c:v>329.98891772937594</c:v>
                </c:pt>
              </c:numCache>
            </c:numRef>
          </c:val>
          <c:smooth val="0"/>
          <c:extLst xmlns:c16r2="http://schemas.microsoft.com/office/drawing/2015/06/chart">
            <c:ext xmlns:c16="http://schemas.microsoft.com/office/drawing/2014/chart" uri="{C3380CC4-5D6E-409C-BE32-E72D297353CC}">
              <c16:uniqueId val="{00000001-B967-4C9A-8A83-C8FE6BE4E1D7}"/>
            </c:ext>
          </c:extLst>
        </c:ser>
        <c:dLbls>
          <c:showLegendKey val="0"/>
          <c:showVal val="0"/>
          <c:showCatName val="0"/>
          <c:showSerName val="0"/>
          <c:showPercent val="0"/>
          <c:showBubbleSize val="0"/>
        </c:dLbls>
        <c:marker val="1"/>
        <c:smooth val="0"/>
        <c:axId val="27299200"/>
        <c:axId val="27297280"/>
      </c:lineChart>
      <c:catAx>
        <c:axId val="272849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27286912"/>
        <c:crosses val="autoZero"/>
        <c:auto val="1"/>
        <c:lblAlgn val="ctr"/>
        <c:lblOffset val="100"/>
        <c:noMultiLvlLbl val="0"/>
      </c:catAx>
      <c:valAx>
        <c:axId val="2728691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Toneladas</a:t>
                </a:r>
              </a:p>
            </c:rich>
          </c:tx>
          <c:overlay val="0"/>
          <c:spPr>
            <a:noFill/>
            <a:ln>
              <a:noFill/>
            </a:ln>
            <a:effectLst/>
          </c:spPr>
        </c:title>
        <c:numFmt formatCode="#,##0"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7284992"/>
        <c:crosses val="autoZero"/>
        <c:crossBetween val="between"/>
      </c:valAx>
      <c:valAx>
        <c:axId val="27297280"/>
        <c:scaling>
          <c:orientation val="minMax"/>
        </c:scaling>
        <c:delete val="0"/>
        <c:axPos val="r"/>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U$S por tonelada</a:t>
                </a:r>
              </a:p>
            </c:rich>
          </c:tx>
          <c:overlay val="0"/>
          <c:spPr>
            <a:noFill/>
            <a:ln>
              <a:noFill/>
            </a:ln>
            <a:effectLst/>
          </c:spPr>
        </c:title>
        <c:numFmt formatCode="0" sourceLinked="1"/>
        <c:majorTickMark val="out"/>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7299200"/>
        <c:crosses val="max"/>
        <c:crossBetween val="between"/>
      </c:valAx>
      <c:catAx>
        <c:axId val="27299200"/>
        <c:scaling>
          <c:orientation val="minMax"/>
        </c:scaling>
        <c:delete val="1"/>
        <c:axPos val="b"/>
        <c:numFmt formatCode="General" sourceLinked="1"/>
        <c:majorTickMark val="out"/>
        <c:minorTickMark val="none"/>
        <c:tickLblPos val="nextTo"/>
        <c:crossAx val="27297280"/>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a:pPr>
      <a:endParaRPr lang="es-A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'Modelo Esquematico con el 18%'!$AK$7</c:f>
              <c:strCache>
                <c:ptCount val="1"/>
                <c:pt idx="0">
                  <c:v>Grano</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'Modelo Esquematico con el 18%'!$B$11:$B$22</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'Modelo Esquematico con el 18%'!$AK$11:$AK$22</c:f>
              <c:numCache>
                <c:formatCode>General</c:formatCode>
                <c:ptCount val="12"/>
                <c:pt idx="0">
                  <c:v>318</c:v>
                </c:pt>
                <c:pt idx="1">
                  <c:v>456</c:v>
                </c:pt>
                <c:pt idx="2">
                  <c:v>414</c:v>
                </c:pt>
                <c:pt idx="3">
                  <c:v>409</c:v>
                </c:pt>
                <c:pt idx="4">
                  <c:v>505</c:v>
                </c:pt>
                <c:pt idx="5">
                  <c:v>561</c:v>
                </c:pt>
                <c:pt idx="6">
                  <c:v>536</c:v>
                </c:pt>
                <c:pt idx="7">
                  <c:v>492</c:v>
                </c:pt>
                <c:pt idx="8">
                  <c:v>377</c:v>
                </c:pt>
                <c:pt idx="9">
                  <c:v>382</c:v>
                </c:pt>
                <c:pt idx="10">
                  <c:v>373</c:v>
                </c:pt>
                <c:pt idx="11" formatCode="0">
                  <c:v>391.54687893328742</c:v>
                </c:pt>
              </c:numCache>
            </c:numRef>
          </c:val>
          <c:smooth val="0"/>
          <c:extLst xmlns:c16r2="http://schemas.microsoft.com/office/drawing/2015/06/chart">
            <c:ext xmlns:c16="http://schemas.microsoft.com/office/drawing/2014/chart" uri="{C3380CC4-5D6E-409C-BE32-E72D297353CC}">
              <c16:uniqueId val="{00000000-7CBB-4595-9C78-4D713328EBFF}"/>
            </c:ext>
          </c:extLst>
        </c:ser>
        <c:ser>
          <c:idx val="1"/>
          <c:order val="1"/>
          <c:tx>
            <c:strRef>
              <c:f>'Modelo Esquematico con el 18%'!$AL$7</c:f>
              <c:strCache>
                <c:ptCount val="1"/>
                <c:pt idx="0">
                  <c:v>Expeller</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numRef>
              <c:f>'Modelo Esquematico con el 18%'!$B$11:$B$22</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'Modelo Esquematico con el 18%'!$AL$11:$AL$22</c:f>
              <c:numCache>
                <c:formatCode>General</c:formatCode>
                <c:ptCount val="12"/>
                <c:pt idx="0">
                  <c:v>248</c:v>
                </c:pt>
                <c:pt idx="1">
                  <c:v>362</c:v>
                </c:pt>
                <c:pt idx="2">
                  <c:v>387</c:v>
                </c:pt>
                <c:pt idx="3">
                  <c:v>351</c:v>
                </c:pt>
                <c:pt idx="4">
                  <c:v>377</c:v>
                </c:pt>
                <c:pt idx="5">
                  <c:v>502</c:v>
                </c:pt>
                <c:pt idx="6">
                  <c:v>510</c:v>
                </c:pt>
                <c:pt idx="7">
                  <c:v>490</c:v>
                </c:pt>
              </c:numCache>
            </c:numRef>
          </c:val>
          <c:smooth val="0"/>
          <c:extLst xmlns:c16r2="http://schemas.microsoft.com/office/drawing/2015/06/chart">
            <c:ext xmlns:c16="http://schemas.microsoft.com/office/drawing/2014/chart" uri="{C3380CC4-5D6E-409C-BE32-E72D297353CC}">
              <c16:uniqueId val="{00000001-7CBB-4595-9C78-4D713328EBFF}"/>
            </c:ext>
          </c:extLst>
        </c:ser>
        <c:ser>
          <c:idx val="2"/>
          <c:order val="2"/>
          <c:tx>
            <c:strRef>
              <c:f>'Modelo Esquematico con el 18%'!$AM$7</c:f>
              <c:strCache>
                <c:ptCount val="1"/>
                <c:pt idx="0">
                  <c:v>Pellets</c:v>
                </c:pt>
              </c:strCache>
            </c:strRef>
          </c:tx>
          <c:spPr>
            <a:ln w="22225" cap="rnd">
              <a:solidFill>
                <a:schemeClr val="accent5"/>
              </a:solidFill>
              <a:round/>
            </a:ln>
            <a:effectLst/>
          </c:spPr>
          <c:marker>
            <c:symbol val="triangle"/>
            <c:size val="6"/>
            <c:spPr>
              <a:solidFill>
                <a:schemeClr val="accent5"/>
              </a:solidFill>
              <a:ln w="9525">
                <a:solidFill>
                  <a:schemeClr val="accent5"/>
                </a:solidFill>
                <a:round/>
              </a:ln>
              <a:effectLst/>
            </c:spPr>
          </c:marker>
          <c:cat>
            <c:numRef>
              <c:f>'Modelo Esquematico con el 18%'!$B$11:$B$22</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'Modelo Esquematico con el 18%'!$AM$11:$AM$22</c:f>
              <c:numCache>
                <c:formatCode>General</c:formatCode>
                <c:ptCount val="12"/>
                <c:pt idx="0">
                  <c:v>240</c:v>
                </c:pt>
                <c:pt idx="1">
                  <c:v>354</c:v>
                </c:pt>
                <c:pt idx="2">
                  <c:v>379</c:v>
                </c:pt>
                <c:pt idx="3">
                  <c:v>343</c:v>
                </c:pt>
                <c:pt idx="4">
                  <c:v>369</c:v>
                </c:pt>
                <c:pt idx="5">
                  <c:v>494</c:v>
                </c:pt>
                <c:pt idx="6">
                  <c:v>502</c:v>
                </c:pt>
                <c:pt idx="7">
                  <c:v>482</c:v>
                </c:pt>
                <c:pt idx="8">
                  <c:v>360</c:v>
                </c:pt>
                <c:pt idx="9">
                  <c:v>351</c:v>
                </c:pt>
                <c:pt idx="10">
                  <c:v>326</c:v>
                </c:pt>
                <c:pt idx="11" formatCode="0">
                  <c:v>379.52541877371641</c:v>
                </c:pt>
              </c:numCache>
            </c:numRef>
          </c:val>
          <c:smooth val="0"/>
          <c:extLst xmlns:c16r2="http://schemas.microsoft.com/office/drawing/2015/06/chart">
            <c:ext xmlns:c16="http://schemas.microsoft.com/office/drawing/2014/chart" uri="{C3380CC4-5D6E-409C-BE32-E72D297353CC}">
              <c16:uniqueId val="{00000002-7CBB-4595-9C78-4D713328EBFF}"/>
            </c:ext>
          </c:extLst>
        </c:ser>
        <c:ser>
          <c:idx val="3"/>
          <c:order val="3"/>
          <c:tx>
            <c:strRef>
              <c:f>'Modelo Esquematico con el 18%'!$AN$7</c:f>
              <c:strCache>
                <c:ptCount val="1"/>
                <c:pt idx="0">
                  <c:v>Aceite</c:v>
                </c:pt>
              </c:strCache>
            </c:strRef>
          </c:tx>
          <c:spPr>
            <a:ln w="22225" cap="rnd">
              <a:solidFill>
                <a:schemeClr val="accent1">
                  <a:lumMod val="60000"/>
                </a:schemeClr>
              </a:solidFill>
              <a:round/>
            </a:ln>
            <a:effectLst/>
          </c:spPr>
          <c:marker>
            <c:symbol val="x"/>
            <c:size val="6"/>
            <c:spPr>
              <a:noFill/>
              <a:ln w="9525">
                <a:solidFill>
                  <a:schemeClr val="accent1">
                    <a:lumMod val="60000"/>
                  </a:schemeClr>
                </a:solidFill>
                <a:round/>
              </a:ln>
              <a:effectLst/>
            </c:spPr>
          </c:marker>
          <c:cat>
            <c:numRef>
              <c:f>'Modelo Esquematico con el 18%'!$B$11:$B$22</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'Modelo Esquematico con el 18%'!$AN$11:$AN$22</c:f>
              <c:numCache>
                <c:formatCode>General</c:formatCode>
                <c:ptCount val="12"/>
                <c:pt idx="0">
                  <c:v>775</c:v>
                </c:pt>
                <c:pt idx="1">
                  <c:v>1111</c:v>
                </c:pt>
                <c:pt idx="2">
                  <c:v>773</c:v>
                </c:pt>
                <c:pt idx="3">
                  <c:v>914</c:v>
                </c:pt>
                <c:pt idx="4">
                  <c:v>1211</c:v>
                </c:pt>
                <c:pt idx="5">
                  <c:v>1157</c:v>
                </c:pt>
                <c:pt idx="6">
                  <c:v>967</c:v>
                </c:pt>
                <c:pt idx="7">
                  <c:v>833</c:v>
                </c:pt>
                <c:pt idx="8">
                  <c:v>682</c:v>
                </c:pt>
                <c:pt idx="9">
                  <c:v>724</c:v>
                </c:pt>
                <c:pt idx="10">
                  <c:v>748</c:v>
                </c:pt>
                <c:pt idx="11" formatCode="0">
                  <c:v>694.69204373154139</c:v>
                </c:pt>
              </c:numCache>
            </c:numRef>
          </c:val>
          <c:smooth val="0"/>
          <c:extLst xmlns:c16r2="http://schemas.microsoft.com/office/drawing/2015/06/chart">
            <c:ext xmlns:c16="http://schemas.microsoft.com/office/drawing/2014/chart" uri="{C3380CC4-5D6E-409C-BE32-E72D297353CC}">
              <c16:uniqueId val="{00000003-7CBB-4595-9C78-4D713328EBFF}"/>
            </c:ext>
          </c:extLst>
        </c:ser>
        <c:dLbls>
          <c:showLegendKey val="0"/>
          <c:showVal val="0"/>
          <c:showCatName val="0"/>
          <c:showSerName val="0"/>
          <c:showPercent val="0"/>
          <c:showBubbleSize val="0"/>
        </c:dLbls>
        <c:marker val="1"/>
        <c:smooth val="0"/>
        <c:axId val="26942080"/>
        <c:axId val="26952448"/>
      </c:lineChart>
      <c:catAx>
        <c:axId val="26942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26952448"/>
        <c:crosses val="autoZero"/>
        <c:auto val="1"/>
        <c:lblAlgn val="ctr"/>
        <c:lblOffset val="100"/>
        <c:noMultiLvlLbl val="0"/>
      </c:catAx>
      <c:valAx>
        <c:axId val="2695244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6942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Precios!$J$5</c:f>
              <c:strCache>
                <c:ptCount val="1"/>
                <c:pt idx="0">
                  <c:v>PRECIO NETO BIO FOB U$S</c:v>
                </c:pt>
              </c:strCache>
            </c:strRef>
          </c:tx>
          <c:spPr>
            <a:ln w="19050" cap="rnd" cmpd="sng" algn="ctr">
              <a:solidFill>
                <a:schemeClr val="accent1"/>
              </a:solidFill>
              <a:prstDash val="solid"/>
              <a:round/>
            </a:ln>
            <a:effectLst/>
          </c:spPr>
          <c:marker>
            <c:symbol val="diamond"/>
            <c:size val="6"/>
            <c:spPr>
              <a:solidFill>
                <a:schemeClr val="accent1"/>
              </a:solidFill>
              <a:ln w="6350" cap="flat" cmpd="sng" algn="ctr">
                <a:solidFill>
                  <a:schemeClr val="accent1"/>
                </a:solidFill>
                <a:prstDash val="solid"/>
                <a:round/>
              </a:ln>
              <a:effectLst/>
            </c:spPr>
          </c:marker>
          <c:cat>
            <c:numRef>
              <c:f>Precios!$A$36:$A$119</c:f>
              <c:numCache>
                <c:formatCode>mmm\-yy</c:formatCode>
                <c:ptCount val="8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pt idx="16">
                  <c:v>41640</c:v>
                </c:pt>
                <c:pt idx="17">
                  <c:v>41671</c:v>
                </c:pt>
                <c:pt idx="18">
                  <c:v>41699</c:v>
                </c:pt>
                <c:pt idx="19">
                  <c:v>41730</c:v>
                </c:pt>
                <c:pt idx="20">
                  <c:v>41760</c:v>
                </c:pt>
                <c:pt idx="21">
                  <c:v>41791</c:v>
                </c:pt>
                <c:pt idx="22">
                  <c:v>41821</c:v>
                </c:pt>
                <c:pt idx="23">
                  <c:v>41852</c:v>
                </c:pt>
                <c:pt idx="24">
                  <c:v>41883</c:v>
                </c:pt>
                <c:pt idx="25">
                  <c:v>41913</c:v>
                </c:pt>
                <c:pt idx="26">
                  <c:v>41944</c:v>
                </c:pt>
                <c:pt idx="27">
                  <c:v>41974</c:v>
                </c:pt>
                <c:pt idx="28">
                  <c:v>42005</c:v>
                </c:pt>
                <c:pt idx="29">
                  <c:v>42036</c:v>
                </c:pt>
                <c:pt idx="30">
                  <c:v>42064</c:v>
                </c:pt>
                <c:pt idx="31">
                  <c:v>42095</c:v>
                </c:pt>
                <c:pt idx="32">
                  <c:v>42125</c:v>
                </c:pt>
                <c:pt idx="33">
                  <c:v>42156</c:v>
                </c:pt>
                <c:pt idx="34">
                  <c:v>42186</c:v>
                </c:pt>
                <c:pt idx="35">
                  <c:v>42217</c:v>
                </c:pt>
                <c:pt idx="36">
                  <c:v>42248</c:v>
                </c:pt>
                <c:pt idx="37">
                  <c:v>42278</c:v>
                </c:pt>
                <c:pt idx="38">
                  <c:v>42309</c:v>
                </c:pt>
                <c:pt idx="39">
                  <c:v>42339</c:v>
                </c:pt>
                <c:pt idx="40">
                  <c:v>42370</c:v>
                </c:pt>
                <c:pt idx="41">
                  <c:v>42401</c:v>
                </c:pt>
                <c:pt idx="42">
                  <c:v>42430</c:v>
                </c:pt>
                <c:pt idx="43">
                  <c:v>42461</c:v>
                </c:pt>
                <c:pt idx="44">
                  <c:v>42491</c:v>
                </c:pt>
                <c:pt idx="45">
                  <c:v>42522</c:v>
                </c:pt>
                <c:pt idx="46">
                  <c:v>42552</c:v>
                </c:pt>
                <c:pt idx="47">
                  <c:v>42583</c:v>
                </c:pt>
                <c:pt idx="48">
                  <c:v>42614</c:v>
                </c:pt>
                <c:pt idx="49">
                  <c:v>42644</c:v>
                </c:pt>
                <c:pt idx="50">
                  <c:v>42675</c:v>
                </c:pt>
                <c:pt idx="51">
                  <c:v>42705</c:v>
                </c:pt>
                <c:pt idx="52">
                  <c:v>42736</c:v>
                </c:pt>
                <c:pt idx="53">
                  <c:v>42767</c:v>
                </c:pt>
                <c:pt idx="54">
                  <c:v>42795</c:v>
                </c:pt>
                <c:pt idx="55">
                  <c:v>42826</c:v>
                </c:pt>
                <c:pt idx="56">
                  <c:v>42856</c:v>
                </c:pt>
                <c:pt idx="57">
                  <c:v>42887</c:v>
                </c:pt>
                <c:pt idx="58">
                  <c:v>42917</c:v>
                </c:pt>
                <c:pt idx="59">
                  <c:v>42948</c:v>
                </c:pt>
                <c:pt idx="60">
                  <c:v>42979</c:v>
                </c:pt>
                <c:pt idx="61">
                  <c:v>43009</c:v>
                </c:pt>
                <c:pt idx="62">
                  <c:v>43040</c:v>
                </c:pt>
                <c:pt idx="63">
                  <c:v>43070</c:v>
                </c:pt>
                <c:pt idx="64">
                  <c:v>43101</c:v>
                </c:pt>
                <c:pt idx="65">
                  <c:v>43132</c:v>
                </c:pt>
                <c:pt idx="66">
                  <c:v>43160</c:v>
                </c:pt>
                <c:pt idx="67">
                  <c:v>43191</c:v>
                </c:pt>
                <c:pt idx="68">
                  <c:v>43221</c:v>
                </c:pt>
                <c:pt idx="69">
                  <c:v>43252</c:v>
                </c:pt>
                <c:pt idx="70">
                  <c:v>43282</c:v>
                </c:pt>
                <c:pt idx="71">
                  <c:v>43313</c:v>
                </c:pt>
                <c:pt idx="72">
                  <c:v>43344</c:v>
                </c:pt>
                <c:pt idx="73">
                  <c:v>43374</c:v>
                </c:pt>
                <c:pt idx="74">
                  <c:v>43405</c:v>
                </c:pt>
                <c:pt idx="75">
                  <c:v>43435</c:v>
                </c:pt>
                <c:pt idx="76">
                  <c:v>43466</c:v>
                </c:pt>
                <c:pt idx="77">
                  <c:v>43497</c:v>
                </c:pt>
                <c:pt idx="78">
                  <c:v>43525</c:v>
                </c:pt>
                <c:pt idx="79">
                  <c:v>43556</c:v>
                </c:pt>
                <c:pt idx="80">
                  <c:v>43586</c:v>
                </c:pt>
                <c:pt idx="81">
                  <c:v>43617</c:v>
                </c:pt>
                <c:pt idx="82">
                  <c:v>43647</c:v>
                </c:pt>
              </c:numCache>
            </c:numRef>
          </c:cat>
          <c:val>
            <c:numRef>
              <c:f>Precios!$J$36:$J$119</c:f>
              <c:numCache>
                <c:formatCode>#,##0_ ;\-#,##0\ </c:formatCode>
                <c:ptCount val="83"/>
                <c:pt idx="0">
                  <c:v>1002.0163337547408</c:v>
                </c:pt>
                <c:pt idx="1">
                  <c:v>1062.3673373922304</c:v>
                </c:pt>
                <c:pt idx="2">
                  <c:v>1071.6489944361133</c:v>
                </c:pt>
                <c:pt idx="3">
                  <c:v>1051.0752488267865</c:v>
                </c:pt>
                <c:pt idx="4" formatCode="0">
                  <c:v>889.74378113666671</c:v>
                </c:pt>
                <c:pt idx="5" formatCode="0">
                  <c:v>875.36657555555553</c:v>
                </c:pt>
                <c:pt idx="6" formatCode="0">
                  <c:v>731.67065470680052</c:v>
                </c:pt>
                <c:pt idx="7" formatCode="0">
                  <c:v>750.63741102958579</c:v>
                </c:pt>
                <c:pt idx="8" formatCode="0">
                  <c:v>723.25770449197216</c:v>
                </c:pt>
                <c:pt idx="9" formatCode="0">
                  <c:v>700.9678840014285</c:v>
                </c:pt>
                <c:pt idx="10" formatCode="0">
                  <c:v>648.48532366830386</c:v>
                </c:pt>
                <c:pt idx="11" formatCode="0">
                  <c:v>614.03505640472781</c:v>
                </c:pt>
                <c:pt idx="12" formatCode="0">
                  <c:v>647.11248646134436</c:v>
                </c:pt>
                <c:pt idx="13" formatCode="0">
                  <c:v>589.7583527121335</c:v>
                </c:pt>
                <c:pt idx="14" formatCode="0">
                  <c:v>679.21549461726408</c:v>
                </c:pt>
                <c:pt idx="15" formatCode="0">
                  <c:v>869.94181910447764</c:v>
                </c:pt>
                <c:pt idx="16" formatCode="0">
                  <c:v>527.32365535801796</c:v>
                </c:pt>
                <c:pt idx="17" formatCode="0">
                  <c:v>568.93877366018012</c:v>
                </c:pt>
                <c:pt idx="18" formatCode="0">
                  <c:v>740.54692270887062</c:v>
                </c:pt>
                <c:pt idx="19" formatCode="0">
                  <c:v>696.42106691176468</c:v>
                </c:pt>
                <c:pt idx="20" formatCode="0">
                  <c:v>734.98048411092293</c:v>
                </c:pt>
                <c:pt idx="21" formatCode="0">
                  <c:v>845.76323909109135</c:v>
                </c:pt>
                <c:pt idx="22" formatCode="0">
                  <c:v>688.18544572572114</c:v>
                </c:pt>
                <c:pt idx="23" formatCode="0">
                  <c:v>703.12413279014777</c:v>
                </c:pt>
                <c:pt idx="24" formatCode="0">
                  <c:v>674.53393258291453</c:v>
                </c:pt>
                <c:pt idx="25" formatCode="0">
                  <c:v>715.26114539466141</c:v>
                </c:pt>
                <c:pt idx="26" formatCode="0">
                  <c:v>560.87740666243451</c:v>
                </c:pt>
                <c:pt idx="27" formatCode="0">
                  <c:v>550.89701144367905</c:v>
                </c:pt>
                <c:pt idx="28" formatCode="0">
                  <c:v>641.31574257425746</c:v>
                </c:pt>
                <c:pt idx="29" formatCode="0">
                  <c:v>423.62672519083969</c:v>
                </c:pt>
                <c:pt idx="30" formatCode="0">
                  <c:v>655.07469250099189</c:v>
                </c:pt>
                <c:pt idx="31" formatCode="0">
                  <c:v>542.29342604259784</c:v>
                </c:pt>
                <c:pt idx="32" formatCode="0">
                  <c:v>537.92213964946995</c:v>
                </c:pt>
                <c:pt idx="33" formatCode="0">
                  <c:v>609.75596702575103</c:v>
                </c:pt>
                <c:pt idx="34" formatCode="0">
                  <c:v>602.48256216381412</c:v>
                </c:pt>
                <c:pt idx="35" formatCode="0">
                  <c:v>592.47011684964195</c:v>
                </c:pt>
                <c:pt idx="36" formatCode="0">
                  <c:v>564.4350335952746</c:v>
                </c:pt>
                <c:pt idx="37" formatCode="0">
                  <c:v>530.5518361713456</c:v>
                </c:pt>
                <c:pt idx="38" formatCode="0">
                  <c:v>604.56848222604742</c:v>
                </c:pt>
                <c:pt idx="39" formatCode="0">
                  <c:v>638.29589210795814</c:v>
                </c:pt>
                <c:pt idx="40" formatCode="0">
                  <c:v>625.62953115679011</c:v>
                </c:pt>
                <c:pt idx="41" formatCode="0">
                  <c:v>631.15093749999994</c:v>
                </c:pt>
                <c:pt idx="42" formatCode="0">
                  <c:v>572.72809523809531</c:v>
                </c:pt>
                <c:pt idx="43" formatCode="0">
                  <c:v>649.5487090298468</c:v>
                </c:pt>
                <c:pt idx="44" formatCode="0">
                  <c:v>595.20013438943897</c:v>
                </c:pt>
                <c:pt idx="45" formatCode="0">
                  <c:v>652.95177205164998</c:v>
                </c:pt>
                <c:pt idx="46" formatCode="0">
                  <c:v>643.9893709254402</c:v>
                </c:pt>
                <c:pt idx="47" formatCode="0">
                  <c:v>678.00811670680037</c:v>
                </c:pt>
                <c:pt idx="48" formatCode="0">
                  <c:v>705.69547326494319</c:v>
                </c:pt>
                <c:pt idx="49" formatCode="0">
                  <c:v>754.42128684946499</c:v>
                </c:pt>
                <c:pt idx="50" formatCode="0">
                  <c:v>775.91681034004819</c:v>
                </c:pt>
                <c:pt idx="51" formatCode="0">
                  <c:v>783.6297807708421</c:v>
                </c:pt>
                <c:pt idx="52" formatCode="0">
                  <c:v>799.13188661302115</c:v>
                </c:pt>
                <c:pt idx="53" formatCode="0">
                  <c:v>767.07697046109502</c:v>
                </c:pt>
                <c:pt idx="54" formatCode="0">
                  <c:v>747.36830046511625</c:v>
                </c:pt>
                <c:pt idx="55" formatCode="0">
                  <c:v>676.97338102625292</c:v>
                </c:pt>
                <c:pt idx="56" formatCode="0">
                  <c:v>731.48689788499792</c:v>
                </c:pt>
                <c:pt idx="57" formatCode="0">
                  <c:v>738.02656310955069</c:v>
                </c:pt>
                <c:pt idx="58" formatCode="0">
                  <c:v>734.31936267366166</c:v>
                </c:pt>
                <c:pt idx="59" formatCode="0">
                  <c:v>739.11228654130525</c:v>
                </c:pt>
                <c:pt idx="60" formatCode="0">
                  <c:v>746.0526785714286</c:v>
                </c:pt>
                <c:pt idx="61" formatCode="0">
                  <c:v>728.12147849999997</c:v>
                </c:pt>
                <c:pt idx="62" formatCode="0">
                  <c:v>739.08656756756761</c:v>
                </c:pt>
                <c:pt idx="63" formatCode="0">
                  <c:v>729.17568964646034</c:v>
                </c:pt>
                <c:pt idx="64" formatCode="0">
                  <c:v>695.84179467150625</c:v>
                </c:pt>
                <c:pt idx="65" formatCode="0">
                  <c:v>687.125</c:v>
                </c:pt>
                <c:pt idx="66" formatCode="0">
                  <c:v>725.67484662576692</c:v>
                </c:pt>
                <c:pt idx="67" formatCode="0">
                  <c:v>689</c:v>
                </c:pt>
                <c:pt idx="68" formatCode="0">
                  <c:v>708.92687972995043</c:v>
                </c:pt>
                <c:pt idx="69" formatCode="0">
                  <c:v>707.89026407346148</c:v>
                </c:pt>
                <c:pt idx="70" formatCode="0">
                  <c:v>692.20069798578061</c:v>
                </c:pt>
                <c:pt idx="71" formatCode="0">
                  <c:v>690.27042430122242</c:v>
                </c:pt>
                <c:pt idx="72" formatCode="0">
                  <c:v>642.97134023489832</c:v>
                </c:pt>
                <c:pt idx="73" formatCode="0">
                  <c:v>644.06246453148196</c:v>
                </c:pt>
                <c:pt idx="74" formatCode="0">
                  <c:v>703.02054794520552</c:v>
                </c:pt>
                <c:pt idx="75" formatCode="0">
                  <c:v>723.08791020009915</c:v>
                </c:pt>
                <c:pt idx="78" formatCode="0">
                  <c:v>761.92737499999998</c:v>
                </c:pt>
                <c:pt idx="79" formatCode="0">
                  <c:v>765.44436132945771</c:v>
                </c:pt>
                <c:pt idx="80" formatCode="0">
                  <c:v>753.35503406486373</c:v>
                </c:pt>
                <c:pt idx="81" formatCode="0">
                  <c:v>764.40636942675155</c:v>
                </c:pt>
              </c:numCache>
            </c:numRef>
          </c:val>
          <c:smooth val="0"/>
          <c:extLst xmlns:c16r2="http://schemas.microsoft.com/office/drawing/2015/06/chart">
            <c:ext xmlns:c16="http://schemas.microsoft.com/office/drawing/2014/chart" uri="{C3380CC4-5D6E-409C-BE32-E72D297353CC}">
              <c16:uniqueId val="{00000000-E545-451A-80E5-68B92F7FDA53}"/>
            </c:ext>
          </c:extLst>
        </c:ser>
        <c:ser>
          <c:idx val="1"/>
          <c:order val="1"/>
          <c:tx>
            <c:strRef>
              <c:f>Precios!$M$5</c:f>
              <c:strCache>
                <c:ptCount val="1"/>
                <c:pt idx="0">
                  <c:v>PRECIO NETO ACEITE FOB U$S</c:v>
                </c:pt>
              </c:strCache>
            </c:strRef>
          </c:tx>
          <c:spPr>
            <a:ln w="19050" cap="rnd" cmpd="sng" algn="ctr">
              <a:solidFill>
                <a:schemeClr val="accent3"/>
              </a:solidFill>
              <a:prstDash val="solid"/>
              <a:round/>
            </a:ln>
            <a:effectLst/>
          </c:spPr>
          <c:marker>
            <c:symbol val="square"/>
            <c:size val="6"/>
            <c:spPr>
              <a:solidFill>
                <a:schemeClr val="accent3"/>
              </a:solidFill>
              <a:ln w="6350" cap="flat" cmpd="sng" algn="ctr">
                <a:solidFill>
                  <a:schemeClr val="accent3"/>
                </a:solidFill>
                <a:prstDash val="solid"/>
                <a:round/>
              </a:ln>
              <a:effectLst/>
            </c:spPr>
          </c:marker>
          <c:cat>
            <c:numRef>
              <c:f>Precios!$A$36:$A$119</c:f>
              <c:numCache>
                <c:formatCode>mmm\-yy</c:formatCode>
                <c:ptCount val="8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pt idx="16">
                  <c:v>41640</c:v>
                </c:pt>
                <c:pt idx="17">
                  <c:v>41671</c:v>
                </c:pt>
                <c:pt idx="18">
                  <c:v>41699</c:v>
                </c:pt>
                <c:pt idx="19">
                  <c:v>41730</c:v>
                </c:pt>
                <c:pt idx="20">
                  <c:v>41760</c:v>
                </c:pt>
                <c:pt idx="21">
                  <c:v>41791</c:v>
                </c:pt>
                <c:pt idx="22">
                  <c:v>41821</c:v>
                </c:pt>
                <c:pt idx="23">
                  <c:v>41852</c:v>
                </c:pt>
                <c:pt idx="24">
                  <c:v>41883</c:v>
                </c:pt>
                <c:pt idx="25">
                  <c:v>41913</c:v>
                </c:pt>
                <c:pt idx="26">
                  <c:v>41944</c:v>
                </c:pt>
                <c:pt idx="27">
                  <c:v>41974</c:v>
                </c:pt>
                <c:pt idx="28">
                  <c:v>42005</c:v>
                </c:pt>
                <c:pt idx="29">
                  <c:v>42036</c:v>
                </c:pt>
                <c:pt idx="30">
                  <c:v>42064</c:v>
                </c:pt>
                <c:pt idx="31">
                  <c:v>42095</c:v>
                </c:pt>
                <c:pt idx="32">
                  <c:v>42125</c:v>
                </c:pt>
                <c:pt idx="33">
                  <c:v>42156</c:v>
                </c:pt>
                <c:pt idx="34">
                  <c:v>42186</c:v>
                </c:pt>
                <c:pt idx="35">
                  <c:v>42217</c:v>
                </c:pt>
                <c:pt idx="36">
                  <c:v>42248</c:v>
                </c:pt>
                <c:pt idx="37">
                  <c:v>42278</c:v>
                </c:pt>
                <c:pt idx="38">
                  <c:v>42309</c:v>
                </c:pt>
                <c:pt idx="39">
                  <c:v>42339</c:v>
                </c:pt>
                <c:pt idx="40">
                  <c:v>42370</c:v>
                </c:pt>
                <c:pt idx="41">
                  <c:v>42401</c:v>
                </c:pt>
                <c:pt idx="42">
                  <c:v>42430</c:v>
                </c:pt>
                <c:pt idx="43">
                  <c:v>42461</c:v>
                </c:pt>
                <c:pt idx="44">
                  <c:v>42491</c:v>
                </c:pt>
                <c:pt idx="45">
                  <c:v>42522</c:v>
                </c:pt>
                <c:pt idx="46">
                  <c:v>42552</c:v>
                </c:pt>
                <c:pt idx="47">
                  <c:v>42583</c:v>
                </c:pt>
                <c:pt idx="48">
                  <c:v>42614</c:v>
                </c:pt>
                <c:pt idx="49">
                  <c:v>42644</c:v>
                </c:pt>
                <c:pt idx="50">
                  <c:v>42675</c:v>
                </c:pt>
                <c:pt idx="51">
                  <c:v>42705</c:v>
                </c:pt>
                <c:pt idx="52">
                  <c:v>42736</c:v>
                </c:pt>
                <c:pt idx="53">
                  <c:v>42767</c:v>
                </c:pt>
                <c:pt idx="54">
                  <c:v>42795</c:v>
                </c:pt>
                <c:pt idx="55">
                  <c:v>42826</c:v>
                </c:pt>
                <c:pt idx="56">
                  <c:v>42856</c:v>
                </c:pt>
                <c:pt idx="57">
                  <c:v>42887</c:v>
                </c:pt>
                <c:pt idx="58">
                  <c:v>42917</c:v>
                </c:pt>
                <c:pt idx="59">
                  <c:v>42948</c:v>
                </c:pt>
                <c:pt idx="60">
                  <c:v>42979</c:v>
                </c:pt>
                <c:pt idx="61">
                  <c:v>43009</c:v>
                </c:pt>
                <c:pt idx="62">
                  <c:v>43040</c:v>
                </c:pt>
                <c:pt idx="63">
                  <c:v>43070</c:v>
                </c:pt>
                <c:pt idx="64">
                  <c:v>43101</c:v>
                </c:pt>
                <c:pt idx="65">
                  <c:v>43132</c:v>
                </c:pt>
                <c:pt idx="66">
                  <c:v>43160</c:v>
                </c:pt>
                <c:pt idx="67">
                  <c:v>43191</c:v>
                </c:pt>
                <c:pt idx="68">
                  <c:v>43221</c:v>
                </c:pt>
                <c:pt idx="69">
                  <c:v>43252</c:v>
                </c:pt>
                <c:pt idx="70">
                  <c:v>43282</c:v>
                </c:pt>
                <c:pt idx="71">
                  <c:v>43313</c:v>
                </c:pt>
                <c:pt idx="72">
                  <c:v>43344</c:v>
                </c:pt>
                <c:pt idx="73">
                  <c:v>43374</c:v>
                </c:pt>
                <c:pt idx="74">
                  <c:v>43405</c:v>
                </c:pt>
                <c:pt idx="75">
                  <c:v>43435</c:v>
                </c:pt>
                <c:pt idx="76">
                  <c:v>43466</c:v>
                </c:pt>
                <c:pt idx="77">
                  <c:v>43497</c:v>
                </c:pt>
                <c:pt idx="78">
                  <c:v>43525</c:v>
                </c:pt>
                <c:pt idx="79">
                  <c:v>43556</c:v>
                </c:pt>
                <c:pt idx="80">
                  <c:v>43586</c:v>
                </c:pt>
                <c:pt idx="81">
                  <c:v>43617</c:v>
                </c:pt>
                <c:pt idx="82">
                  <c:v>43647</c:v>
                </c:pt>
              </c:numCache>
            </c:numRef>
          </c:cat>
          <c:val>
            <c:numRef>
              <c:f>Precios!$M$36:$M$119</c:f>
              <c:numCache>
                <c:formatCode>0</c:formatCode>
                <c:ptCount val="83"/>
                <c:pt idx="0">
                  <c:v>809.2</c:v>
                </c:pt>
                <c:pt idx="1">
                  <c:v>739.16</c:v>
                </c:pt>
                <c:pt idx="2">
                  <c:v>719.44</c:v>
                </c:pt>
                <c:pt idx="3">
                  <c:v>736.44</c:v>
                </c:pt>
                <c:pt idx="4">
                  <c:v>745.96</c:v>
                </c:pt>
                <c:pt idx="5">
                  <c:v>743.92000000000007</c:v>
                </c:pt>
                <c:pt idx="6">
                  <c:v>703.12</c:v>
                </c:pt>
                <c:pt idx="7">
                  <c:v>682.72</c:v>
                </c:pt>
                <c:pt idx="8">
                  <c:v>673.2</c:v>
                </c:pt>
                <c:pt idx="9">
                  <c:v>640.55999999999995</c:v>
                </c:pt>
                <c:pt idx="10">
                  <c:v>595.68000000000006</c:v>
                </c:pt>
                <c:pt idx="11">
                  <c:v>595</c:v>
                </c:pt>
                <c:pt idx="12">
                  <c:v>603.16</c:v>
                </c:pt>
                <c:pt idx="13">
                  <c:v>608.59999999999991</c:v>
                </c:pt>
                <c:pt idx="14">
                  <c:v>615.4</c:v>
                </c:pt>
                <c:pt idx="15">
                  <c:v>601.79999999999995</c:v>
                </c:pt>
                <c:pt idx="16">
                  <c:v>564.4</c:v>
                </c:pt>
                <c:pt idx="17">
                  <c:v>584.79999999999995</c:v>
                </c:pt>
                <c:pt idx="18">
                  <c:v>610.64</c:v>
                </c:pt>
                <c:pt idx="19">
                  <c:v>597.72</c:v>
                </c:pt>
                <c:pt idx="20">
                  <c:v>583.44000000000005</c:v>
                </c:pt>
                <c:pt idx="21">
                  <c:v>595.68000000000006</c:v>
                </c:pt>
                <c:pt idx="22">
                  <c:v>583.44000000000005</c:v>
                </c:pt>
                <c:pt idx="23">
                  <c:v>561</c:v>
                </c:pt>
                <c:pt idx="24">
                  <c:v>524.96</c:v>
                </c:pt>
                <c:pt idx="25">
                  <c:v>523.6</c:v>
                </c:pt>
                <c:pt idx="26">
                  <c:v>524.28</c:v>
                </c:pt>
                <c:pt idx="27">
                  <c:v>522.24</c:v>
                </c:pt>
                <c:pt idx="28">
                  <c:v>532.44000000000005</c:v>
                </c:pt>
                <c:pt idx="29">
                  <c:v>473.96000000000004</c:v>
                </c:pt>
                <c:pt idx="30">
                  <c:v>452.2</c:v>
                </c:pt>
                <c:pt idx="31">
                  <c:v>454.91999999999996</c:v>
                </c:pt>
                <c:pt idx="32">
                  <c:v>485.52</c:v>
                </c:pt>
                <c:pt idx="33">
                  <c:v>484.84000000000003</c:v>
                </c:pt>
                <c:pt idx="34">
                  <c:v>443.36</c:v>
                </c:pt>
                <c:pt idx="35">
                  <c:v>429.76</c:v>
                </c:pt>
                <c:pt idx="36">
                  <c:v>418.88</c:v>
                </c:pt>
                <c:pt idx="37">
                  <c:v>452.2</c:v>
                </c:pt>
                <c:pt idx="38">
                  <c:v>459</c:v>
                </c:pt>
                <c:pt idx="39">
                  <c:v>497.13</c:v>
                </c:pt>
                <c:pt idx="40">
                  <c:v>472.31</c:v>
                </c:pt>
                <c:pt idx="41">
                  <c:v>491.28999999999996</c:v>
                </c:pt>
                <c:pt idx="42">
                  <c:v>500.78</c:v>
                </c:pt>
                <c:pt idx="43">
                  <c:v>533.63</c:v>
                </c:pt>
                <c:pt idx="44">
                  <c:v>519.03</c:v>
                </c:pt>
                <c:pt idx="45">
                  <c:v>516.11</c:v>
                </c:pt>
                <c:pt idx="46">
                  <c:v>502.97</c:v>
                </c:pt>
                <c:pt idx="47">
                  <c:v>546.04</c:v>
                </c:pt>
                <c:pt idx="48">
                  <c:v>547.5</c:v>
                </c:pt>
                <c:pt idx="49">
                  <c:v>558.45000000000005</c:v>
                </c:pt>
                <c:pt idx="50">
                  <c:v>565.75</c:v>
                </c:pt>
                <c:pt idx="51">
                  <c:v>592.03</c:v>
                </c:pt>
                <c:pt idx="52">
                  <c:v>572.31999999999994</c:v>
                </c:pt>
                <c:pt idx="53">
                  <c:v>546.77</c:v>
                </c:pt>
                <c:pt idx="54">
                  <c:v>517.56999999999994</c:v>
                </c:pt>
                <c:pt idx="55">
                  <c:v>510.27</c:v>
                </c:pt>
                <c:pt idx="56">
                  <c:v>535.81999999999994</c:v>
                </c:pt>
                <c:pt idx="57">
                  <c:v>540.20000000000005</c:v>
                </c:pt>
                <c:pt idx="58">
                  <c:v>543.85</c:v>
                </c:pt>
                <c:pt idx="59">
                  <c:v>552.61</c:v>
                </c:pt>
                <c:pt idx="60">
                  <c:v>568.66999999999996</c:v>
                </c:pt>
                <c:pt idx="61">
                  <c:v>556.26</c:v>
                </c:pt>
                <c:pt idx="62">
                  <c:v>564.29</c:v>
                </c:pt>
                <c:pt idx="63">
                  <c:v>543.12</c:v>
                </c:pt>
                <c:pt idx="64">
                  <c:v>551.98500000000001</c:v>
                </c:pt>
                <c:pt idx="65">
                  <c:v>552.78</c:v>
                </c:pt>
                <c:pt idx="66">
                  <c:v>555.77</c:v>
                </c:pt>
                <c:pt idx="67">
                  <c:v>561</c:v>
                </c:pt>
                <c:pt idx="68">
                  <c:v>542.84500000000003</c:v>
                </c:pt>
                <c:pt idx="69">
                  <c:v>524.4</c:v>
                </c:pt>
                <c:pt idx="70">
                  <c:v>505.66500000000002</c:v>
                </c:pt>
                <c:pt idx="71">
                  <c:v>501.27</c:v>
                </c:pt>
                <c:pt idx="72">
                  <c:v>500.65</c:v>
                </c:pt>
                <c:pt idx="73">
                  <c:v>513.24</c:v>
                </c:pt>
                <c:pt idx="74">
                  <c:v>495.33500000000004</c:v>
                </c:pt>
                <c:pt idx="75">
                  <c:v>489.8</c:v>
                </c:pt>
                <c:pt idx="76">
                  <c:v>510.39</c:v>
                </c:pt>
                <c:pt idx="77">
                  <c:v>535.20000000000005</c:v>
                </c:pt>
                <c:pt idx="78">
                  <c:v>516.005</c:v>
                </c:pt>
                <c:pt idx="79">
                  <c:v>511.11</c:v>
                </c:pt>
                <c:pt idx="80">
                  <c:v>514.26499999999999</c:v>
                </c:pt>
                <c:pt idx="81">
                  <c:v>516.6</c:v>
                </c:pt>
                <c:pt idx="82">
                  <c:v>527.17499999999995</c:v>
                </c:pt>
              </c:numCache>
            </c:numRef>
          </c:val>
          <c:smooth val="0"/>
          <c:extLst xmlns:c16r2="http://schemas.microsoft.com/office/drawing/2015/06/chart">
            <c:ext xmlns:c16="http://schemas.microsoft.com/office/drawing/2014/chart" uri="{C3380CC4-5D6E-409C-BE32-E72D297353CC}">
              <c16:uniqueId val="{00000001-E545-451A-80E5-68B92F7FDA53}"/>
            </c:ext>
          </c:extLst>
        </c:ser>
        <c:dLbls>
          <c:showLegendKey val="0"/>
          <c:showVal val="0"/>
          <c:showCatName val="0"/>
          <c:showSerName val="0"/>
          <c:showPercent val="0"/>
          <c:showBubbleSize val="0"/>
        </c:dLbls>
        <c:marker val="1"/>
        <c:smooth val="0"/>
        <c:axId val="26979328"/>
        <c:axId val="26982272"/>
      </c:lineChart>
      <c:dateAx>
        <c:axId val="2697932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26982272"/>
        <c:crosses val="autoZero"/>
        <c:auto val="1"/>
        <c:lblOffset val="100"/>
        <c:baseTimeUnit val="months"/>
      </c:dateAx>
      <c:valAx>
        <c:axId val="2698227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U$S POR TN</a:t>
                </a:r>
              </a:p>
            </c:rich>
          </c:tx>
          <c:overlay val="0"/>
          <c:spPr>
            <a:noFill/>
            <a:ln>
              <a:noFill/>
            </a:ln>
            <a:effectLst/>
          </c:spPr>
        </c:title>
        <c:numFmt formatCode="#,##0_ ;\-#,##0\ "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6979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9890-F7B2-413B-8300-9ADE4BB0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AAEP 2018 Trabajo</Template>
  <TotalTime>1</TotalTime>
  <Pages>22</Pages>
  <Words>7054</Words>
  <Characters>38798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45761</CharactersWithSpaces>
  <SharedDoc>false</SharedDoc>
  <HLinks>
    <vt:vector size="66" baseType="variant">
      <vt:variant>
        <vt:i4>5701652</vt:i4>
      </vt:variant>
      <vt:variant>
        <vt:i4>33</vt:i4>
      </vt:variant>
      <vt:variant>
        <vt:i4>0</vt:i4>
      </vt:variant>
      <vt:variant>
        <vt:i4>5</vt:i4>
      </vt:variant>
      <vt:variant>
        <vt:lpwstr>https://biodiesel.com.ar/tag/produccion-de-etanol</vt:lpwstr>
      </vt:variant>
      <vt:variant>
        <vt:lpwstr/>
      </vt:variant>
      <vt:variant>
        <vt:i4>2359345</vt:i4>
      </vt:variant>
      <vt:variant>
        <vt:i4>30</vt:i4>
      </vt:variant>
      <vt:variant>
        <vt:i4>0</vt:i4>
      </vt:variant>
      <vt:variant>
        <vt:i4>5</vt:i4>
      </vt:variant>
      <vt:variant>
        <vt:lpwstr>http://www.agroindustria.gob.ar/datosagroindustriales/</vt:lpwstr>
      </vt:variant>
      <vt:variant>
        <vt:lpwstr/>
      </vt:variant>
      <vt:variant>
        <vt:i4>3670096</vt:i4>
      </vt:variant>
      <vt:variant>
        <vt:i4>27</vt:i4>
      </vt:variant>
      <vt:variant>
        <vt:i4>0</vt:i4>
      </vt:variant>
      <vt:variant>
        <vt:i4>5</vt:i4>
      </vt:variant>
      <vt:variant>
        <vt:lpwstr>http://www.minagri.gob.ar/site/agricultura/informacion_agropecuaria/03=estimaciones agricolas/03-informe mensual/index.php</vt:lpwstr>
      </vt:variant>
      <vt:variant>
        <vt:lpwstr/>
      </vt:variant>
      <vt:variant>
        <vt:i4>7340073</vt:i4>
      </vt:variant>
      <vt:variant>
        <vt:i4>24</vt:i4>
      </vt:variant>
      <vt:variant>
        <vt:i4>0</vt:i4>
      </vt:variant>
      <vt:variant>
        <vt:i4>5</vt:i4>
      </vt:variant>
      <vt:variant>
        <vt:lpwstr>http://www.infoleg.gov.ar/</vt:lpwstr>
      </vt:variant>
      <vt:variant>
        <vt:lpwstr/>
      </vt:variant>
      <vt:variant>
        <vt:i4>2818095</vt:i4>
      </vt:variant>
      <vt:variant>
        <vt:i4>21</vt:i4>
      </vt:variant>
      <vt:variant>
        <vt:i4>0</vt:i4>
      </vt:variant>
      <vt:variant>
        <vt:i4>5</vt:i4>
      </vt:variant>
      <vt:variant>
        <vt:lpwstr>http://www.inta.gov.ar/</vt:lpwstr>
      </vt:variant>
      <vt:variant>
        <vt:lpwstr/>
      </vt:variant>
      <vt:variant>
        <vt:i4>262159</vt:i4>
      </vt:variant>
      <vt:variant>
        <vt:i4>18</vt:i4>
      </vt:variant>
      <vt:variant>
        <vt:i4>0</vt:i4>
      </vt:variant>
      <vt:variant>
        <vt:i4>5</vt:i4>
      </vt:variant>
      <vt:variant>
        <vt:lpwstr>http://www.carbio.com.ar/es/</vt:lpwstr>
      </vt:variant>
      <vt:variant>
        <vt:lpwstr/>
      </vt:variant>
      <vt:variant>
        <vt:i4>1572948</vt:i4>
      </vt:variant>
      <vt:variant>
        <vt:i4>15</vt:i4>
      </vt:variant>
      <vt:variant>
        <vt:i4>0</vt:i4>
      </vt:variant>
      <vt:variant>
        <vt:i4>5</vt:i4>
      </vt:variant>
      <vt:variant>
        <vt:lpwstr>http://www.cader.org.ar/</vt:lpwstr>
      </vt:variant>
      <vt:variant>
        <vt:lpwstr/>
      </vt:variant>
      <vt:variant>
        <vt:i4>983130</vt:i4>
      </vt:variant>
      <vt:variant>
        <vt:i4>12</vt:i4>
      </vt:variant>
      <vt:variant>
        <vt:i4>0</vt:i4>
      </vt:variant>
      <vt:variant>
        <vt:i4>5</vt:i4>
      </vt:variant>
      <vt:variant>
        <vt:lpwstr>http://www.argentinarenovables.org/archivos/Estado-Industria-Biodiesel-enero2011.pdf</vt:lpwstr>
      </vt:variant>
      <vt:variant>
        <vt:lpwstr/>
      </vt:variant>
      <vt:variant>
        <vt:i4>6815849</vt:i4>
      </vt:variant>
      <vt:variant>
        <vt:i4>9</vt:i4>
      </vt:variant>
      <vt:variant>
        <vt:i4>0</vt:i4>
      </vt:variant>
      <vt:variant>
        <vt:i4>5</vt:i4>
      </vt:variant>
      <vt:variant>
        <vt:lpwstr>https://www.bcr.com.ar/Pages/Publicaciones/boletinsemanal.aspx</vt:lpwstr>
      </vt:variant>
      <vt:variant>
        <vt:lpwstr/>
      </vt:variant>
      <vt:variant>
        <vt:i4>8126480</vt:i4>
      </vt:variant>
      <vt:variant>
        <vt:i4>6</vt:i4>
      </vt:variant>
      <vt:variant>
        <vt:i4>0</vt:i4>
      </vt:variant>
      <vt:variant>
        <vt:i4>5</vt:i4>
      </vt:variant>
      <vt:variant>
        <vt:lpwstr>http://ief.eco.unc.edu.ar/files/publicaciones/actualidad/2012_n78/04_rae78_bicombustibles.pdf</vt:lpwstr>
      </vt:variant>
      <vt:variant>
        <vt:lpwstr/>
      </vt:variant>
      <vt:variant>
        <vt:i4>524339</vt:i4>
      </vt:variant>
      <vt:variant>
        <vt:i4>0</vt:i4>
      </vt:variant>
      <vt:variant>
        <vt:i4>0</vt:i4>
      </vt:variant>
      <vt:variant>
        <vt:i4>5</vt:i4>
      </vt:variant>
      <vt:variant>
        <vt:lpwstr>mailto:silsattler@gmail.com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Leopoldo Castro Gonzalez</dc:creator>
  <cp:lastModifiedBy>Ines</cp:lastModifiedBy>
  <cp:revision>2</cp:revision>
  <cp:lastPrinted>2018-09-01T04:09:00Z</cp:lastPrinted>
  <dcterms:created xsi:type="dcterms:W3CDTF">2019-08-26T02:20:00Z</dcterms:created>
  <dcterms:modified xsi:type="dcterms:W3CDTF">2019-08-26T02:20:00Z</dcterms:modified>
</cp:coreProperties>
</file>