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EA" w:rsidRPr="000A53D3" w:rsidRDefault="009813EA" w:rsidP="00AC722C">
      <w:pPr>
        <w:pStyle w:val="Normal1"/>
        <w:spacing w:after="80"/>
        <w:jc w:val="center"/>
        <w:rPr>
          <w:rFonts w:ascii="Times New Roman" w:hAnsi="Times New Roman" w:cs="Times New Roman"/>
          <w:b/>
          <w:sz w:val="24"/>
          <w:szCs w:val="24"/>
        </w:rPr>
      </w:pPr>
      <w:r w:rsidRPr="000A53D3">
        <w:rPr>
          <w:rFonts w:ascii="Times New Roman" w:hAnsi="Times New Roman" w:cs="Times New Roman"/>
          <w:b/>
          <w:sz w:val="24"/>
          <w:szCs w:val="24"/>
        </w:rPr>
        <w:t>¿Hijos del rigor? Las exigencias sanitarias y ambientales al comercio</w:t>
      </w:r>
    </w:p>
    <w:p w:rsidR="009813EA" w:rsidRPr="000A53D3" w:rsidRDefault="009813EA" w:rsidP="00AC722C">
      <w:pPr>
        <w:pStyle w:val="Normal1"/>
        <w:spacing w:after="80"/>
        <w:jc w:val="center"/>
        <w:rPr>
          <w:rFonts w:ascii="Times New Roman" w:hAnsi="Times New Roman" w:cs="Times New Roman"/>
          <w:b/>
          <w:sz w:val="24"/>
          <w:szCs w:val="24"/>
        </w:rPr>
      </w:pPr>
      <w:r w:rsidRPr="000A53D3">
        <w:rPr>
          <w:rFonts w:ascii="Times New Roman" w:hAnsi="Times New Roman" w:cs="Times New Roman"/>
          <w:b/>
          <w:sz w:val="24"/>
          <w:szCs w:val="24"/>
        </w:rPr>
        <w:t xml:space="preserve"> </w:t>
      </w:r>
      <w:proofErr w:type="gramStart"/>
      <w:r w:rsidRPr="000A53D3">
        <w:rPr>
          <w:rFonts w:ascii="Times New Roman" w:hAnsi="Times New Roman" w:cs="Times New Roman"/>
          <w:b/>
          <w:sz w:val="24"/>
          <w:szCs w:val="24"/>
        </w:rPr>
        <w:t>y</w:t>
      </w:r>
      <w:proofErr w:type="gramEnd"/>
      <w:r w:rsidRPr="000A53D3">
        <w:rPr>
          <w:rFonts w:ascii="Times New Roman" w:hAnsi="Times New Roman" w:cs="Times New Roman"/>
          <w:b/>
          <w:sz w:val="24"/>
          <w:szCs w:val="24"/>
        </w:rPr>
        <w:t xml:space="preserve"> el desempeño de las empresas exportadoras de infusiones de América Latina</w:t>
      </w:r>
    </w:p>
    <w:p w:rsidR="009813EA" w:rsidRPr="000A53D3" w:rsidRDefault="009813EA" w:rsidP="00AC722C">
      <w:pPr>
        <w:pStyle w:val="Normal1"/>
        <w:spacing w:after="80"/>
        <w:jc w:val="center"/>
        <w:rPr>
          <w:rFonts w:ascii="Times New Roman" w:hAnsi="Times New Roman" w:cs="Times New Roman"/>
          <w:sz w:val="24"/>
          <w:szCs w:val="24"/>
        </w:rPr>
      </w:pPr>
      <w:r w:rsidRPr="000A53D3">
        <w:rPr>
          <w:rFonts w:ascii="Times New Roman" w:hAnsi="Times New Roman" w:cs="Times New Roman"/>
          <w:sz w:val="24"/>
          <w:szCs w:val="24"/>
        </w:rPr>
        <w:t xml:space="preserve"> </w:t>
      </w:r>
    </w:p>
    <w:p w:rsidR="009813EA" w:rsidRPr="000A53D3" w:rsidRDefault="009813EA" w:rsidP="00AC722C">
      <w:pPr>
        <w:pStyle w:val="Normal1"/>
        <w:spacing w:after="80"/>
        <w:jc w:val="center"/>
        <w:rPr>
          <w:rFonts w:ascii="Times New Roman" w:hAnsi="Times New Roman" w:cs="Times New Roman"/>
          <w:sz w:val="24"/>
          <w:szCs w:val="24"/>
          <w:vertAlign w:val="superscript"/>
        </w:rPr>
      </w:pPr>
      <w:r w:rsidRPr="000A53D3">
        <w:rPr>
          <w:rFonts w:ascii="Times New Roman" w:hAnsi="Times New Roman" w:cs="Times New Roman"/>
          <w:sz w:val="24"/>
          <w:szCs w:val="24"/>
        </w:rPr>
        <w:t>María Esther Kim</w:t>
      </w:r>
      <w:r w:rsidRPr="000A53D3">
        <w:rPr>
          <w:rFonts w:ascii="Times New Roman" w:hAnsi="Times New Roman" w:cs="Times New Roman"/>
          <w:sz w:val="24"/>
          <w:szCs w:val="24"/>
          <w:vertAlign w:val="superscript"/>
        </w:rPr>
        <w:t>1</w:t>
      </w:r>
      <w:r w:rsidRPr="000A53D3">
        <w:rPr>
          <w:rFonts w:ascii="Times New Roman" w:hAnsi="Times New Roman" w:cs="Times New Roman"/>
          <w:sz w:val="24"/>
          <w:szCs w:val="24"/>
        </w:rPr>
        <w:t>y Carlos Galperín</w:t>
      </w:r>
      <w:r w:rsidRPr="000A53D3">
        <w:rPr>
          <w:rFonts w:ascii="Times New Roman" w:hAnsi="Times New Roman" w:cs="Times New Roman"/>
          <w:sz w:val="24"/>
          <w:szCs w:val="24"/>
          <w:vertAlign w:val="superscript"/>
        </w:rPr>
        <w:t>2</w:t>
      </w:r>
    </w:p>
    <w:p w:rsidR="009813EA" w:rsidRPr="000A53D3" w:rsidRDefault="009813EA" w:rsidP="00AC722C">
      <w:pPr>
        <w:pStyle w:val="Normal1"/>
        <w:spacing w:after="80"/>
        <w:jc w:val="center"/>
        <w:rPr>
          <w:rFonts w:ascii="Times New Roman" w:hAnsi="Times New Roman" w:cs="Times New Roman"/>
          <w:sz w:val="24"/>
          <w:szCs w:val="24"/>
        </w:rPr>
      </w:pPr>
      <w:r w:rsidRPr="000A53D3">
        <w:rPr>
          <w:rFonts w:ascii="Times New Roman" w:hAnsi="Times New Roman" w:cs="Times New Roman"/>
          <w:i/>
          <w:color w:val="800080"/>
          <w:sz w:val="24"/>
          <w:szCs w:val="24"/>
        </w:rPr>
        <w:t>kim.mariaa@gmail.com</w:t>
      </w:r>
      <w:r w:rsidRPr="000A53D3">
        <w:rPr>
          <w:rFonts w:ascii="Times New Roman" w:hAnsi="Times New Roman" w:cs="Times New Roman"/>
          <w:sz w:val="24"/>
          <w:szCs w:val="24"/>
        </w:rPr>
        <w:t xml:space="preserve">, </w:t>
      </w:r>
      <w:r w:rsidRPr="000A53D3">
        <w:rPr>
          <w:rFonts w:ascii="Times New Roman" w:hAnsi="Times New Roman" w:cs="Times New Roman"/>
          <w:i/>
          <w:color w:val="800080"/>
          <w:sz w:val="24"/>
          <w:szCs w:val="24"/>
        </w:rPr>
        <w:t>cgalpe@yahoo.com</w:t>
      </w:r>
      <w:r w:rsidRPr="000A53D3">
        <w:rPr>
          <w:rFonts w:ascii="Times New Roman" w:hAnsi="Times New Roman" w:cs="Times New Roman"/>
          <w:sz w:val="24"/>
          <w:szCs w:val="24"/>
        </w:rPr>
        <w:t>,</w:t>
      </w:r>
    </w:p>
    <w:p w:rsidR="009813EA" w:rsidRPr="000A53D3" w:rsidRDefault="009813EA" w:rsidP="00AC722C">
      <w:pPr>
        <w:pStyle w:val="Normal1"/>
        <w:spacing w:after="80"/>
        <w:jc w:val="center"/>
        <w:rPr>
          <w:rFonts w:ascii="Times New Roman" w:hAnsi="Times New Roman" w:cs="Times New Roman"/>
          <w:sz w:val="24"/>
          <w:szCs w:val="24"/>
        </w:rPr>
      </w:pPr>
      <w:r w:rsidRPr="000A53D3">
        <w:rPr>
          <w:rFonts w:ascii="Times New Roman" w:hAnsi="Times New Roman" w:cs="Times New Roman"/>
          <w:sz w:val="24"/>
          <w:szCs w:val="24"/>
        </w:rPr>
        <w:t>1. Universidad de Buenos Aires; 2. Centro de Economía Internacional</w:t>
      </w:r>
    </w:p>
    <w:p w:rsidR="009813EA" w:rsidRPr="000A53D3" w:rsidRDefault="009813EA" w:rsidP="00AC722C">
      <w:pPr>
        <w:pStyle w:val="Normal1"/>
        <w:spacing w:after="80"/>
        <w:jc w:val="center"/>
        <w:rPr>
          <w:rFonts w:ascii="Times New Roman" w:hAnsi="Times New Roman" w:cs="Times New Roman"/>
          <w:sz w:val="24"/>
          <w:szCs w:val="24"/>
        </w:rPr>
      </w:pPr>
      <w:r>
        <w:rPr>
          <w:rFonts w:ascii="Times New Roman" w:hAnsi="Times New Roman" w:cs="Times New Roman"/>
          <w:sz w:val="24"/>
          <w:szCs w:val="24"/>
        </w:rPr>
        <w:t>Eje temático: 12. Mercados y comercialización</w:t>
      </w:r>
    </w:p>
    <w:p w:rsidR="009813EA" w:rsidRDefault="009813EA" w:rsidP="00AC722C">
      <w:pPr>
        <w:pStyle w:val="Normal1"/>
        <w:spacing w:after="80"/>
        <w:jc w:val="both"/>
        <w:rPr>
          <w:rFonts w:ascii="Calibri" w:hAnsi="Calibri" w:cs="Calibri"/>
        </w:rPr>
      </w:pPr>
    </w:p>
    <w:p w:rsidR="009813EA" w:rsidRPr="00F75BE9" w:rsidRDefault="009813EA" w:rsidP="00AC722C">
      <w:pPr>
        <w:pStyle w:val="Normal1"/>
        <w:spacing w:after="80" w:line="360" w:lineRule="auto"/>
        <w:jc w:val="both"/>
        <w:rPr>
          <w:rFonts w:ascii="Times New Roman" w:hAnsi="Times New Roman" w:cs="Times New Roman"/>
          <w:b/>
          <w:sz w:val="24"/>
          <w:szCs w:val="24"/>
        </w:rPr>
      </w:pPr>
      <w:r w:rsidRPr="00F75BE9">
        <w:rPr>
          <w:rFonts w:ascii="Times New Roman" w:hAnsi="Times New Roman" w:cs="Times New Roman"/>
          <w:b/>
        </w:rPr>
        <w:t>I</w:t>
      </w:r>
      <w:r w:rsidRPr="00F75BE9">
        <w:rPr>
          <w:rFonts w:ascii="Times New Roman" w:hAnsi="Times New Roman" w:cs="Times New Roman"/>
          <w:b/>
          <w:sz w:val="24"/>
          <w:szCs w:val="24"/>
        </w:rPr>
        <w:t xml:space="preserve">. Introducción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últimos años se han profundizado los debates sobre las consecuencias de la aplicación de las medidas no arancelarias relacionadas con el cuidado sanitario y la protección ambiental sobre las exportaciones de los países en desarrollo (PED) a los países desarrollados (PD). Aun cuando el objetivo declarado de estas medidas es proteger la salud de las personas, plantas, animales y cuidar el ambiente, también suelen utilizarse para restringir el comercio </w:t>
      </w:r>
      <w:r w:rsidRPr="001A60CF">
        <w:rPr>
          <w:rFonts w:ascii="Times New Roman" w:hAnsi="Times New Roman" w:cs="Times New Roman"/>
          <w:sz w:val="24"/>
          <w:szCs w:val="24"/>
        </w:rPr>
        <w:t xml:space="preserve">(OECD, 2003; </w:t>
      </w:r>
      <w:proofErr w:type="spellStart"/>
      <w:r w:rsidRPr="001A60CF">
        <w:rPr>
          <w:rFonts w:ascii="Times New Roman" w:hAnsi="Times New Roman" w:cs="Times New Roman"/>
          <w:sz w:val="24"/>
          <w:szCs w:val="24"/>
        </w:rPr>
        <w:t>Josling</w:t>
      </w:r>
      <w:proofErr w:type="spellEnd"/>
      <w:r w:rsidRPr="001A60CF">
        <w:rPr>
          <w:rFonts w:ascii="Times New Roman" w:hAnsi="Times New Roman" w:cs="Times New Roman"/>
          <w:sz w:val="24"/>
          <w:szCs w:val="24"/>
        </w:rPr>
        <w:t>, Roberts y Orden, 2004).</w:t>
      </w:r>
      <w:r>
        <w:rPr>
          <w:rFonts w:ascii="Times New Roman" w:hAnsi="Times New Roman" w:cs="Times New Roman"/>
          <w:sz w:val="24"/>
          <w:szCs w:val="24"/>
        </w:rPr>
        <w:t xml:space="preserve"> En particular, afectan en mayor medida a las exportaciones de los países en desarrollo debido a la falta de infraestructura y capacidades técnicas para cumplir con medidas cada vez más exigentes referidas tanto al producto como al proceso productivo (</w:t>
      </w:r>
      <w:r w:rsidRPr="001A60CF">
        <w:rPr>
          <w:rFonts w:ascii="Times New Roman" w:hAnsi="Times New Roman" w:cs="Times New Roman"/>
          <w:sz w:val="24"/>
          <w:szCs w:val="24"/>
        </w:rPr>
        <w:t xml:space="preserve">OECD, 2003; </w:t>
      </w:r>
      <w:proofErr w:type="spellStart"/>
      <w:r w:rsidRPr="001A60CF">
        <w:rPr>
          <w:rFonts w:ascii="Times New Roman" w:hAnsi="Times New Roman" w:cs="Times New Roman"/>
          <w:sz w:val="24"/>
          <w:szCs w:val="24"/>
        </w:rPr>
        <w:t>World</w:t>
      </w:r>
      <w:proofErr w:type="spellEnd"/>
      <w:r w:rsidRPr="001A60CF">
        <w:rPr>
          <w:rFonts w:ascii="Times New Roman" w:hAnsi="Times New Roman" w:cs="Times New Roman"/>
          <w:sz w:val="24"/>
          <w:szCs w:val="24"/>
        </w:rPr>
        <w:t xml:space="preserve"> Bank, 2005</w:t>
      </w:r>
      <w:r>
        <w:rPr>
          <w:rFonts w:ascii="Times New Roman" w:hAnsi="Times New Roman" w:cs="Times New Roman"/>
          <w:sz w:val="24"/>
          <w:szCs w:val="24"/>
        </w:rPr>
        <w:t>).</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se analiza el impacto de estas medidas, a la visión tradicional de que pueden perjudicar a los productores de los países exportadores, se le contrapusieron otras perspectivas que sostienen que, a largo plazo, su efecto puede ser beneficioso para los exportadores. Así, en los últimos 20 años se ha dado un debate teórico entre los sostenedores de diferentes visiones sobre esta cuestión y se desarrolló abundante evidencia empírica sobre estos efectos.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Los trabajos se pueden agrupar en dos grandes categorías según el enfoque que adoptan. Por un lado, un conjunto de trabajos que se pregunta si las medidas sanitarias y técnicas que se aplican sobre los productos agrícolas se pueden considerar como barreras o como catalizadores del comercio (</w:t>
      </w:r>
      <w:proofErr w:type="spellStart"/>
      <w:r w:rsidRPr="000333C1">
        <w:rPr>
          <w:rFonts w:ascii="Times New Roman" w:hAnsi="Times New Roman" w:cs="Times New Roman"/>
          <w:sz w:val="24"/>
          <w:szCs w:val="24"/>
        </w:rPr>
        <w:t>Maertens</w:t>
      </w:r>
      <w:proofErr w:type="spellEnd"/>
      <w:r w:rsidRPr="000333C1">
        <w:rPr>
          <w:rFonts w:ascii="Times New Roman" w:hAnsi="Times New Roman" w:cs="Times New Roman"/>
          <w:sz w:val="24"/>
          <w:szCs w:val="24"/>
        </w:rPr>
        <w:t xml:space="preserve"> y </w:t>
      </w:r>
      <w:proofErr w:type="spellStart"/>
      <w:r w:rsidRPr="000333C1">
        <w:rPr>
          <w:rFonts w:ascii="Times New Roman" w:hAnsi="Times New Roman" w:cs="Times New Roman"/>
          <w:sz w:val="24"/>
          <w:szCs w:val="24"/>
        </w:rPr>
        <w:t>Swinnen</w:t>
      </w:r>
      <w:proofErr w:type="spellEnd"/>
      <w:r w:rsidRPr="000333C1">
        <w:rPr>
          <w:rFonts w:ascii="Times New Roman" w:hAnsi="Times New Roman" w:cs="Times New Roman"/>
          <w:sz w:val="24"/>
          <w:szCs w:val="24"/>
        </w:rPr>
        <w:t xml:space="preserve">, 2008; </w:t>
      </w:r>
      <w:proofErr w:type="spellStart"/>
      <w:r w:rsidRPr="000333C1">
        <w:rPr>
          <w:rFonts w:ascii="Times New Roman" w:hAnsi="Times New Roman" w:cs="Times New Roman"/>
          <w:sz w:val="24"/>
          <w:szCs w:val="24"/>
        </w:rPr>
        <w:t>Swinnen</w:t>
      </w:r>
      <w:proofErr w:type="spellEnd"/>
      <w:r w:rsidRPr="000333C1">
        <w:rPr>
          <w:rFonts w:ascii="Times New Roman" w:hAnsi="Times New Roman" w:cs="Times New Roman"/>
          <w:sz w:val="24"/>
          <w:szCs w:val="24"/>
        </w:rPr>
        <w:t>, 2017).</w:t>
      </w:r>
      <w:r>
        <w:rPr>
          <w:rFonts w:ascii="Times New Roman" w:hAnsi="Times New Roman" w:cs="Times New Roman"/>
          <w:sz w:val="24"/>
          <w:szCs w:val="24"/>
        </w:rPr>
        <w:t xml:space="preserve"> Por el otro, trabajos que analizan el impacto de la política ambiental sobre la </w:t>
      </w:r>
      <w:r w:rsidRPr="000333C1">
        <w:rPr>
          <w:rFonts w:ascii="Times New Roman" w:hAnsi="Times New Roman" w:cs="Times New Roman"/>
          <w:sz w:val="24"/>
          <w:szCs w:val="24"/>
        </w:rPr>
        <w:t xml:space="preserve">productividad, la producción y la exportación de los sectores involucrados (Cohen y </w:t>
      </w:r>
      <w:proofErr w:type="spellStart"/>
      <w:r w:rsidRPr="000333C1">
        <w:rPr>
          <w:rFonts w:ascii="Times New Roman" w:hAnsi="Times New Roman" w:cs="Times New Roman"/>
          <w:sz w:val="24"/>
          <w:szCs w:val="24"/>
        </w:rPr>
        <w:t>Tubb</w:t>
      </w:r>
      <w:proofErr w:type="spellEnd"/>
      <w:r w:rsidRPr="000333C1">
        <w:rPr>
          <w:rFonts w:ascii="Times New Roman" w:hAnsi="Times New Roman" w:cs="Times New Roman"/>
          <w:sz w:val="24"/>
          <w:szCs w:val="24"/>
        </w:rPr>
        <w:t xml:space="preserve">, 2018; </w:t>
      </w:r>
      <w:proofErr w:type="spellStart"/>
      <w:r w:rsidRPr="000333C1">
        <w:rPr>
          <w:rFonts w:ascii="Times New Roman" w:hAnsi="Times New Roman" w:cs="Times New Roman"/>
          <w:sz w:val="24"/>
          <w:szCs w:val="24"/>
        </w:rPr>
        <w:t>Koźluk</w:t>
      </w:r>
      <w:proofErr w:type="spellEnd"/>
      <w:r w:rsidRPr="000333C1">
        <w:rPr>
          <w:rFonts w:ascii="Times New Roman" w:hAnsi="Times New Roman" w:cs="Times New Roman"/>
          <w:sz w:val="24"/>
          <w:szCs w:val="24"/>
        </w:rPr>
        <w:t xml:space="preserve"> y </w:t>
      </w:r>
      <w:proofErr w:type="spellStart"/>
      <w:r w:rsidRPr="000333C1">
        <w:rPr>
          <w:rFonts w:ascii="Times New Roman" w:hAnsi="Times New Roman" w:cs="Times New Roman"/>
          <w:sz w:val="24"/>
          <w:szCs w:val="24"/>
        </w:rPr>
        <w:t>Zipperer</w:t>
      </w:r>
      <w:proofErr w:type="spellEnd"/>
      <w:r w:rsidRPr="000333C1">
        <w:rPr>
          <w:rFonts w:ascii="Times New Roman" w:hAnsi="Times New Roman" w:cs="Times New Roman"/>
          <w:sz w:val="24"/>
          <w:szCs w:val="24"/>
        </w:rPr>
        <w:t>, 2015</w:t>
      </w:r>
      <w:r>
        <w:rPr>
          <w:rFonts w:ascii="Times New Roman" w:hAnsi="Times New Roman" w:cs="Times New Roman"/>
          <w:sz w:val="24"/>
          <w:szCs w:val="24"/>
        </w:rPr>
        <w:t xml:space="preserve">), trabajos que son consecuencia del debate sobre la hipótesis que al respecto planteó Michael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 xml:space="preserve"> en la primera mitad de la década de 1990 (</w:t>
      </w:r>
      <w:proofErr w:type="spellStart"/>
      <w:r w:rsidRPr="000333C1">
        <w:rPr>
          <w:rFonts w:ascii="Times New Roman" w:hAnsi="Times New Roman" w:cs="Times New Roman"/>
          <w:sz w:val="24"/>
          <w:szCs w:val="24"/>
        </w:rPr>
        <w:t>Porter</w:t>
      </w:r>
      <w:proofErr w:type="spellEnd"/>
      <w:r w:rsidRPr="000333C1">
        <w:rPr>
          <w:rFonts w:ascii="Times New Roman" w:hAnsi="Times New Roman" w:cs="Times New Roman"/>
          <w:sz w:val="24"/>
          <w:szCs w:val="24"/>
        </w:rPr>
        <w:t xml:space="preserve"> y van der Linde, 1995</w:t>
      </w:r>
      <w:r>
        <w:rPr>
          <w:rFonts w:ascii="Times New Roman" w:hAnsi="Times New Roman" w:cs="Times New Roman"/>
          <w:sz w:val="24"/>
          <w:szCs w:val="24"/>
        </w:rPr>
        <w:t>).</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del presente trabajo es analizar el impacto de las medidas sanitarias y ambientales de </w:t>
      </w:r>
      <w:smartTag w:uri="urn:schemas-microsoft-com:office:smarttags" w:element="PersonName">
        <w:smartTagPr>
          <w:attr w:name="ProductID" w:val="la Uni￳n Europea"/>
        </w:smartTagPr>
        <w:r>
          <w:rPr>
            <w:rFonts w:ascii="Times New Roman" w:hAnsi="Times New Roman" w:cs="Times New Roman"/>
            <w:sz w:val="24"/>
            <w:szCs w:val="24"/>
          </w:rPr>
          <w:t>la Unión Europea</w:t>
        </w:r>
      </w:smartTag>
      <w:r>
        <w:rPr>
          <w:rFonts w:ascii="Times New Roman" w:hAnsi="Times New Roman" w:cs="Times New Roman"/>
          <w:sz w:val="24"/>
          <w:szCs w:val="24"/>
        </w:rPr>
        <w:t xml:space="preserve"> (UE) sobre las empresas exportadoras de café, té y yerba mate de </w:t>
      </w:r>
      <w:r>
        <w:rPr>
          <w:rFonts w:ascii="Times New Roman" w:hAnsi="Times New Roman" w:cs="Times New Roman"/>
          <w:sz w:val="24"/>
          <w:szCs w:val="24"/>
        </w:rPr>
        <w:lastRenderedPageBreak/>
        <w:t xml:space="preserve">América Latina. Se eligió a </w:t>
      </w:r>
      <w:smartTag w:uri="urn:schemas-microsoft-com:office:smarttags" w:element="PersonName">
        <w:smartTagPr>
          <w:attr w:name="ProductID" w:val="la UE"/>
        </w:smartTagPr>
        <w:smartTag w:uri="urn:schemas-microsoft-com:office:smarttags" w:element="PersonName">
          <w:smartTagPr>
            <w:attr w:name="ProductID" w:val="la UE"/>
          </w:smartTagPr>
          <w:r>
            <w:rPr>
              <w:rFonts w:ascii="Times New Roman" w:hAnsi="Times New Roman" w:cs="Times New Roman"/>
              <w:sz w:val="24"/>
              <w:szCs w:val="24"/>
            </w:rPr>
            <w:t>l</w:t>
          </w:r>
        </w:smartTag>
        <w:r>
          <w:rPr>
            <w:rFonts w:ascii="Times New Roman" w:hAnsi="Times New Roman" w:cs="Times New Roman"/>
            <w:sz w:val="24"/>
            <w:szCs w:val="24"/>
          </w:rPr>
          <w:t>a UE</w:t>
        </w:r>
      </w:smartTag>
      <w:r>
        <w:rPr>
          <w:rFonts w:ascii="Times New Roman" w:hAnsi="Times New Roman" w:cs="Times New Roman"/>
          <w:sz w:val="24"/>
          <w:szCs w:val="24"/>
        </w:rPr>
        <w:t xml:space="preserve"> por dos motivos: i. es un gran importador de las tres infusiones; y ii.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un mercado con requisitos de acceso muy exigentes en lo que respecta a medidas sanitarias y ambientales.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Este análisis tiene dos características distintas de las habituales para este tipo de trabajos: primera, se beneficia de las conclusiones de las dos perspectivas mencionadas –porque se considera que son complementarias–, cuando lo usual es enmarcarse en una de las dos; segunda, utiliza a la encuesta a empresas como recurso metodológico, complementada con entrevistas a expertos del sector, cuando lo más frecuente es recolectar datos y analizarlos mediante un método econométrico. Este método se recomienda para poder “capturar” aspectos cualitativos de las decisiones empresarias, como ser la actitud y las expectativas ante las medidas sanitarias y ambientales, elementos que no se aprecian en un enfoque econométrico (</w:t>
      </w:r>
      <w:proofErr w:type="spellStart"/>
      <w:r w:rsidRPr="00DF00EE">
        <w:rPr>
          <w:rFonts w:ascii="Times New Roman" w:hAnsi="Times New Roman" w:cs="Times New Roman"/>
          <w:sz w:val="24"/>
          <w:szCs w:val="24"/>
        </w:rPr>
        <w:t>Kemp</w:t>
      </w:r>
      <w:proofErr w:type="spellEnd"/>
      <w:r w:rsidRPr="00DF00EE">
        <w:rPr>
          <w:rFonts w:ascii="Times New Roman" w:hAnsi="Times New Roman" w:cs="Times New Roman"/>
          <w:sz w:val="24"/>
          <w:szCs w:val="24"/>
        </w:rPr>
        <w:t xml:space="preserve"> y </w:t>
      </w:r>
      <w:proofErr w:type="spellStart"/>
      <w:r w:rsidRPr="00DF00EE">
        <w:rPr>
          <w:rFonts w:ascii="Times New Roman" w:hAnsi="Times New Roman" w:cs="Times New Roman"/>
          <w:sz w:val="24"/>
          <w:szCs w:val="24"/>
        </w:rPr>
        <w:t>Pontoglio</w:t>
      </w:r>
      <w:proofErr w:type="spellEnd"/>
      <w:r w:rsidRPr="00DF00EE">
        <w:rPr>
          <w:rFonts w:ascii="Times New Roman" w:hAnsi="Times New Roman" w:cs="Times New Roman"/>
          <w:sz w:val="24"/>
          <w:szCs w:val="24"/>
        </w:rPr>
        <w:t>, 2011).</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La estructura del trabajo es la siguiente: en la segunda sección se describen las medidas no arancelarias aplicadas por </w:t>
      </w:r>
      <w:smartTag w:uri="urn:schemas-microsoft-com:office:smarttags" w:element="PersonName">
        <w:smartTagPr>
          <w:attr w:name="ProductID" w:val="la UE"/>
        </w:smartTagPr>
        <w:r>
          <w:rPr>
            <w:rFonts w:ascii="Times New Roman" w:hAnsi="Times New Roman" w:cs="Times New Roman"/>
            <w:sz w:val="24"/>
            <w:szCs w:val="24"/>
          </w:rPr>
          <w:t>la UE</w:t>
        </w:r>
      </w:smartTag>
      <w:r>
        <w:rPr>
          <w:rFonts w:ascii="Times New Roman" w:hAnsi="Times New Roman" w:cs="Times New Roman"/>
          <w:sz w:val="24"/>
          <w:szCs w:val="24"/>
        </w:rPr>
        <w:t xml:space="preserve"> a la importación de estas infusiones; en la tercera se resume el debate teórico y la evidencia empírica sobre el impacto de estas medidas; en la cuarta se presenta el impacto sobre las empresas exportadoras de América Latina aplicando las herramientas analíticas descriptas en las dos secciones anteriores; y en la quinta se presentan las principales conclusiones del trabajo. </w:t>
      </w:r>
    </w:p>
    <w:p w:rsidR="009813EA" w:rsidRDefault="009813EA" w:rsidP="00AC722C">
      <w:pPr>
        <w:pStyle w:val="Normal1"/>
        <w:spacing w:after="8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Medidas aplicadas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Los alimentos ya listos para consumir –como las infusiones–y que más se importan suelen estar sujetos a mayor cantidad de medidas regulatorias –intensidad regulatoria– (</w:t>
      </w:r>
      <w:proofErr w:type="spellStart"/>
      <w:r>
        <w:rPr>
          <w:rFonts w:ascii="Times New Roman" w:hAnsi="Times New Roman" w:cs="Times New Roman"/>
          <w:sz w:val="24"/>
          <w:szCs w:val="24"/>
        </w:rPr>
        <w:t>Murina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Nicita</w:t>
      </w:r>
      <w:proofErr w:type="spellEnd"/>
      <w:r>
        <w:rPr>
          <w:rFonts w:ascii="Times New Roman" w:hAnsi="Times New Roman" w:cs="Times New Roman"/>
          <w:sz w:val="24"/>
          <w:szCs w:val="24"/>
        </w:rPr>
        <w:t>, 2015). Las medidas referidas al acceso a un mercado pueden clasificarse según dos criterios que, al combinarse, dan lugar a cuatro categorías (</w:t>
      </w:r>
      <w:proofErr w:type="spellStart"/>
      <w:r w:rsidRPr="00DF00EE">
        <w:rPr>
          <w:rFonts w:ascii="Times New Roman" w:hAnsi="Times New Roman" w:cs="Times New Roman"/>
          <w:sz w:val="24"/>
          <w:szCs w:val="24"/>
        </w:rPr>
        <w:t>Galperín</w:t>
      </w:r>
      <w:proofErr w:type="spellEnd"/>
      <w:r w:rsidRPr="00DF00EE">
        <w:rPr>
          <w:rFonts w:ascii="Times New Roman" w:hAnsi="Times New Roman" w:cs="Times New Roman"/>
          <w:sz w:val="24"/>
          <w:szCs w:val="24"/>
        </w:rPr>
        <w:t xml:space="preserve"> y </w:t>
      </w:r>
      <w:proofErr w:type="spellStart"/>
      <w:r w:rsidRPr="00DF00EE">
        <w:rPr>
          <w:rFonts w:ascii="Times New Roman" w:hAnsi="Times New Roman" w:cs="Times New Roman"/>
          <w:sz w:val="24"/>
          <w:szCs w:val="24"/>
        </w:rPr>
        <w:t>Perez</w:t>
      </w:r>
      <w:proofErr w:type="spellEnd"/>
      <w:r>
        <w:rPr>
          <w:rFonts w:ascii="Times New Roman" w:hAnsi="Times New Roman" w:cs="Times New Roman"/>
          <w:sz w:val="24"/>
          <w:szCs w:val="24"/>
        </w:rPr>
        <w:t xml:space="preserve">, 2004). El primer criterio las divide en obligatorias y voluntarias, mientras el segundo las divide en las que apuntan a las características del producto o del proceso productivo (Cuadro 1). </w:t>
      </w:r>
    </w:p>
    <w:p w:rsidR="009813EA" w:rsidRPr="000A53D3" w:rsidRDefault="009813EA" w:rsidP="00AC722C">
      <w:pPr>
        <w:pStyle w:val="Normal1"/>
        <w:spacing w:after="80" w:line="360" w:lineRule="auto"/>
        <w:jc w:val="center"/>
        <w:rPr>
          <w:rFonts w:ascii="Times New Roman" w:hAnsi="Times New Roman" w:cs="Times New Roman"/>
          <w:b/>
        </w:rPr>
      </w:pPr>
      <w:r w:rsidRPr="000A53D3">
        <w:rPr>
          <w:rFonts w:ascii="Times New Roman" w:hAnsi="Times New Roman" w:cs="Times New Roman"/>
          <w:b/>
        </w:rPr>
        <w:t>Cuadro 1</w:t>
      </w:r>
    </w:p>
    <w:p w:rsidR="009813EA" w:rsidRPr="000A53D3" w:rsidRDefault="009813EA" w:rsidP="00AC722C">
      <w:pPr>
        <w:pStyle w:val="Normal1"/>
        <w:spacing w:after="80" w:line="360" w:lineRule="auto"/>
        <w:jc w:val="center"/>
        <w:rPr>
          <w:rFonts w:ascii="Times New Roman" w:hAnsi="Times New Roman" w:cs="Times New Roman"/>
          <w:b/>
        </w:rPr>
      </w:pPr>
      <w:r w:rsidRPr="000A53D3">
        <w:rPr>
          <w:rFonts w:ascii="Times New Roman" w:hAnsi="Times New Roman" w:cs="Times New Roman"/>
          <w:b/>
        </w:rPr>
        <w:t>Medidas de acceso a</w:t>
      </w:r>
      <w:r>
        <w:rPr>
          <w:rFonts w:ascii="Times New Roman" w:hAnsi="Times New Roman" w:cs="Times New Roman"/>
          <w:b/>
        </w:rPr>
        <w:t>l</w:t>
      </w:r>
      <w:r w:rsidRPr="000A53D3">
        <w:rPr>
          <w:rFonts w:ascii="Times New Roman" w:hAnsi="Times New Roman" w:cs="Times New Roman"/>
          <w:b/>
        </w:rPr>
        <w:t xml:space="preserve"> mercado</w:t>
      </w:r>
      <w:r>
        <w:rPr>
          <w:rFonts w:ascii="Times New Roman" w:hAnsi="Times New Roman" w:cs="Times New Roman"/>
          <w:b/>
        </w:rPr>
        <w:t xml:space="preserve"> de infusiones de </w:t>
      </w:r>
      <w:smartTag w:uri="urn:schemas-microsoft-com:office:smarttags" w:element="PersonName">
        <w:smartTagPr>
          <w:attr w:name="ProductID" w:val="la UE"/>
        </w:smartTagPr>
        <w:r>
          <w:rPr>
            <w:rFonts w:ascii="Times New Roman" w:hAnsi="Times New Roman" w:cs="Times New Roman"/>
            <w:b/>
          </w:rPr>
          <w:t>la UE</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61"/>
      </w:tblGrid>
      <w:tr w:rsidR="009813EA" w:rsidRPr="00CD1A01" w:rsidTr="004D211E">
        <w:tc>
          <w:tcPr>
            <w:tcW w:w="2088" w:type="dxa"/>
          </w:tcPr>
          <w:p w:rsidR="009813EA" w:rsidRDefault="009813EA" w:rsidP="002F6F20">
            <w:pPr>
              <w:pStyle w:val="Normal1"/>
              <w:spacing w:after="80" w:line="240" w:lineRule="auto"/>
              <w:jc w:val="both"/>
              <w:rPr>
                <w:rFonts w:ascii="Times New Roman" w:hAnsi="Times New Roman" w:cs="Times New Roman"/>
              </w:rPr>
            </w:pPr>
          </w:p>
        </w:tc>
        <w:tc>
          <w:tcPr>
            <w:tcW w:w="3420" w:type="dxa"/>
          </w:tcPr>
          <w:p w:rsidR="009813EA" w:rsidRPr="004D211E" w:rsidRDefault="009813EA" w:rsidP="00AC722C">
            <w:pPr>
              <w:pStyle w:val="Normal1"/>
              <w:spacing w:after="80" w:line="240" w:lineRule="auto"/>
              <w:jc w:val="both"/>
              <w:rPr>
                <w:rFonts w:ascii="Times New Roman" w:hAnsi="Times New Roman" w:cs="Times New Roman"/>
                <w:b/>
              </w:rPr>
            </w:pPr>
            <w:r w:rsidRPr="004D211E">
              <w:rPr>
                <w:rFonts w:ascii="Times New Roman" w:hAnsi="Times New Roman" w:cs="Times New Roman"/>
                <w:b/>
                <w:szCs w:val="20"/>
              </w:rPr>
              <w:t>Obligatorio</w:t>
            </w:r>
          </w:p>
        </w:tc>
        <w:tc>
          <w:tcPr>
            <w:tcW w:w="3661" w:type="dxa"/>
          </w:tcPr>
          <w:p w:rsidR="009813EA" w:rsidRPr="004D211E" w:rsidRDefault="009813EA" w:rsidP="00AC722C">
            <w:pPr>
              <w:pStyle w:val="Normal1"/>
              <w:spacing w:after="80" w:line="240" w:lineRule="auto"/>
              <w:jc w:val="both"/>
              <w:rPr>
                <w:rFonts w:ascii="Times New Roman" w:hAnsi="Times New Roman" w:cs="Times New Roman"/>
                <w:b/>
              </w:rPr>
            </w:pPr>
            <w:r w:rsidRPr="004D211E">
              <w:rPr>
                <w:rFonts w:ascii="Times New Roman" w:hAnsi="Times New Roman" w:cs="Times New Roman"/>
                <w:b/>
                <w:szCs w:val="20"/>
              </w:rPr>
              <w:t>Voluntario</w:t>
            </w:r>
          </w:p>
        </w:tc>
      </w:tr>
      <w:tr w:rsidR="009813EA" w:rsidRPr="00CD1A01" w:rsidTr="004D211E">
        <w:tc>
          <w:tcPr>
            <w:tcW w:w="2088" w:type="dxa"/>
          </w:tcPr>
          <w:p w:rsidR="009813EA" w:rsidRPr="004D211E" w:rsidRDefault="009813EA" w:rsidP="00AC722C">
            <w:pPr>
              <w:pStyle w:val="Normal1"/>
              <w:spacing w:after="80" w:line="240" w:lineRule="auto"/>
              <w:jc w:val="both"/>
              <w:rPr>
                <w:rFonts w:ascii="Times New Roman" w:hAnsi="Times New Roman" w:cs="Times New Roman"/>
                <w:b/>
              </w:rPr>
            </w:pPr>
            <w:r w:rsidRPr="004D211E">
              <w:rPr>
                <w:rFonts w:ascii="Times New Roman" w:hAnsi="Times New Roman" w:cs="Times New Roman"/>
                <w:b/>
                <w:szCs w:val="20"/>
              </w:rPr>
              <w:t>Producto</w:t>
            </w:r>
          </w:p>
        </w:tc>
        <w:tc>
          <w:tcPr>
            <w:tcW w:w="3420" w:type="dxa"/>
          </w:tcPr>
          <w:p w:rsidR="009813EA" w:rsidRPr="004D211E" w:rsidRDefault="009813EA" w:rsidP="00AC722C">
            <w:pPr>
              <w:pStyle w:val="Normal1"/>
              <w:numPr>
                <w:ilvl w:val="0"/>
                <w:numId w:val="3"/>
              </w:numPr>
              <w:spacing w:after="80" w:line="240" w:lineRule="auto"/>
              <w:ind w:left="252" w:hanging="252"/>
              <w:jc w:val="both"/>
              <w:rPr>
                <w:rFonts w:ascii="Times New Roman" w:hAnsi="Times New Roman" w:cs="Times New Roman"/>
              </w:rPr>
            </w:pPr>
            <w:r w:rsidRPr="004D211E">
              <w:rPr>
                <w:rFonts w:ascii="Times New Roman" w:hAnsi="Times New Roman" w:cs="Times New Roman"/>
                <w:szCs w:val="20"/>
              </w:rPr>
              <w:t>Límites de contaminantes</w:t>
            </w:r>
          </w:p>
          <w:p w:rsidR="009813EA" w:rsidRPr="004D211E" w:rsidRDefault="009813EA" w:rsidP="00AC722C">
            <w:pPr>
              <w:pStyle w:val="Normal1"/>
              <w:numPr>
                <w:ilvl w:val="0"/>
                <w:numId w:val="3"/>
              </w:numPr>
              <w:spacing w:after="80" w:line="240" w:lineRule="auto"/>
              <w:ind w:left="252" w:hanging="252"/>
              <w:jc w:val="both"/>
              <w:rPr>
                <w:rFonts w:ascii="Times New Roman" w:hAnsi="Times New Roman" w:cs="Times New Roman"/>
              </w:rPr>
            </w:pPr>
            <w:r w:rsidRPr="004D211E">
              <w:rPr>
                <w:rFonts w:ascii="Times New Roman" w:hAnsi="Times New Roman" w:cs="Times New Roman"/>
                <w:szCs w:val="20"/>
              </w:rPr>
              <w:t>Límites máximos de residuos</w:t>
            </w:r>
          </w:p>
          <w:p w:rsidR="009813EA" w:rsidRPr="004D211E" w:rsidRDefault="009813EA" w:rsidP="00AC722C">
            <w:pPr>
              <w:pStyle w:val="Normal1"/>
              <w:numPr>
                <w:ilvl w:val="0"/>
                <w:numId w:val="3"/>
              </w:numPr>
              <w:spacing w:after="80" w:line="240" w:lineRule="auto"/>
              <w:ind w:left="252" w:hanging="252"/>
              <w:jc w:val="both"/>
              <w:rPr>
                <w:rFonts w:ascii="Times New Roman" w:hAnsi="Times New Roman" w:cs="Times New Roman"/>
              </w:rPr>
            </w:pPr>
            <w:r w:rsidRPr="004D211E">
              <w:rPr>
                <w:rFonts w:ascii="Times New Roman" w:hAnsi="Times New Roman" w:cs="Times New Roman"/>
                <w:szCs w:val="20"/>
              </w:rPr>
              <w:t>Inspecciones previas al embarque</w:t>
            </w:r>
          </w:p>
          <w:p w:rsidR="009813EA" w:rsidRPr="004D211E" w:rsidRDefault="009813EA" w:rsidP="00AC722C">
            <w:pPr>
              <w:pStyle w:val="Normal1"/>
              <w:numPr>
                <w:ilvl w:val="0"/>
                <w:numId w:val="3"/>
              </w:numPr>
              <w:spacing w:after="80" w:line="240" w:lineRule="auto"/>
              <w:ind w:left="252" w:hanging="252"/>
              <w:jc w:val="both"/>
              <w:rPr>
                <w:rFonts w:ascii="Times New Roman" w:hAnsi="Times New Roman" w:cs="Times New Roman"/>
              </w:rPr>
            </w:pPr>
            <w:r w:rsidRPr="004D211E">
              <w:rPr>
                <w:rFonts w:ascii="Times New Roman" w:hAnsi="Times New Roman" w:cs="Times New Roman"/>
              </w:rPr>
              <w:t>Etiquetado</w:t>
            </w:r>
          </w:p>
        </w:tc>
        <w:tc>
          <w:tcPr>
            <w:tcW w:w="3661" w:type="dxa"/>
          </w:tcPr>
          <w:p w:rsidR="009813EA" w:rsidRPr="004D211E" w:rsidRDefault="009813EA" w:rsidP="00AC722C">
            <w:pPr>
              <w:pStyle w:val="Normal1"/>
              <w:spacing w:after="80" w:line="240" w:lineRule="auto"/>
              <w:jc w:val="both"/>
              <w:rPr>
                <w:rFonts w:ascii="Times New Roman" w:hAnsi="Times New Roman" w:cs="Times New Roman"/>
              </w:rPr>
            </w:pPr>
          </w:p>
        </w:tc>
      </w:tr>
      <w:tr w:rsidR="009813EA" w:rsidRPr="00CD1A01" w:rsidTr="004D211E">
        <w:tc>
          <w:tcPr>
            <w:tcW w:w="2088" w:type="dxa"/>
          </w:tcPr>
          <w:p w:rsidR="009813EA" w:rsidRPr="004D211E" w:rsidRDefault="009813EA" w:rsidP="00AC722C">
            <w:pPr>
              <w:pStyle w:val="Normal1"/>
              <w:spacing w:after="80" w:line="240" w:lineRule="auto"/>
              <w:jc w:val="both"/>
              <w:rPr>
                <w:rFonts w:ascii="Times New Roman" w:hAnsi="Times New Roman" w:cs="Times New Roman"/>
                <w:b/>
              </w:rPr>
            </w:pPr>
            <w:r w:rsidRPr="004D211E">
              <w:rPr>
                <w:rFonts w:ascii="Times New Roman" w:hAnsi="Times New Roman" w:cs="Times New Roman"/>
                <w:b/>
                <w:szCs w:val="20"/>
              </w:rPr>
              <w:t>Proceso productivo</w:t>
            </w:r>
          </w:p>
        </w:tc>
        <w:tc>
          <w:tcPr>
            <w:tcW w:w="3420" w:type="dxa"/>
          </w:tcPr>
          <w:p w:rsidR="009813EA" w:rsidRPr="004D211E" w:rsidRDefault="009813EA" w:rsidP="00AC722C">
            <w:pPr>
              <w:pStyle w:val="Normal1"/>
              <w:numPr>
                <w:ilvl w:val="0"/>
                <w:numId w:val="4"/>
              </w:numPr>
              <w:spacing w:after="80" w:line="240" w:lineRule="auto"/>
              <w:ind w:left="252" w:hanging="252"/>
              <w:jc w:val="both"/>
              <w:rPr>
                <w:rFonts w:ascii="Times New Roman" w:hAnsi="Times New Roman" w:cs="Times New Roman"/>
              </w:rPr>
            </w:pPr>
            <w:r w:rsidRPr="004D211E">
              <w:rPr>
                <w:rFonts w:ascii="Times New Roman" w:hAnsi="Times New Roman" w:cs="Times New Roman"/>
              </w:rPr>
              <w:t>Etiquetado</w:t>
            </w:r>
          </w:p>
          <w:p w:rsidR="009813EA" w:rsidRPr="004D211E" w:rsidRDefault="009813EA" w:rsidP="00AC722C">
            <w:pPr>
              <w:pStyle w:val="Normal1"/>
              <w:numPr>
                <w:ilvl w:val="0"/>
                <w:numId w:val="4"/>
              </w:numPr>
              <w:spacing w:after="80" w:line="240" w:lineRule="auto"/>
              <w:ind w:left="252" w:hanging="252"/>
              <w:jc w:val="both"/>
              <w:rPr>
                <w:rFonts w:ascii="Times New Roman" w:hAnsi="Times New Roman" w:cs="Times New Roman"/>
              </w:rPr>
            </w:pPr>
            <w:r w:rsidRPr="004D211E">
              <w:rPr>
                <w:rFonts w:ascii="Times New Roman" w:hAnsi="Times New Roman" w:cs="Times New Roman"/>
              </w:rPr>
              <w:lastRenderedPageBreak/>
              <w:t>HACCP</w:t>
            </w:r>
          </w:p>
        </w:tc>
        <w:tc>
          <w:tcPr>
            <w:tcW w:w="3661" w:type="dxa"/>
          </w:tcPr>
          <w:p w:rsidR="009813EA" w:rsidRPr="004D211E" w:rsidRDefault="009813EA" w:rsidP="00AC722C">
            <w:pPr>
              <w:pStyle w:val="Normal1"/>
              <w:numPr>
                <w:ilvl w:val="0"/>
                <w:numId w:val="4"/>
              </w:numPr>
              <w:tabs>
                <w:tab w:val="clear" w:pos="0"/>
                <w:tab w:val="num" w:pos="252"/>
              </w:tabs>
              <w:spacing w:after="80" w:line="240" w:lineRule="auto"/>
              <w:ind w:left="-108" w:firstLine="108"/>
              <w:jc w:val="both"/>
              <w:rPr>
                <w:rFonts w:ascii="Times New Roman" w:hAnsi="Times New Roman" w:cs="Times New Roman"/>
              </w:rPr>
            </w:pPr>
            <w:r w:rsidRPr="004D211E">
              <w:rPr>
                <w:rFonts w:ascii="Times New Roman" w:hAnsi="Times New Roman" w:cs="Times New Roman"/>
              </w:rPr>
              <w:lastRenderedPageBreak/>
              <w:t>Orgánico</w:t>
            </w:r>
          </w:p>
          <w:p w:rsidR="009813EA" w:rsidRPr="004D211E" w:rsidRDefault="009813EA" w:rsidP="00AC722C">
            <w:pPr>
              <w:pStyle w:val="Normal1"/>
              <w:numPr>
                <w:ilvl w:val="0"/>
                <w:numId w:val="4"/>
              </w:numPr>
              <w:tabs>
                <w:tab w:val="clear" w:pos="0"/>
                <w:tab w:val="num" w:pos="72"/>
              </w:tabs>
              <w:spacing w:after="80" w:line="240" w:lineRule="auto"/>
              <w:ind w:left="252" w:hanging="252"/>
              <w:jc w:val="both"/>
              <w:rPr>
                <w:rFonts w:ascii="Times New Roman" w:hAnsi="Times New Roman" w:cs="Times New Roman"/>
              </w:rPr>
            </w:pPr>
            <w:r w:rsidRPr="004D211E">
              <w:rPr>
                <w:rFonts w:ascii="Times New Roman" w:hAnsi="Times New Roman" w:cs="Times New Roman"/>
              </w:rPr>
              <w:lastRenderedPageBreak/>
              <w:t>Certificaciones sobre gestión ambiental y responsabilidad social empresaria</w:t>
            </w:r>
          </w:p>
        </w:tc>
      </w:tr>
    </w:tbl>
    <w:p w:rsidR="009813EA" w:rsidRPr="000A53D3" w:rsidRDefault="009813EA" w:rsidP="00AC722C">
      <w:pPr>
        <w:pStyle w:val="Normal1"/>
        <w:spacing w:after="80" w:line="360" w:lineRule="auto"/>
        <w:jc w:val="both"/>
        <w:rPr>
          <w:rFonts w:ascii="Times New Roman" w:hAnsi="Times New Roman" w:cs="Times New Roman"/>
        </w:rPr>
      </w:pPr>
      <w:r w:rsidRPr="000A53D3">
        <w:rPr>
          <w:rFonts w:ascii="Times New Roman" w:hAnsi="Times New Roman" w:cs="Times New Roman"/>
        </w:rPr>
        <w:lastRenderedPageBreak/>
        <w:t>Fuente: elaboración propia</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los </w:t>
      </w:r>
      <w:r w:rsidRPr="000A53D3">
        <w:rPr>
          <w:rFonts w:ascii="Times New Roman" w:hAnsi="Times New Roman" w:cs="Times New Roman"/>
          <w:b/>
          <w:sz w:val="24"/>
          <w:szCs w:val="24"/>
        </w:rPr>
        <w:t>límites a contaminantes</w:t>
      </w:r>
      <w:r>
        <w:rPr>
          <w:rFonts w:ascii="Times New Roman" w:hAnsi="Times New Roman" w:cs="Times New Roman"/>
          <w:sz w:val="24"/>
          <w:szCs w:val="24"/>
        </w:rPr>
        <w:t xml:space="preserve">, </w:t>
      </w:r>
      <w:smartTag w:uri="urn:schemas-microsoft-com:office:smarttags" w:element="PersonName">
        <w:smartTagPr>
          <w:attr w:name="ProductID" w:val="la UE"/>
        </w:smartTagPr>
        <w:r>
          <w:rPr>
            <w:rFonts w:ascii="Times New Roman" w:hAnsi="Times New Roman" w:cs="Times New Roman"/>
            <w:sz w:val="24"/>
            <w:szCs w:val="24"/>
          </w:rPr>
          <w:t>la UE</w:t>
        </w:r>
      </w:smartTag>
      <w:r>
        <w:rPr>
          <w:rFonts w:ascii="Times New Roman" w:hAnsi="Times New Roman" w:cs="Times New Roman"/>
          <w:sz w:val="24"/>
          <w:szCs w:val="24"/>
        </w:rPr>
        <w:t xml:space="preserve"> aplica </w:t>
      </w:r>
      <w:smartTag w:uri="urn:schemas-microsoft-com:office:smarttags" w:element="PersonName">
        <w:smartTagPr>
          <w:attr w:name="ProductID" w:val="la Regulación CE"/>
        </w:smartTagPr>
        <w:r>
          <w:rPr>
            <w:rFonts w:ascii="Times New Roman" w:hAnsi="Times New Roman" w:cs="Times New Roman"/>
            <w:sz w:val="24"/>
            <w:szCs w:val="24"/>
          </w:rPr>
          <w:t>la Regulación CE</w:t>
        </w:r>
      </w:smartTag>
      <w:r>
        <w:rPr>
          <w:rFonts w:ascii="Times New Roman" w:hAnsi="Times New Roman" w:cs="Times New Roman"/>
          <w:sz w:val="24"/>
          <w:szCs w:val="24"/>
        </w:rPr>
        <w:t xml:space="preserve"> No. 1881/2006, que tiene como objetivo proteger la salud pública al mantener los niveles máximos de contaminantes lo más bajo posibles con la condición de que se establezcan buenas prácticas de trabajo. Entre las más importantes a nivel internacional en términos de seguridad alimentaria se destacan las </w:t>
      </w:r>
      <w:proofErr w:type="spellStart"/>
      <w:r>
        <w:rPr>
          <w:rFonts w:ascii="Times New Roman" w:hAnsi="Times New Roman" w:cs="Times New Roman"/>
          <w:sz w:val="24"/>
          <w:szCs w:val="24"/>
        </w:rPr>
        <w:t>micotoxinas</w:t>
      </w:r>
      <w:proofErr w:type="spellEnd"/>
      <w:r>
        <w:rPr>
          <w:rFonts w:ascii="Times New Roman" w:hAnsi="Times New Roman" w:cs="Times New Roman"/>
          <w:sz w:val="24"/>
          <w:szCs w:val="24"/>
        </w:rPr>
        <w:t xml:space="preserve">, ya que podrían ser cancerígenas, </w:t>
      </w:r>
      <w:proofErr w:type="spellStart"/>
      <w:r>
        <w:rPr>
          <w:rFonts w:ascii="Times New Roman" w:hAnsi="Times New Roman" w:cs="Times New Roman"/>
          <w:sz w:val="24"/>
          <w:szCs w:val="24"/>
        </w:rPr>
        <w:t>hepatotóxicas</w:t>
      </w:r>
      <w:proofErr w:type="spellEnd"/>
      <w:r>
        <w:rPr>
          <w:rFonts w:ascii="Times New Roman" w:hAnsi="Times New Roman" w:cs="Times New Roman"/>
          <w:sz w:val="24"/>
          <w:szCs w:val="24"/>
        </w:rPr>
        <w:t xml:space="preserve"> y afectar el sistema hormonal e inmune (FAO, 2004). Entre los distintos tipos de </w:t>
      </w:r>
      <w:proofErr w:type="spellStart"/>
      <w:r>
        <w:rPr>
          <w:rFonts w:ascii="Times New Roman" w:hAnsi="Times New Roman" w:cs="Times New Roman"/>
          <w:sz w:val="24"/>
          <w:szCs w:val="24"/>
        </w:rPr>
        <w:t>micotoxinas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Ocratoxina</w:t>
      </w:r>
      <w:proofErr w:type="spellEnd"/>
      <w:r>
        <w:rPr>
          <w:rFonts w:ascii="Times New Roman" w:hAnsi="Times New Roman" w:cs="Times New Roman"/>
          <w:sz w:val="24"/>
          <w:szCs w:val="24"/>
        </w:rPr>
        <w:t xml:space="preserve"> A (OTA) ha cobrado especial importancia en la industria del café. </w:t>
      </w:r>
      <w:r w:rsidR="00C0417E">
        <w:rPr>
          <w:rFonts w:ascii="Times New Roman" w:hAnsi="Times New Roman" w:cs="Times New Roman"/>
          <w:sz w:val="24"/>
          <w:szCs w:val="24"/>
        </w:rPr>
        <w:t>C</w:t>
      </w:r>
      <w:r>
        <w:rPr>
          <w:rFonts w:ascii="Times New Roman" w:hAnsi="Times New Roman" w:cs="Times New Roman"/>
          <w:sz w:val="24"/>
          <w:szCs w:val="24"/>
        </w:rPr>
        <w:t xml:space="preserve">on la torrefacción del café se puede obtener una reducción de OTA del 65% al 100%. A partir del descubrimiento de </w:t>
      </w:r>
      <w:smartTag w:uri="urn:schemas-microsoft-com:office:smarttags" w:element="PersonName">
        <w:smartTagPr>
          <w:attr w:name="ProductID" w:val="la American Agricultural"/>
        </w:smartTagPr>
        <w:r>
          <w:rPr>
            <w:rFonts w:ascii="Times New Roman" w:hAnsi="Times New Roman" w:cs="Times New Roman"/>
            <w:sz w:val="24"/>
            <w:szCs w:val="24"/>
          </w:rPr>
          <w:t>la OTA</w:t>
        </w:r>
      </w:smartTag>
      <w:r>
        <w:rPr>
          <w:rFonts w:ascii="Times New Roman" w:hAnsi="Times New Roman" w:cs="Times New Roman"/>
          <w:sz w:val="24"/>
          <w:szCs w:val="24"/>
        </w:rPr>
        <w:t xml:space="preserve"> en el café en 1988, </w:t>
      </w:r>
      <w:smartTag w:uri="urn:schemas-microsoft-com:office:smarttags" w:element="PersonName">
        <w:smartTagPr>
          <w:attr w:name="ProductID" w:val="la American Agricultural"/>
        </w:smartTagPr>
        <w:r>
          <w:rPr>
            <w:rFonts w:ascii="Times New Roman" w:hAnsi="Times New Roman" w:cs="Times New Roman"/>
            <w:sz w:val="24"/>
            <w:szCs w:val="24"/>
          </w:rPr>
          <w:t>la Federación Europea</w:t>
        </w:r>
      </w:smartTag>
      <w:r>
        <w:rPr>
          <w:rFonts w:ascii="Times New Roman" w:hAnsi="Times New Roman" w:cs="Times New Roman"/>
          <w:sz w:val="24"/>
          <w:szCs w:val="24"/>
        </w:rPr>
        <w:t xml:space="preserve"> de Café propuso la reducción de la contaminación de esta </w:t>
      </w:r>
      <w:proofErr w:type="spellStart"/>
      <w:r>
        <w:rPr>
          <w:rFonts w:ascii="Times New Roman" w:hAnsi="Times New Roman" w:cs="Times New Roman"/>
          <w:sz w:val="24"/>
          <w:szCs w:val="24"/>
        </w:rPr>
        <w:t>micotoxina</w:t>
      </w:r>
      <w:proofErr w:type="spellEnd"/>
      <w:r>
        <w:rPr>
          <w:rFonts w:ascii="Times New Roman" w:hAnsi="Times New Roman" w:cs="Times New Roman"/>
          <w:sz w:val="24"/>
          <w:szCs w:val="24"/>
        </w:rPr>
        <w:t xml:space="preserve"> en el país de origen de estos productos, ya que sería menos costoso que aplicar medidas de control en los puertos europeos (</w:t>
      </w:r>
      <w:proofErr w:type="spellStart"/>
      <w:r>
        <w:rPr>
          <w:rFonts w:ascii="Times New Roman" w:hAnsi="Times New Roman" w:cs="Times New Roman"/>
          <w:sz w:val="24"/>
          <w:szCs w:val="24"/>
        </w:rPr>
        <w:t>Rodriguez</w:t>
      </w:r>
      <w:proofErr w:type="spellEnd"/>
      <w:r>
        <w:rPr>
          <w:rFonts w:ascii="Times New Roman" w:hAnsi="Times New Roman" w:cs="Times New Roman"/>
          <w:sz w:val="24"/>
          <w:szCs w:val="24"/>
        </w:rPr>
        <w:t xml:space="preserve"> Jerez, 2012). </w:t>
      </w:r>
    </w:p>
    <w:p w:rsidR="009813EA" w:rsidRDefault="009813EA" w:rsidP="00AC722C">
      <w:pPr>
        <w:pStyle w:val="Normal1"/>
        <w:spacing w:after="80" w:line="360" w:lineRule="auto"/>
        <w:jc w:val="both"/>
        <w:rPr>
          <w:rFonts w:ascii="Times New Roman" w:hAnsi="Times New Roman" w:cs="Times New Roman"/>
          <w:color w:val="222222"/>
          <w:sz w:val="24"/>
          <w:szCs w:val="24"/>
        </w:rPr>
      </w:pPr>
      <w:r>
        <w:rPr>
          <w:rFonts w:ascii="Times New Roman" w:hAnsi="Times New Roman" w:cs="Times New Roman"/>
          <w:sz w:val="24"/>
          <w:szCs w:val="24"/>
        </w:rPr>
        <w:t xml:space="preserve">Otra de las medidas más importantes entre estos alimentos es </w:t>
      </w:r>
      <w:smartTag w:uri="urn:schemas-microsoft-com:office:smarttags" w:element="PersonName">
        <w:smartTagPr>
          <w:attr w:name="ProductID" w:val="la American Agricultural"/>
        </w:smartTagPr>
        <w:r>
          <w:rPr>
            <w:rFonts w:ascii="Times New Roman" w:hAnsi="Times New Roman" w:cs="Times New Roman"/>
            <w:sz w:val="24"/>
            <w:szCs w:val="24"/>
          </w:rPr>
          <w:t>la Regulación CE.</w:t>
        </w:r>
      </w:smartTag>
      <w:r>
        <w:rPr>
          <w:rFonts w:ascii="Times New Roman" w:hAnsi="Times New Roman" w:cs="Times New Roman"/>
          <w:sz w:val="24"/>
          <w:szCs w:val="24"/>
        </w:rPr>
        <w:t xml:space="preserve"> No 396/2005 sobre los </w:t>
      </w:r>
      <w:r w:rsidRPr="000A53D3">
        <w:rPr>
          <w:rFonts w:ascii="Times New Roman" w:hAnsi="Times New Roman" w:cs="Times New Roman"/>
          <w:b/>
          <w:sz w:val="24"/>
          <w:szCs w:val="24"/>
        </w:rPr>
        <w:t>límites máximos de residuos</w:t>
      </w:r>
      <w:r>
        <w:rPr>
          <w:rFonts w:ascii="Times New Roman" w:hAnsi="Times New Roman" w:cs="Times New Roman"/>
          <w:sz w:val="24"/>
          <w:szCs w:val="24"/>
        </w:rPr>
        <w:t xml:space="preserve">. En particular, representa uno de los desafíos más grandes para la exportación de la yerba mate, ya que existe un fuerte debate sobre la existencia </w:t>
      </w:r>
      <w:r w:rsidRPr="00DF00EE">
        <w:rPr>
          <w:rFonts w:ascii="Times New Roman" w:hAnsi="Times New Roman" w:cs="Times New Roman"/>
          <w:sz w:val="24"/>
          <w:szCs w:val="24"/>
        </w:rPr>
        <w:t xml:space="preserve">de la antraquinona en este producto, sustancia con alto potencial cancerígeno según el </w:t>
      </w:r>
      <w:proofErr w:type="spellStart"/>
      <w:r w:rsidRPr="00DF00EE">
        <w:rPr>
          <w:rFonts w:ascii="Times New Roman" w:hAnsi="Times New Roman" w:cs="Times New Roman"/>
          <w:color w:val="222222"/>
          <w:sz w:val="24"/>
          <w:szCs w:val="24"/>
        </w:rPr>
        <w:t>BfR</w:t>
      </w:r>
      <w:proofErr w:type="spellEnd"/>
      <w:r w:rsidRPr="00DF00EE">
        <w:rPr>
          <w:rFonts w:ascii="Times New Roman" w:hAnsi="Times New Roman" w:cs="Times New Roman"/>
          <w:color w:val="222222"/>
          <w:sz w:val="24"/>
          <w:szCs w:val="24"/>
          <w:vertAlign w:val="superscript"/>
        </w:rPr>
        <w:footnoteReference w:id="1"/>
      </w:r>
      <w:r w:rsidRPr="00DF00EE">
        <w:rPr>
          <w:rFonts w:ascii="Times New Roman" w:hAnsi="Times New Roman" w:cs="Times New Roman"/>
          <w:color w:val="222222"/>
          <w:sz w:val="24"/>
          <w:szCs w:val="24"/>
        </w:rPr>
        <w:t xml:space="preserve"> (</w:t>
      </w:r>
      <w:proofErr w:type="spellStart"/>
      <w:r w:rsidRPr="00DF00EE">
        <w:rPr>
          <w:rFonts w:ascii="Times New Roman" w:hAnsi="Times New Roman" w:cs="Times New Roman"/>
          <w:color w:val="222222"/>
          <w:sz w:val="24"/>
          <w:szCs w:val="24"/>
        </w:rPr>
        <w:t>BfR</w:t>
      </w:r>
      <w:proofErr w:type="spellEnd"/>
      <w:r w:rsidRPr="00DF00EE">
        <w:rPr>
          <w:rFonts w:ascii="Times New Roman" w:hAnsi="Times New Roman" w:cs="Times New Roman"/>
          <w:color w:val="222222"/>
          <w:sz w:val="24"/>
          <w:szCs w:val="24"/>
        </w:rPr>
        <w:t>,</w:t>
      </w:r>
      <w:r>
        <w:rPr>
          <w:rFonts w:ascii="Times New Roman" w:hAnsi="Times New Roman" w:cs="Times New Roman"/>
          <w:color w:val="222222"/>
          <w:sz w:val="24"/>
          <w:szCs w:val="24"/>
        </w:rPr>
        <w:t xml:space="preserve"> 2013). A partir de este estudio, se concluyó que existe ¨suficiente¨ evidencia del potencial cancerígeno de este compuesto orgánico y que el nuevo nivel máximo permitido para la antraquinona sobre el café, el té y la yerba mate sería de 0,02mg/kg. De acuerdo a </w:t>
      </w:r>
      <w:proofErr w:type="spellStart"/>
      <w:r>
        <w:rPr>
          <w:rFonts w:ascii="Times New Roman" w:hAnsi="Times New Roman" w:cs="Times New Roman"/>
          <w:color w:val="222222"/>
          <w:sz w:val="24"/>
          <w:szCs w:val="24"/>
        </w:rPr>
        <w:t>Heroldo</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Secco</w:t>
      </w:r>
      <w:proofErr w:type="spellEnd"/>
      <w:r>
        <w:rPr>
          <w:rFonts w:ascii="Times New Roman" w:hAnsi="Times New Roman" w:cs="Times New Roman"/>
          <w:color w:val="222222"/>
          <w:sz w:val="24"/>
          <w:szCs w:val="24"/>
        </w:rPr>
        <w:t xml:space="preserve"> Jr. (2018)</w:t>
      </w:r>
      <w:r>
        <w:rPr>
          <w:rFonts w:ascii="Times New Roman" w:hAnsi="Times New Roman" w:cs="Times New Roman"/>
          <w:color w:val="222222"/>
          <w:sz w:val="24"/>
          <w:szCs w:val="24"/>
          <w:vertAlign w:val="superscript"/>
        </w:rPr>
        <w:footnoteReference w:id="2"/>
      </w:r>
      <w:r>
        <w:rPr>
          <w:rFonts w:ascii="Times New Roman" w:hAnsi="Times New Roman" w:cs="Times New Roman"/>
          <w:color w:val="222222"/>
          <w:sz w:val="24"/>
          <w:szCs w:val="24"/>
        </w:rPr>
        <w:t xml:space="preserve">, en los próximos años se espera una tendencia a la flexibilización del nivel máximo permitido, ya que estudios realizados por especialistas de otras partes del mundo diferentes de Alemania –Brasil, Corea, Inglaterra, Estados Unidos, entre otros– aseguran que la antraquinona </w:t>
      </w:r>
      <w:r>
        <w:rPr>
          <w:rFonts w:ascii="Times New Roman" w:hAnsi="Times New Roman" w:cs="Times New Roman"/>
          <w:i/>
          <w:color w:val="222222"/>
          <w:sz w:val="24"/>
          <w:szCs w:val="24"/>
        </w:rPr>
        <w:t xml:space="preserve">natural </w:t>
      </w:r>
      <w:r>
        <w:rPr>
          <w:rFonts w:ascii="Times New Roman" w:hAnsi="Times New Roman" w:cs="Times New Roman"/>
          <w:color w:val="222222"/>
          <w:sz w:val="24"/>
          <w:szCs w:val="24"/>
        </w:rPr>
        <w:t xml:space="preserve">es beneficiosa para el cuerpo. Sin embargo, hasta ahora, el nivel máximo no ha sido modificado aún. Por tanto, los importadores de </w:t>
      </w:r>
      <w:smartTag w:uri="urn:schemas-microsoft-com:office:smarttags" w:element="PersonName">
        <w:smartTagPr>
          <w:attr w:name="ProductID" w:val="la American Agricultural"/>
        </w:smartTagPr>
        <w:r>
          <w:rPr>
            <w:rFonts w:ascii="Times New Roman" w:hAnsi="Times New Roman" w:cs="Times New Roman"/>
            <w:color w:val="222222"/>
            <w:sz w:val="24"/>
            <w:szCs w:val="24"/>
          </w:rPr>
          <w:t>la UE</w:t>
        </w:r>
      </w:smartTag>
      <w:r>
        <w:rPr>
          <w:rFonts w:ascii="Times New Roman" w:hAnsi="Times New Roman" w:cs="Times New Roman"/>
          <w:color w:val="222222"/>
          <w:sz w:val="24"/>
          <w:szCs w:val="24"/>
        </w:rPr>
        <w:t xml:space="preserve"> continúan aceptando productos cuyos resultados del análisis de antraquinona son más altos que el máximo establecido (por ejemplo, 0,03mg/kg), pero a un precio más barato. En otras palabras, los compradores piden descuentos –aunque reconozcan que los niveles máximos son muy bajos–, compran a precios más baratos, pero los re-venden a los consumidores finales a un precio mucho más alto (</w:t>
      </w:r>
      <w:proofErr w:type="spellStart"/>
      <w:r>
        <w:rPr>
          <w:rFonts w:ascii="Times New Roman" w:hAnsi="Times New Roman" w:cs="Times New Roman"/>
          <w:color w:val="222222"/>
          <w:sz w:val="24"/>
          <w:szCs w:val="24"/>
        </w:rPr>
        <w:t>Secco</w:t>
      </w:r>
      <w:proofErr w:type="spellEnd"/>
      <w:r>
        <w:rPr>
          <w:rFonts w:ascii="Times New Roman" w:hAnsi="Times New Roman" w:cs="Times New Roman"/>
          <w:color w:val="222222"/>
          <w:sz w:val="24"/>
          <w:szCs w:val="24"/>
        </w:rPr>
        <w:t xml:space="preserve"> Jr., 2018).</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 </w:t>
      </w:r>
      <w:r w:rsidRPr="000A53D3">
        <w:rPr>
          <w:rFonts w:ascii="Times New Roman" w:hAnsi="Times New Roman" w:cs="Times New Roman"/>
          <w:b/>
          <w:sz w:val="24"/>
          <w:szCs w:val="24"/>
        </w:rPr>
        <w:t>inspecciones fitosanitarias previas al embarque</w:t>
      </w:r>
      <w:r>
        <w:rPr>
          <w:rFonts w:ascii="Times New Roman" w:hAnsi="Times New Roman" w:cs="Times New Roman"/>
          <w:sz w:val="24"/>
          <w:szCs w:val="24"/>
        </w:rPr>
        <w:t xml:space="preserve"> son parte de los requerimientos sanitarios para la importación de productos a base de plantas en </w:t>
      </w:r>
      <w:smartTag w:uri="urn:schemas-microsoft-com:office:smarttags" w:element="PersonName">
        <w:smartTagPr>
          <w:attr w:name="ProductID" w:val="la American Agricultural"/>
        </w:smartTagPr>
        <w:r>
          <w:rPr>
            <w:rFonts w:ascii="Times New Roman" w:hAnsi="Times New Roman" w:cs="Times New Roman"/>
            <w:sz w:val="24"/>
            <w:szCs w:val="24"/>
          </w:rPr>
          <w:t>la Unión Europea.</w:t>
        </w:r>
      </w:smartTag>
      <w:r>
        <w:rPr>
          <w:rFonts w:ascii="Times New Roman" w:hAnsi="Times New Roman" w:cs="Times New Roman"/>
          <w:sz w:val="24"/>
          <w:szCs w:val="24"/>
        </w:rPr>
        <w:t xml:space="preserve"> Cuando alguna de las condiciones de aduana no se cumple, la carga puede quedar retenida en el puerto de ingreso hasta que se finalicen todos los análisis de laboratorio, lo que puede tardar varias semanas y generar altos costos para los países exportadores. Por tanto, cada exportador tiene su propia estrategia para evitar la retención de sus contenedores en los puertos de arribo. No obstante, el análisis de la antraquinona para la yerba mate es un problema real para los exportadores, ya que la Unión Europea solamente acepta una de las dos metodologías para analizarlo. La GC-MS/MS implica un análisis de laboratorio que lleva unos 45 días, una inversión de alrededor de 1500 dólares y cuyos resultados siempre arroja errores. Por este motivo, productores y exportadores de yerba mate reclaman que debe aceptarse la metodología HPLC-UV, que es más accesible para la mayoría de las empresas y se realiza en alrededor de una semana (</w:t>
      </w:r>
      <w:proofErr w:type="spellStart"/>
      <w:r>
        <w:rPr>
          <w:rFonts w:ascii="Times New Roman" w:hAnsi="Times New Roman" w:cs="Times New Roman"/>
          <w:sz w:val="24"/>
          <w:szCs w:val="24"/>
        </w:rPr>
        <w:t>Secco</w:t>
      </w:r>
      <w:proofErr w:type="spellEnd"/>
      <w:r>
        <w:rPr>
          <w:rFonts w:ascii="Times New Roman" w:hAnsi="Times New Roman" w:cs="Times New Roman"/>
          <w:sz w:val="24"/>
          <w:szCs w:val="24"/>
        </w:rPr>
        <w:t xml:space="preserve"> Jr., 2018). Por tanto, según </w:t>
      </w:r>
      <w:proofErr w:type="spellStart"/>
      <w:r>
        <w:rPr>
          <w:rFonts w:ascii="Times New Roman" w:hAnsi="Times New Roman" w:cs="Times New Roman"/>
          <w:sz w:val="24"/>
          <w:szCs w:val="24"/>
        </w:rPr>
        <w:t>Secco</w:t>
      </w:r>
      <w:proofErr w:type="spellEnd"/>
      <w:r>
        <w:rPr>
          <w:rFonts w:ascii="Times New Roman" w:hAnsi="Times New Roman" w:cs="Times New Roman"/>
          <w:sz w:val="24"/>
          <w:szCs w:val="24"/>
        </w:rPr>
        <w:t xml:space="preserve"> Jr., los países sudamericanos podrían estar exportando unas 4 o 5 veces más yerba mate a la Unión Europea de lo que se hace actualmente, pero muchos exportadores deciden no hacerlo por los altos costos y riesgos que implica.</w:t>
      </w:r>
    </w:p>
    <w:p w:rsidR="009813EA" w:rsidRPr="00210A27" w:rsidRDefault="009813EA" w:rsidP="00AC722C">
      <w:pPr>
        <w:pStyle w:val="Normal1"/>
        <w:spacing w:after="80" w:line="360" w:lineRule="auto"/>
        <w:jc w:val="both"/>
        <w:rPr>
          <w:rFonts w:ascii="Times New Roman" w:hAnsi="Times New Roman" w:cs="Times New Roman"/>
          <w:sz w:val="24"/>
          <w:szCs w:val="24"/>
        </w:rPr>
      </w:pPr>
      <w:r w:rsidRPr="00210A27">
        <w:rPr>
          <w:rFonts w:ascii="Times New Roman" w:hAnsi="Times New Roman" w:cs="Times New Roman"/>
          <w:sz w:val="24"/>
          <w:szCs w:val="24"/>
        </w:rPr>
        <w:t xml:space="preserve">Otro requisito obligatorio para la UE es contar con el </w:t>
      </w:r>
      <w:r w:rsidRPr="000A53D3">
        <w:rPr>
          <w:rFonts w:ascii="Times New Roman" w:hAnsi="Times New Roman" w:cs="Times New Roman"/>
          <w:b/>
          <w:sz w:val="24"/>
          <w:szCs w:val="24"/>
        </w:rPr>
        <w:t>HACCP</w:t>
      </w:r>
      <w:r w:rsidRPr="00210A27">
        <w:rPr>
          <w:rFonts w:ascii="Times New Roman" w:hAnsi="Times New Roman" w:cs="Times New Roman"/>
          <w:sz w:val="24"/>
          <w:szCs w:val="24"/>
        </w:rPr>
        <w:t xml:space="preserve"> (</w:t>
      </w:r>
      <w:r w:rsidRPr="000A53D3">
        <w:rPr>
          <w:rFonts w:ascii="Times New Roman" w:hAnsi="Times New Roman" w:cs="Times New Roman"/>
          <w:sz w:val="24"/>
          <w:szCs w:val="24"/>
        </w:rPr>
        <w:t>Análisis de Peligros y Puntos Críticos de Control), una metodología para garantizar la inocuidad de los alimentos en todas las etapas de su procesamiento y manipulación.</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contexto, la creciente importancia de la cuestión de la sostenibilidad en la agenda de comercio exterior también trajo consigo el aumento de la </w:t>
      </w:r>
      <w:r w:rsidRPr="000A53D3">
        <w:rPr>
          <w:rFonts w:ascii="Times New Roman" w:hAnsi="Times New Roman" w:cs="Times New Roman"/>
          <w:b/>
          <w:sz w:val="24"/>
          <w:szCs w:val="24"/>
        </w:rPr>
        <w:t>certificación</w:t>
      </w:r>
      <w:r>
        <w:rPr>
          <w:rFonts w:ascii="Times New Roman" w:hAnsi="Times New Roman" w:cs="Times New Roman"/>
          <w:sz w:val="24"/>
          <w:szCs w:val="24"/>
        </w:rPr>
        <w:t xml:space="preserve"> de productos alimenticios, tales como el café, el té y la yerba mate, que se refleja en una etiqueta en el producto final. Esto se debe a que, cada vez más, los consumidores prestan atención a las buenas prácticas agrícolas, la responsabilidad social empresaria y el cuidado del ambiente  (Cornejo </w:t>
      </w:r>
      <w:r w:rsidRPr="000A53D3">
        <w:rPr>
          <w:rFonts w:ascii="Times New Roman" w:hAnsi="Times New Roman" w:cs="Times New Roman"/>
          <w:i/>
          <w:sz w:val="24"/>
          <w:szCs w:val="24"/>
        </w:rPr>
        <w:t>et al</w:t>
      </w:r>
      <w:r>
        <w:rPr>
          <w:rFonts w:ascii="Times New Roman" w:hAnsi="Times New Roman" w:cs="Times New Roman"/>
          <w:sz w:val="24"/>
          <w:szCs w:val="24"/>
        </w:rPr>
        <w:t xml:space="preserve">., 2013), por lo que, aunque la certificación no es obligatoria, a través del tiempo se ha convertido en obligatoria </w:t>
      </w:r>
      <w:r>
        <w:rPr>
          <w:rFonts w:ascii="Times New Roman" w:hAnsi="Times New Roman" w:cs="Times New Roman"/>
          <w:i/>
          <w:sz w:val="24"/>
          <w:szCs w:val="24"/>
        </w:rPr>
        <w:t>de facto</w:t>
      </w:r>
      <w:r>
        <w:rPr>
          <w:rFonts w:ascii="Times New Roman" w:hAnsi="Times New Roman" w:cs="Times New Roman"/>
          <w:sz w:val="24"/>
          <w:szCs w:val="24"/>
        </w:rPr>
        <w:t xml:space="preserve">. En América Latina, las certificaciones de </w:t>
      </w:r>
      <w:proofErr w:type="spellStart"/>
      <w:r>
        <w:rPr>
          <w:rFonts w:ascii="Times New Roman" w:hAnsi="Times New Roman" w:cs="Times New Roman"/>
          <w:sz w:val="24"/>
          <w:szCs w:val="24"/>
        </w:rPr>
        <w:t>Rainforest</w:t>
      </w:r>
      <w:proofErr w:type="spellEnd"/>
      <w:r>
        <w:rPr>
          <w:rFonts w:ascii="Times New Roman" w:hAnsi="Times New Roman" w:cs="Times New Roman"/>
          <w:sz w:val="24"/>
          <w:szCs w:val="24"/>
        </w:rPr>
        <w:t xml:space="preserve"> Alliance en el café y el té comenzaron a cobrar fuerza hacia fines de la década de 1990. Así, mientras que en el 2008 había solamente 4 empresas que certificaban sus productos de té, hacia 2017 lo hacían más de 600 productores y 20 grupos, cubriendo unas 17000 hectáreas de té (</w:t>
      </w:r>
      <w:proofErr w:type="spellStart"/>
      <w:r>
        <w:rPr>
          <w:rFonts w:ascii="Times New Roman" w:hAnsi="Times New Roman" w:cs="Times New Roman"/>
          <w:sz w:val="24"/>
          <w:szCs w:val="24"/>
        </w:rPr>
        <w:t>Galuchi</w:t>
      </w:r>
      <w:proofErr w:type="spellEnd"/>
      <w:r>
        <w:rPr>
          <w:rFonts w:ascii="Times New Roman" w:hAnsi="Times New Roman" w:cs="Times New Roman"/>
          <w:sz w:val="24"/>
          <w:szCs w:val="24"/>
        </w:rPr>
        <w:t>, 2018)</w:t>
      </w:r>
      <w:r>
        <w:rPr>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También ha crecido la certificación por parte de </w:t>
      </w:r>
      <w:proofErr w:type="spellStart"/>
      <w:r>
        <w:rPr>
          <w:rFonts w:ascii="Times New Roman" w:hAnsi="Times New Roman" w:cs="Times New Roman"/>
          <w:sz w:val="24"/>
          <w:szCs w:val="24"/>
        </w:rPr>
        <w:t>Fairtrade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Labelling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Organizations</w:t>
      </w:r>
      <w:proofErr w:type="spellEnd"/>
      <w:r>
        <w:rPr>
          <w:rFonts w:ascii="Times New Roman" w:hAnsi="Times New Roman" w:cs="Times New Roman"/>
          <w:sz w:val="24"/>
          <w:szCs w:val="24"/>
        </w:rPr>
        <w:t xml:space="preserve"> International (FLO), que busca promocionar lo que llama comercio justo. Otro etiquetado que también informan al consumidor sobre el proceso productivo es el del producto </w:t>
      </w:r>
      <w:r w:rsidRPr="000A53D3">
        <w:rPr>
          <w:rFonts w:ascii="Times New Roman" w:hAnsi="Times New Roman" w:cs="Times New Roman"/>
          <w:b/>
          <w:sz w:val="24"/>
          <w:szCs w:val="24"/>
        </w:rPr>
        <w:lastRenderedPageBreak/>
        <w:t>orgánico</w:t>
      </w:r>
      <w:r>
        <w:rPr>
          <w:rFonts w:ascii="Times New Roman" w:hAnsi="Times New Roman" w:cs="Times New Roman"/>
          <w:sz w:val="24"/>
          <w:szCs w:val="24"/>
        </w:rPr>
        <w:t xml:space="preserve">, que exige el uso de técnicas de producción naturales y no utilizar agroquímicos (CBI, 2016).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Por último, las normas de calidad privadas son elaboradas por entidades no gubernamentales o forman parte de iniciativas en las que participan múltiples partes interesadas (CCI, 2011) y tiene el carácter de voluntarias. Un ejemplo es Global</w:t>
      </w:r>
      <w:r w:rsidR="00C0417E">
        <w:rPr>
          <w:rFonts w:ascii="Times New Roman" w:hAnsi="Times New Roman" w:cs="Times New Roman"/>
          <w:sz w:val="24"/>
          <w:szCs w:val="24"/>
        </w:rPr>
        <w:t xml:space="preserve"> </w:t>
      </w:r>
      <w:r>
        <w:rPr>
          <w:rFonts w:ascii="Times New Roman" w:hAnsi="Times New Roman" w:cs="Times New Roman"/>
          <w:sz w:val="24"/>
          <w:szCs w:val="24"/>
        </w:rPr>
        <w:t>G.A.P, norma líder de certificación de alimentos del sector privado a nivel global, que</w:t>
      </w:r>
      <w:r w:rsidR="00C0417E">
        <w:rPr>
          <w:rFonts w:ascii="Times New Roman" w:hAnsi="Times New Roman" w:cs="Times New Roman"/>
          <w:sz w:val="24"/>
          <w:szCs w:val="24"/>
        </w:rPr>
        <w:t xml:space="preserve"> </w:t>
      </w:r>
      <w:r>
        <w:rPr>
          <w:rFonts w:ascii="Times New Roman" w:hAnsi="Times New Roman" w:cs="Times New Roman"/>
          <w:sz w:val="24"/>
          <w:szCs w:val="24"/>
        </w:rPr>
        <w:t xml:space="preserve">certifica si el productor ha implementado un conjunto de </w:t>
      </w:r>
      <w:r w:rsidRPr="000D60F1">
        <w:rPr>
          <w:rFonts w:ascii="Times New Roman" w:hAnsi="Times New Roman" w:cs="Times New Roman"/>
          <w:sz w:val="24"/>
          <w:szCs w:val="24"/>
        </w:rPr>
        <w:t>buenas prácticas</w:t>
      </w:r>
      <w:r>
        <w:rPr>
          <w:rFonts w:ascii="Times New Roman" w:hAnsi="Times New Roman" w:cs="Times New Roman"/>
          <w:sz w:val="24"/>
          <w:szCs w:val="24"/>
        </w:rPr>
        <w:t xml:space="preserve"> </w:t>
      </w:r>
      <w:r w:rsidRPr="000D60F1">
        <w:rPr>
          <w:rFonts w:ascii="Times New Roman" w:hAnsi="Times New Roman" w:cs="Times New Roman"/>
          <w:sz w:val="24"/>
          <w:szCs w:val="24"/>
        </w:rPr>
        <w:t xml:space="preserve">agrícolas </w:t>
      </w:r>
      <w:r>
        <w:rPr>
          <w:rFonts w:ascii="Times New Roman" w:hAnsi="Times New Roman" w:cs="Times New Roman"/>
          <w:sz w:val="24"/>
          <w:szCs w:val="24"/>
        </w:rPr>
        <w:t>que asegura que la producción se ha hecho de manera sostenible, cuidando la inocuidad alimentaria, la seguridad de los trabajadores y el bienestar animal (</w:t>
      </w:r>
      <w:r w:rsidRPr="00D438F8">
        <w:rPr>
          <w:rFonts w:ascii="Times New Roman" w:hAnsi="Times New Roman" w:cs="Times New Roman"/>
          <w:sz w:val="24"/>
          <w:szCs w:val="24"/>
        </w:rPr>
        <w:t>Global</w:t>
      </w:r>
      <w:r w:rsidR="00C0417E">
        <w:rPr>
          <w:rFonts w:ascii="Times New Roman" w:hAnsi="Times New Roman" w:cs="Times New Roman"/>
          <w:sz w:val="24"/>
          <w:szCs w:val="24"/>
        </w:rPr>
        <w:t xml:space="preserve"> </w:t>
      </w:r>
      <w:r w:rsidRPr="00D438F8">
        <w:rPr>
          <w:rFonts w:ascii="Times New Roman" w:hAnsi="Times New Roman" w:cs="Times New Roman"/>
          <w:sz w:val="24"/>
          <w:szCs w:val="24"/>
        </w:rPr>
        <w:t>G.A.P, 2019</w:t>
      </w:r>
      <w:r>
        <w:rPr>
          <w:rFonts w:ascii="Times New Roman" w:hAnsi="Times New Roman" w:cs="Times New Roman"/>
          <w:sz w:val="24"/>
          <w:szCs w:val="24"/>
        </w:rPr>
        <w:t>).</w:t>
      </w:r>
    </w:p>
    <w:p w:rsidR="009813EA" w:rsidRDefault="009813EA" w:rsidP="00AC722C">
      <w:pPr>
        <w:pStyle w:val="Normal1"/>
        <w:spacing w:after="80" w:line="360" w:lineRule="auto"/>
        <w:jc w:val="both"/>
        <w:rPr>
          <w:rFonts w:ascii="Times New Roman" w:hAnsi="Times New Roman" w:cs="Times New Roman"/>
          <w:sz w:val="24"/>
          <w:szCs w:val="24"/>
        </w:rPr>
      </w:pPr>
    </w:p>
    <w:p w:rsidR="009813EA" w:rsidRDefault="009813EA" w:rsidP="00AC722C">
      <w:pPr>
        <w:pStyle w:val="Normal1"/>
        <w:spacing w:after="80" w:line="360" w:lineRule="auto"/>
        <w:jc w:val="both"/>
        <w:rPr>
          <w:rFonts w:ascii="Times New Roman" w:hAnsi="Times New Roman" w:cs="Times New Roman"/>
          <w:b/>
          <w:sz w:val="24"/>
          <w:szCs w:val="24"/>
        </w:rPr>
      </w:pPr>
      <w:r>
        <w:rPr>
          <w:rFonts w:ascii="Times New Roman" w:hAnsi="Times New Roman" w:cs="Times New Roman"/>
          <w:b/>
          <w:sz w:val="24"/>
          <w:szCs w:val="24"/>
        </w:rPr>
        <w:t>III. Impacto de las medidas sanitarias y ambientales: debate teórico y evidencia empírica</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El análisis del impacto de las medidas sanitarias y ambientales suele realizarse por separado.  Una posible explicación es que, en general, las medidas sanitarias se aplican en la frontera, el impacto sobre el comercio es directo y la magnitud del impacto se refiere al cambio del volumen comerciado, que suele estimarse mediante un método econométrico. En cambio, el análisis de las medidas ambientales presenta claras diferencias con el de las medidas sanitarias, ya sea por las características de las medidas como por lo que se mide: i. en general no asumen la forma de requisitos de acceso a un mercado sino son instrumentos de política ambiental, cuyas consecuencias sobre el comercio exterior apenas de analiza en la práctica; ii. cuando se mide el impacto se miden los cambios en la producción, en la productividad, en la innovación y el cambio tecnológico, y en el nivel de empleo, con menos estudios que revisan los cambios en las exportaciones (</w:t>
      </w:r>
      <w:r w:rsidRPr="00D438F8">
        <w:rPr>
          <w:rFonts w:ascii="Times New Roman" w:hAnsi="Times New Roman" w:cs="Times New Roman"/>
          <w:sz w:val="24"/>
          <w:szCs w:val="24"/>
        </w:rPr>
        <w:t xml:space="preserve">Cohen y </w:t>
      </w:r>
      <w:proofErr w:type="spellStart"/>
      <w:r w:rsidRPr="00D438F8">
        <w:rPr>
          <w:rFonts w:ascii="Times New Roman" w:hAnsi="Times New Roman" w:cs="Times New Roman"/>
          <w:sz w:val="24"/>
          <w:szCs w:val="24"/>
        </w:rPr>
        <w:t>Tubb</w:t>
      </w:r>
      <w:proofErr w:type="spellEnd"/>
      <w:r w:rsidRPr="00D438F8">
        <w:rPr>
          <w:rFonts w:ascii="Times New Roman" w:hAnsi="Times New Roman" w:cs="Times New Roman"/>
          <w:sz w:val="24"/>
          <w:szCs w:val="24"/>
        </w:rPr>
        <w:t xml:space="preserve">, 2017; </w:t>
      </w:r>
      <w:proofErr w:type="spellStart"/>
      <w:r w:rsidRPr="00D438F8">
        <w:rPr>
          <w:rFonts w:ascii="Times New Roman" w:hAnsi="Times New Roman" w:cs="Times New Roman"/>
          <w:sz w:val="24"/>
          <w:szCs w:val="24"/>
        </w:rPr>
        <w:t>Ambec</w:t>
      </w:r>
      <w:proofErr w:type="spellEnd"/>
      <w:r w:rsidRPr="00D438F8">
        <w:rPr>
          <w:rFonts w:ascii="Times New Roman" w:hAnsi="Times New Roman" w:cs="Times New Roman"/>
          <w:sz w:val="24"/>
          <w:szCs w:val="24"/>
        </w:rPr>
        <w:t xml:space="preserve"> </w:t>
      </w:r>
      <w:r w:rsidRPr="00D438F8">
        <w:rPr>
          <w:rFonts w:ascii="Times New Roman" w:hAnsi="Times New Roman" w:cs="Times New Roman"/>
          <w:i/>
          <w:sz w:val="24"/>
          <w:szCs w:val="24"/>
        </w:rPr>
        <w:t>et al</w:t>
      </w:r>
      <w:r w:rsidRPr="00D438F8">
        <w:rPr>
          <w:rFonts w:ascii="Times New Roman" w:hAnsi="Times New Roman" w:cs="Times New Roman"/>
          <w:sz w:val="24"/>
          <w:szCs w:val="24"/>
        </w:rPr>
        <w:t xml:space="preserve">., 2011; </w:t>
      </w:r>
      <w:proofErr w:type="spellStart"/>
      <w:r w:rsidRPr="00D438F8">
        <w:rPr>
          <w:rFonts w:ascii="Times New Roman" w:hAnsi="Times New Roman" w:cs="Times New Roman"/>
          <w:sz w:val="24"/>
          <w:szCs w:val="24"/>
        </w:rPr>
        <w:t>Constantini</w:t>
      </w:r>
      <w:proofErr w:type="spellEnd"/>
      <w:r w:rsidRPr="00D438F8">
        <w:rPr>
          <w:rFonts w:ascii="Times New Roman" w:hAnsi="Times New Roman" w:cs="Times New Roman"/>
          <w:sz w:val="24"/>
          <w:szCs w:val="24"/>
        </w:rPr>
        <w:t xml:space="preserve"> y </w:t>
      </w:r>
      <w:proofErr w:type="spellStart"/>
      <w:r w:rsidRPr="00D438F8">
        <w:rPr>
          <w:rFonts w:ascii="Times New Roman" w:hAnsi="Times New Roman" w:cs="Times New Roman"/>
          <w:sz w:val="24"/>
          <w:szCs w:val="24"/>
        </w:rPr>
        <w:t>Mazzanti</w:t>
      </w:r>
      <w:proofErr w:type="spellEnd"/>
      <w:r w:rsidRPr="00D438F8">
        <w:rPr>
          <w:rFonts w:ascii="Times New Roman" w:hAnsi="Times New Roman" w:cs="Times New Roman"/>
          <w:sz w:val="24"/>
          <w:szCs w:val="24"/>
        </w:rPr>
        <w:t>, 2012</w:t>
      </w:r>
      <w:r>
        <w:rPr>
          <w:rFonts w:ascii="Times New Roman" w:hAnsi="Times New Roman" w:cs="Times New Roman"/>
          <w:sz w:val="24"/>
          <w:szCs w:val="24"/>
        </w:rPr>
        <w:t>); iii. cuando el impacto de la medida se mide a través del cambio en el volumen comerciado, se lo analiza como consecuencia de cambios en las inversiones directas debido a diferencias en la rigurosidad de las políticas ambientales –hipótesis del refugio de la contaminación (</w:t>
      </w:r>
      <w:proofErr w:type="spellStart"/>
      <w:r w:rsidRPr="000A53D3">
        <w:rPr>
          <w:rFonts w:ascii="Times New Roman" w:hAnsi="Times New Roman" w:cs="Times New Roman"/>
          <w:i/>
          <w:sz w:val="24"/>
          <w:szCs w:val="24"/>
        </w:rPr>
        <w:t>pollution</w:t>
      </w:r>
      <w:proofErr w:type="spellEnd"/>
      <w:r>
        <w:rPr>
          <w:rFonts w:ascii="Times New Roman" w:hAnsi="Times New Roman" w:cs="Times New Roman"/>
          <w:sz w:val="24"/>
          <w:szCs w:val="24"/>
        </w:rPr>
        <w:t xml:space="preserve"> </w:t>
      </w:r>
      <w:proofErr w:type="spellStart"/>
      <w:r w:rsidRPr="000A53D3">
        <w:rPr>
          <w:rFonts w:ascii="Times New Roman" w:hAnsi="Times New Roman" w:cs="Times New Roman"/>
          <w:i/>
          <w:sz w:val="24"/>
          <w:szCs w:val="24"/>
        </w:rPr>
        <w:t>heaven</w:t>
      </w:r>
      <w:proofErr w:type="spellEnd"/>
      <w:r>
        <w:rPr>
          <w:rFonts w:ascii="Times New Roman" w:hAnsi="Times New Roman" w:cs="Times New Roman"/>
          <w:sz w:val="24"/>
          <w:szCs w:val="24"/>
        </w:rPr>
        <w:t xml:space="preserve">)– o por cambios tecnológicos inducidos por modificaciones en la rigurosidad de la política ambiental interna –hipótesis de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 que se analiza más adelante–. Por lo tanto, son menos los estudios acerca del impacto de medidas ambientales que son comparables a los de impacto de medidas sanitarias.</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A continuación se van a responder las dudas que surgen respecto al impacto de las medidas sanitarias y ambientales sobre el comercio.</w:t>
      </w:r>
    </w:p>
    <w:p w:rsidR="009813EA" w:rsidRPr="000A53D3" w:rsidRDefault="009813EA" w:rsidP="00AC722C">
      <w:pPr>
        <w:pStyle w:val="Normal1"/>
        <w:spacing w:after="80" w:line="360" w:lineRule="auto"/>
        <w:rPr>
          <w:rFonts w:ascii="Times New Roman" w:hAnsi="Times New Roman" w:cs="Times New Roman"/>
          <w:i/>
          <w:sz w:val="24"/>
          <w:szCs w:val="24"/>
        </w:rPr>
      </w:pPr>
      <w:r w:rsidRPr="000A53D3">
        <w:rPr>
          <w:rFonts w:ascii="Times New Roman" w:hAnsi="Times New Roman" w:cs="Times New Roman"/>
          <w:i/>
          <w:sz w:val="24"/>
          <w:szCs w:val="24"/>
        </w:rPr>
        <w:t>i. Estas medidas, ¿disminuyen o incentivan el comercio? ¿</w:t>
      </w:r>
      <w:proofErr w:type="gramStart"/>
      <w:r w:rsidR="00C0417E">
        <w:rPr>
          <w:rFonts w:ascii="Times New Roman" w:hAnsi="Times New Roman" w:cs="Times New Roman"/>
          <w:i/>
          <w:sz w:val="24"/>
          <w:szCs w:val="24"/>
        </w:rPr>
        <w:t>son</w:t>
      </w:r>
      <w:proofErr w:type="gramEnd"/>
      <w:r w:rsidR="00C0417E">
        <w:rPr>
          <w:rFonts w:ascii="Times New Roman" w:hAnsi="Times New Roman" w:cs="Times New Roman"/>
          <w:i/>
          <w:sz w:val="24"/>
          <w:szCs w:val="24"/>
        </w:rPr>
        <w:t xml:space="preserve"> </w:t>
      </w:r>
      <w:r w:rsidRPr="000A53D3">
        <w:rPr>
          <w:rFonts w:ascii="Times New Roman" w:hAnsi="Times New Roman" w:cs="Times New Roman"/>
          <w:i/>
          <w:sz w:val="24"/>
          <w:szCs w:val="24"/>
        </w:rPr>
        <w:t>barreras o catalizadores?</w:t>
      </w:r>
    </w:p>
    <w:p w:rsidR="009813EA" w:rsidRPr="000A53D3" w:rsidRDefault="009813EA" w:rsidP="00AC722C">
      <w:pPr>
        <w:pStyle w:val="Normal1"/>
        <w:spacing w:after="80" w:line="360" w:lineRule="auto"/>
        <w:jc w:val="both"/>
        <w:rPr>
          <w:rFonts w:ascii="Times New Roman" w:hAnsi="Times New Roman" w:cs="Times New Roman"/>
          <w:i/>
          <w:sz w:val="24"/>
          <w:szCs w:val="24"/>
        </w:rPr>
      </w:pPr>
      <w:proofErr w:type="spellStart"/>
      <w:r w:rsidRPr="000A53D3">
        <w:rPr>
          <w:rFonts w:ascii="Times New Roman" w:hAnsi="Times New Roman" w:cs="Times New Roman"/>
          <w:i/>
          <w:sz w:val="24"/>
          <w:szCs w:val="24"/>
        </w:rPr>
        <w:t>i.a</w:t>
      </w:r>
      <w:proofErr w:type="spellEnd"/>
      <w:r w:rsidRPr="000A53D3">
        <w:rPr>
          <w:rFonts w:ascii="Times New Roman" w:hAnsi="Times New Roman" w:cs="Times New Roman"/>
          <w:i/>
          <w:sz w:val="24"/>
          <w:szCs w:val="24"/>
        </w:rPr>
        <w:t>. debate teórico</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debate teórico hay consenso en que las medidas de frontera facilitan o restringen el comercio según la forma que asuman y en cuánto varíe el costo de cumplimiento para el exportador y el productor local.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En principio, estas medidas no arancelarias deberían incentivar el comercio. El motivo es que al contar todos los países con normas similares, se reducen los costos de transacción, tanto si son normas sobre el producto o sobre el proceso. De este modo, estas normas actuarían como “catalizadores” del comercio (</w:t>
      </w:r>
      <w:proofErr w:type="spellStart"/>
      <w:r w:rsidRPr="00D438F8">
        <w:rPr>
          <w:rFonts w:ascii="Times New Roman" w:hAnsi="Times New Roman" w:cs="Times New Roman"/>
          <w:sz w:val="24"/>
          <w:szCs w:val="24"/>
        </w:rPr>
        <w:t>Maertens</w:t>
      </w:r>
      <w:proofErr w:type="spellEnd"/>
      <w:r w:rsidRPr="00D438F8">
        <w:rPr>
          <w:rFonts w:ascii="Times New Roman" w:hAnsi="Times New Roman" w:cs="Times New Roman"/>
          <w:sz w:val="24"/>
          <w:szCs w:val="24"/>
        </w:rPr>
        <w:t xml:space="preserve"> y </w:t>
      </w:r>
      <w:proofErr w:type="spellStart"/>
      <w:r w:rsidRPr="00D438F8">
        <w:rPr>
          <w:rFonts w:ascii="Times New Roman" w:hAnsi="Times New Roman" w:cs="Times New Roman"/>
          <w:sz w:val="24"/>
          <w:szCs w:val="24"/>
        </w:rPr>
        <w:t>Swinnen</w:t>
      </w:r>
      <w:proofErr w:type="spellEnd"/>
      <w:r>
        <w:rPr>
          <w:rFonts w:ascii="Times New Roman" w:hAnsi="Times New Roman" w:cs="Times New Roman"/>
          <w:sz w:val="24"/>
          <w:szCs w:val="24"/>
        </w:rPr>
        <w:t>, 2008). En el caso de normas sobre el proceso productivo, estas pueden ser aprovechadas por las empresas exportadoras que buscan ingresar a los mercados externos a través de la adopción de certificaciones internacionales. Al respecto</w:t>
      </w:r>
      <w:r w:rsidRPr="00B31098">
        <w:rPr>
          <w:rFonts w:ascii="Times New Roman" w:hAnsi="Times New Roman" w:cs="Times New Roman"/>
          <w:sz w:val="24"/>
          <w:szCs w:val="24"/>
        </w:rPr>
        <w:t xml:space="preserve">, </w:t>
      </w:r>
      <w:proofErr w:type="spellStart"/>
      <w:r w:rsidRPr="00B31098">
        <w:rPr>
          <w:rFonts w:ascii="Times New Roman" w:hAnsi="Times New Roman" w:cs="Times New Roman"/>
          <w:sz w:val="24"/>
          <w:szCs w:val="24"/>
        </w:rPr>
        <w:t>Fikru</w:t>
      </w:r>
      <w:proofErr w:type="spellEnd"/>
      <w:r w:rsidRPr="00B31098">
        <w:rPr>
          <w:rFonts w:ascii="Times New Roman" w:hAnsi="Times New Roman" w:cs="Times New Roman"/>
          <w:sz w:val="24"/>
          <w:szCs w:val="24"/>
        </w:rPr>
        <w:t xml:space="preserve"> (</w:t>
      </w:r>
      <w:r>
        <w:rPr>
          <w:rFonts w:ascii="Times New Roman" w:hAnsi="Times New Roman" w:cs="Times New Roman"/>
          <w:sz w:val="24"/>
          <w:szCs w:val="24"/>
        </w:rPr>
        <w:t>2014) concluye que las empresas de los países en desarrollo son más propensas a adoptar las certificaciones vinculadas con el desempeño ambiental y sanitario, como ISO 14000 –sistema de gestión ambiental–, Global</w:t>
      </w:r>
      <w:r w:rsidR="00CF1B84">
        <w:rPr>
          <w:rFonts w:ascii="Times New Roman" w:hAnsi="Times New Roman" w:cs="Times New Roman"/>
          <w:sz w:val="24"/>
          <w:szCs w:val="24"/>
        </w:rPr>
        <w:t xml:space="preserve"> </w:t>
      </w:r>
      <w:r>
        <w:rPr>
          <w:rFonts w:ascii="Times New Roman" w:hAnsi="Times New Roman" w:cs="Times New Roman"/>
          <w:sz w:val="24"/>
          <w:szCs w:val="24"/>
        </w:rPr>
        <w:t>G</w:t>
      </w:r>
      <w:r w:rsidR="00CF1B84">
        <w:rPr>
          <w:rFonts w:ascii="Times New Roman" w:hAnsi="Times New Roman" w:cs="Times New Roman"/>
          <w:sz w:val="24"/>
          <w:szCs w:val="24"/>
        </w:rPr>
        <w:t>.</w:t>
      </w:r>
      <w:r>
        <w:rPr>
          <w:rFonts w:ascii="Times New Roman" w:hAnsi="Times New Roman" w:cs="Times New Roman"/>
          <w:sz w:val="24"/>
          <w:szCs w:val="24"/>
        </w:rPr>
        <w:t>A</w:t>
      </w:r>
      <w:r w:rsidR="00CF1B84">
        <w:rPr>
          <w:rFonts w:ascii="Times New Roman" w:hAnsi="Times New Roman" w:cs="Times New Roman"/>
          <w:sz w:val="24"/>
          <w:szCs w:val="24"/>
        </w:rPr>
        <w:t>.</w:t>
      </w:r>
      <w:r>
        <w:rPr>
          <w:rFonts w:ascii="Times New Roman" w:hAnsi="Times New Roman" w:cs="Times New Roman"/>
          <w:sz w:val="24"/>
          <w:szCs w:val="24"/>
        </w:rPr>
        <w:t>P</w:t>
      </w:r>
      <w:r w:rsidR="00CF1B84">
        <w:rPr>
          <w:rFonts w:ascii="Times New Roman" w:hAnsi="Times New Roman" w:cs="Times New Roman"/>
          <w:sz w:val="24"/>
          <w:szCs w:val="24"/>
        </w:rPr>
        <w:t>.</w:t>
      </w:r>
      <w:r>
        <w:rPr>
          <w:rFonts w:ascii="Times New Roman" w:hAnsi="Times New Roman" w:cs="Times New Roman"/>
          <w:sz w:val="24"/>
          <w:szCs w:val="24"/>
        </w:rPr>
        <w:t xml:space="preserve"> –buenas prácticas agrícolas– y HACCP –sistema para asegurar la inocuidad de los alimentos–, cuando se especializan en exportar a mercados exigentes en la calidad e inocuidad de los alimentos y cuando son filiales de empresas multinacionales o son propiedad de empresas de países desarrollados.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si el costo de cumplimiento para el productor local es mayor que para el extranjero, el estándar actúa como un catalizador del comercio. Esta situación puede </w:t>
      </w:r>
      <w:r w:rsidR="00C0417E">
        <w:rPr>
          <w:rFonts w:ascii="Times New Roman" w:hAnsi="Times New Roman" w:cs="Times New Roman"/>
          <w:sz w:val="24"/>
          <w:szCs w:val="24"/>
        </w:rPr>
        <w:t>cambiar</w:t>
      </w:r>
      <w:r>
        <w:rPr>
          <w:rFonts w:ascii="Times New Roman" w:hAnsi="Times New Roman" w:cs="Times New Roman"/>
          <w:sz w:val="24"/>
          <w:szCs w:val="24"/>
        </w:rPr>
        <w:t xml:space="preserve"> si el lobby local logra modificar el estándar para beneficiarlos </w:t>
      </w:r>
      <w:r w:rsidRPr="00B31098">
        <w:rPr>
          <w:rFonts w:ascii="Times New Roman" w:hAnsi="Times New Roman" w:cs="Times New Roman"/>
          <w:sz w:val="24"/>
          <w:szCs w:val="24"/>
        </w:rPr>
        <w:t>(</w:t>
      </w:r>
      <w:proofErr w:type="spellStart"/>
      <w:r w:rsidRPr="00B31098">
        <w:rPr>
          <w:rFonts w:ascii="Times New Roman" w:hAnsi="Times New Roman" w:cs="Times New Roman"/>
          <w:sz w:val="24"/>
          <w:szCs w:val="24"/>
        </w:rPr>
        <w:t>Swinnen</w:t>
      </w:r>
      <w:proofErr w:type="spellEnd"/>
      <w:r w:rsidRPr="00B31098">
        <w:rPr>
          <w:rFonts w:ascii="Times New Roman" w:hAnsi="Times New Roman" w:cs="Times New Roman"/>
          <w:sz w:val="24"/>
          <w:szCs w:val="24"/>
        </w:rPr>
        <w:t>, 2017).</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Sin embargo, un país puede dictar normas con la intención de limitar las importaciones cuando hace un uso discriminatorio de las medidas (</w:t>
      </w:r>
      <w:proofErr w:type="spellStart"/>
      <w:r>
        <w:rPr>
          <w:rFonts w:ascii="Times New Roman" w:hAnsi="Times New Roman" w:cs="Times New Roman"/>
          <w:sz w:val="24"/>
          <w:szCs w:val="24"/>
        </w:rPr>
        <w:t>Maertens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Swinnen</w:t>
      </w:r>
      <w:proofErr w:type="spellEnd"/>
      <w:r>
        <w:rPr>
          <w:rFonts w:ascii="Times New Roman" w:hAnsi="Times New Roman" w:cs="Times New Roman"/>
          <w:sz w:val="24"/>
          <w:szCs w:val="24"/>
        </w:rPr>
        <w:t xml:space="preserve">, 2008): i. al fijar estándares con requisitos difíciles de cumplir para el exportador del otro país pero más sencillo para el país que impone la norma; ii. </w:t>
      </w:r>
      <w:proofErr w:type="gramStart"/>
      <w:r>
        <w:rPr>
          <w:rFonts w:ascii="Times New Roman" w:hAnsi="Times New Roman" w:cs="Times New Roman"/>
          <w:sz w:val="24"/>
          <w:szCs w:val="24"/>
        </w:rPr>
        <w:t>cuando</w:t>
      </w:r>
      <w:proofErr w:type="gramEnd"/>
      <w:r>
        <w:rPr>
          <w:rFonts w:ascii="Times New Roman" w:hAnsi="Times New Roman" w:cs="Times New Roman"/>
          <w:sz w:val="24"/>
          <w:szCs w:val="24"/>
        </w:rPr>
        <w:t xml:space="preserve"> es mayor el costo de cumplimiento para los productores del exterior, en especial si son empresas de países en desarrollo que carecen de la infraestructura necesaria y de capacidades técnicas y científicas suficientes y disponibles. </w:t>
      </w:r>
    </w:p>
    <w:p w:rsidR="009813EA" w:rsidRPr="000A53D3" w:rsidRDefault="009813EA" w:rsidP="00AC722C">
      <w:pPr>
        <w:pStyle w:val="Normal1"/>
        <w:spacing w:after="80" w:line="360" w:lineRule="auto"/>
        <w:jc w:val="both"/>
        <w:rPr>
          <w:rFonts w:ascii="Times New Roman" w:hAnsi="Times New Roman" w:cs="Times New Roman"/>
          <w:i/>
          <w:sz w:val="24"/>
          <w:szCs w:val="24"/>
        </w:rPr>
      </w:pPr>
      <w:proofErr w:type="spellStart"/>
      <w:r w:rsidRPr="000A53D3">
        <w:rPr>
          <w:rFonts w:ascii="Times New Roman" w:hAnsi="Times New Roman" w:cs="Times New Roman"/>
          <w:i/>
          <w:sz w:val="24"/>
          <w:szCs w:val="24"/>
        </w:rPr>
        <w:t>i.b</w:t>
      </w:r>
      <w:proofErr w:type="spellEnd"/>
      <w:r w:rsidRPr="000A53D3">
        <w:rPr>
          <w:rFonts w:ascii="Times New Roman" w:hAnsi="Times New Roman" w:cs="Times New Roman"/>
          <w:i/>
          <w:sz w:val="24"/>
          <w:szCs w:val="24"/>
        </w:rPr>
        <w:t>. Evidencia empírica</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De la revisión de trabajos empíricos que, mediante un modelo econométrico de tipo gravitacional revisan el impacto de las medidas sanitarias y técnicas sobre el comercio de productos agrícolas, </w:t>
      </w:r>
      <w:proofErr w:type="spellStart"/>
      <w:r w:rsidRPr="00B31098">
        <w:rPr>
          <w:rFonts w:ascii="Times New Roman" w:hAnsi="Times New Roman" w:cs="Times New Roman"/>
          <w:sz w:val="24"/>
          <w:szCs w:val="24"/>
        </w:rPr>
        <w:t>Galperín</w:t>
      </w:r>
      <w:proofErr w:type="spellEnd"/>
      <w:r w:rsidRPr="00B31098">
        <w:rPr>
          <w:rFonts w:ascii="Times New Roman" w:hAnsi="Times New Roman" w:cs="Times New Roman"/>
          <w:sz w:val="24"/>
          <w:szCs w:val="24"/>
        </w:rPr>
        <w:t xml:space="preserve"> (2013)</w:t>
      </w:r>
      <w:r>
        <w:rPr>
          <w:rFonts w:ascii="Times New Roman" w:hAnsi="Times New Roman" w:cs="Times New Roman"/>
          <w:sz w:val="24"/>
          <w:szCs w:val="24"/>
        </w:rPr>
        <w:t xml:space="preserve"> concluye que: i. en general el impacto es negativo, pero hay casos de impacto positivo; ii. los más perjudicados son los exportadores de los países en desarrollo; iii. el impacto es mayor en las empresas de menor tamaño porque no suelen contar con recursos suficientes para poder cumplir con los estándares; iv. se benefician las empresas que logran pasar la barrera –gracias a los recursos técnicos y financieros de que disponen– y así ganan participación en el mercado a expensas de los exportadores que no lo logran. En una </w:t>
      </w:r>
      <w:r>
        <w:rPr>
          <w:rFonts w:ascii="Times New Roman" w:hAnsi="Times New Roman" w:cs="Times New Roman"/>
          <w:sz w:val="24"/>
          <w:szCs w:val="24"/>
        </w:rPr>
        <w:lastRenderedPageBreak/>
        <w:t xml:space="preserve">revisión </w:t>
      </w:r>
      <w:r w:rsidRPr="00B31098">
        <w:rPr>
          <w:rFonts w:ascii="Times New Roman" w:hAnsi="Times New Roman" w:cs="Times New Roman"/>
          <w:sz w:val="24"/>
          <w:szCs w:val="24"/>
        </w:rPr>
        <w:t xml:space="preserve">más reciente, </w:t>
      </w:r>
      <w:proofErr w:type="spellStart"/>
      <w:r w:rsidRPr="00B31098">
        <w:rPr>
          <w:rFonts w:ascii="Times New Roman" w:hAnsi="Times New Roman" w:cs="Times New Roman"/>
          <w:sz w:val="24"/>
          <w:szCs w:val="24"/>
        </w:rPr>
        <w:t>Santeramo</w:t>
      </w:r>
      <w:proofErr w:type="spellEnd"/>
      <w:r w:rsidRPr="00B31098">
        <w:rPr>
          <w:rFonts w:ascii="Times New Roman" w:hAnsi="Times New Roman" w:cs="Times New Roman"/>
          <w:sz w:val="24"/>
          <w:szCs w:val="24"/>
        </w:rPr>
        <w:t xml:space="preserve"> y </w:t>
      </w:r>
      <w:proofErr w:type="spellStart"/>
      <w:r w:rsidRPr="00B31098">
        <w:rPr>
          <w:rFonts w:ascii="Times New Roman" w:hAnsi="Times New Roman" w:cs="Times New Roman"/>
          <w:sz w:val="24"/>
          <w:szCs w:val="24"/>
        </w:rPr>
        <w:t>Lamonaca</w:t>
      </w:r>
      <w:proofErr w:type="spellEnd"/>
      <w:r w:rsidRPr="00B31098">
        <w:rPr>
          <w:rFonts w:ascii="Times New Roman" w:hAnsi="Times New Roman" w:cs="Times New Roman"/>
          <w:sz w:val="24"/>
          <w:szCs w:val="24"/>
        </w:rPr>
        <w:t xml:space="preserve"> (2019</w:t>
      </w:r>
      <w:r>
        <w:rPr>
          <w:rFonts w:ascii="Times New Roman" w:hAnsi="Times New Roman" w:cs="Times New Roman"/>
          <w:sz w:val="24"/>
          <w:szCs w:val="24"/>
        </w:rPr>
        <w:t>) concluyen que los resultados son heterogéneos pero que los impactos negativos prevalecen en las exportaciones de</w:t>
      </w:r>
      <w:r w:rsidR="00CF1B84">
        <w:rPr>
          <w:rFonts w:ascii="Times New Roman" w:hAnsi="Times New Roman" w:cs="Times New Roman"/>
          <w:sz w:val="24"/>
          <w:szCs w:val="24"/>
        </w:rPr>
        <w:t xml:space="preserve"> los PED</w:t>
      </w:r>
      <w:r>
        <w:rPr>
          <w:rFonts w:ascii="Times New Roman" w:hAnsi="Times New Roman" w:cs="Times New Roman"/>
          <w:sz w:val="24"/>
          <w:szCs w:val="24"/>
        </w:rPr>
        <w:t xml:space="preserve"> hacia </w:t>
      </w:r>
      <w:r w:rsidR="00CF1B84">
        <w:rPr>
          <w:rFonts w:ascii="Times New Roman" w:hAnsi="Times New Roman" w:cs="Times New Roman"/>
          <w:sz w:val="24"/>
          <w:szCs w:val="24"/>
        </w:rPr>
        <w:t>los PD</w:t>
      </w:r>
      <w:r>
        <w:rPr>
          <w:rFonts w:ascii="Times New Roman" w:hAnsi="Times New Roman" w:cs="Times New Roman"/>
          <w:sz w:val="24"/>
          <w:szCs w:val="24"/>
        </w:rPr>
        <w:t xml:space="preserve"> y que el impacto es positivo si atañe al comercio entre países desarrollados.</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En relación con el costo de cumplimiento, si bien no suele superar el 3% del valor de la exportación (</w:t>
      </w:r>
      <w:proofErr w:type="spellStart"/>
      <w:r>
        <w:rPr>
          <w:rFonts w:ascii="Times New Roman" w:hAnsi="Times New Roman" w:cs="Times New Roman"/>
          <w:sz w:val="24"/>
          <w:szCs w:val="24"/>
        </w:rPr>
        <w:t>Maertens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Swinnen</w:t>
      </w:r>
      <w:proofErr w:type="spellEnd"/>
      <w:r>
        <w:rPr>
          <w:rFonts w:ascii="Times New Roman" w:hAnsi="Times New Roman" w:cs="Times New Roman"/>
          <w:sz w:val="24"/>
          <w:szCs w:val="24"/>
        </w:rPr>
        <w:t>, 2008), este valor debe ponderarse con el margen de ganancia de cada empresa, mientras que el costo de no cumplir suele ser muy alto, como detenciones en la aduana y barreras específicas para los productos del país “incumplidor”.</w:t>
      </w:r>
    </w:p>
    <w:p w:rsidR="009813EA" w:rsidRDefault="009813EA" w:rsidP="00AC722C">
      <w:pPr>
        <w:pStyle w:val="Normal1"/>
        <w:spacing w:after="80" w:line="360" w:lineRule="auto"/>
        <w:jc w:val="both"/>
        <w:rPr>
          <w:rFonts w:ascii="Times New Roman" w:hAnsi="Times New Roman" w:cs="Times New Roman"/>
          <w:i/>
          <w:sz w:val="24"/>
          <w:szCs w:val="24"/>
        </w:rPr>
      </w:pPr>
      <w:r>
        <w:rPr>
          <w:rFonts w:ascii="Times New Roman" w:hAnsi="Times New Roman" w:cs="Times New Roman"/>
          <w:i/>
          <w:sz w:val="24"/>
          <w:szCs w:val="24"/>
        </w:rPr>
        <w:t>i</w:t>
      </w:r>
      <w:r w:rsidRPr="00141DE9">
        <w:rPr>
          <w:rFonts w:ascii="Times New Roman" w:hAnsi="Times New Roman" w:cs="Times New Roman"/>
          <w:i/>
          <w:sz w:val="24"/>
          <w:szCs w:val="24"/>
        </w:rPr>
        <w:t xml:space="preserve">i. Estas medidas, ¿disminuyen o </w:t>
      </w:r>
      <w:r>
        <w:rPr>
          <w:rFonts w:ascii="Times New Roman" w:hAnsi="Times New Roman" w:cs="Times New Roman"/>
          <w:i/>
          <w:sz w:val="24"/>
          <w:szCs w:val="24"/>
        </w:rPr>
        <w:t>mejoran la competitividad de las empresas involucradas</w:t>
      </w:r>
      <w:r w:rsidRPr="00141DE9">
        <w:rPr>
          <w:rFonts w:ascii="Times New Roman" w:hAnsi="Times New Roman" w:cs="Times New Roman"/>
          <w:i/>
          <w:sz w:val="24"/>
          <w:szCs w:val="24"/>
        </w:rPr>
        <w:t xml:space="preserve">?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La visión tradicional es que las medidas de política ambiental aumentan el costo de las empresas y reducen sus ventajas </w:t>
      </w:r>
      <w:r w:rsidRPr="00B31098">
        <w:rPr>
          <w:rFonts w:ascii="Times New Roman" w:hAnsi="Times New Roman" w:cs="Times New Roman"/>
          <w:sz w:val="24"/>
          <w:szCs w:val="24"/>
        </w:rPr>
        <w:t>competitivas (</w:t>
      </w:r>
      <w:proofErr w:type="spellStart"/>
      <w:r w:rsidRPr="00B31098">
        <w:rPr>
          <w:rFonts w:ascii="Times New Roman" w:hAnsi="Times New Roman" w:cs="Times New Roman"/>
          <w:sz w:val="24"/>
          <w:szCs w:val="24"/>
        </w:rPr>
        <w:t>Jaffe</w:t>
      </w:r>
      <w:proofErr w:type="spellEnd"/>
      <w:r w:rsidRPr="00B31098">
        <w:rPr>
          <w:rFonts w:ascii="Times New Roman" w:hAnsi="Times New Roman" w:cs="Times New Roman"/>
          <w:sz w:val="24"/>
          <w:szCs w:val="24"/>
        </w:rPr>
        <w:t xml:space="preserve"> </w:t>
      </w:r>
      <w:r w:rsidRPr="00B31098">
        <w:rPr>
          <w:rFonts w:ascii="Times New Roman" w:hAnsi="Times New Roman" w:cs="Times New Roman"/>
          <w:i/>
          <w:sz w:val="24"/>
          <w:szCs w:val="24"/>
        </w:rPr>
        <w:t>et al</w:t>
      </w:r>
      <w:r w:rsidRPr="00B31098">
        <w:rPr>
          <w:rFonts w:ascii="Times New Roman" w:hAnsi="Times New Roman" w:cs="Times New Roman"/>
          <w:sz w:val="24"/>
          <w:szCs w:val="24"/>
        </w:rPr>
        <w:t xml:space="preserve">., 1995). Pero también se ha planteado lo opuesto: medidas ambientales más exigentes pueden mejorar la competitividad. Esto es conocido como la hipótesis de </w:t>
      </w:r>
      <w:proofErr w:type="spellStart"/>
      <w:r w:rsidRPr="00B31098">
        <w:rPr>
          <w:rFonts w:ascii="Times New Roman" w:hAnsi="Times New Roman" w:cs="Times New Roman"/>
          <w:sz w:val="24"/>
          <w:szCs w:val="24"/>
        </w:rPr>
        <w:t>Porter</w:t>
      </w:r>
      <w:proofErr w:type="spellEnd"/>
      <w:r w:rsidRPr="00B31098">
        <w:rPr>
          <w:rFonts w:ascii="Times New Roman" w:hAnsi="Times New Roman" w:cs="Times New Roman"/>
          <w:sz w:val="24"/>
          <w:szCs w:val="24"/>
        </w:rPr>
        <w:t xml:space="preserve"> (</w:t>
      </w:r>
      <w:proofErr w:type="spellStart"/>
      <w:r w:rsidRPr="00B31098">
        <w:rPr>
          <w:rFonts w:ascii="Times New Roman" w:hAnsi="Times New Roman" w:cs="Times New Roman"/>
          <w:sz w:val="24"/>
          <w:szCs w:val="24"/>
        </w:rPr>
        <w:t>Porter</w:t>
      </w:r>
      <w:proofErr w:type="spellEnd"/>
      <w:r>
        <w:rPr>
          <w:rFonts w:ascii="Times New Roman" w:hAnsi="Times New Roman" w:cs="Times New Roman"/>
          <w:sz w:val="24"/>
          <w:szCs w:val="24"/>
        </w:rPr>
        <w:t xml:space="preserve"> y van der Linde, 1995). Según estos autores, unas medidas ambientales adecuadamente diseñadas, pueden alentar innovaciones que pueden compensar, parcial o totalmente, el costo de cumplir con ella. A dichas innovaciones las denominan “innovaciones compensatorias” que, además de reducir el costo de cumplir con las regulaciones ambientales, pueden mejorar la competitividad en relación con empresas de otros países que no están sujetas a las mismas regulaciones.</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En su análisis suponen que las empresas no eligen siempre la opción óptima, sino que se encuentran en un mundo con oportunidades tecnológicas cambiantes, información incompleta e inercia organizacional. Con este marco consideran que una regulación bien diseñada puede servir para: i. que las empresas se den cuentan de probables ineficiencias en el uso de los recursos y de las mejoras tecnológicas potenciales a aplicar; ii. que se reduzca la incertidumbre sobre el valor que tienen las inversiones “verdes”; iii. presionar a las empresas a innovar, presión externa que puede vencer la inercia organizacional, de la misma manera que lo hace la presencia de competidores fuertes, el aumento del costo de la materia prima o la demanda de los clientes.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Estas innovaciones compensatorias pueden darse tanto en el producto como en el proceso productivo. De las medidas ambientales prefieren a las regulaciones que se fijan en los resultados y a los instrumentos económicos.</w:t>
      </w:r>
    </w:p>
    <w:p w:rsidR="009813EA" w:rsidRPr="00141DE9" w:rsidRDefault="009813EA" w:rsidP="00AC722C">
      <w:pPr>
        <w:pStyle w:val="Normal1"/>
        <w:spacing w:after="80" w:line="360" w:lineRule="auto"/>
        <w:jc w:val="both"/>
        <w:rPr>
          <w:rFonts w:ascii="Times New Roman" w:hAnsi="Times New Roman" w:cs="Times New Roman"/>
          <w:i/>
          <w:sz w:val="24"/>
          <w:szCs w:val="24"/>
        </w:rPr>
      </w:pPr>
      <w:r>
        <w:rPr>
          <w:rFonts w:ascii="Times New Roman" w:hAnsi="Times New Roman" w:cs="Times New Roman"/>
          <w:sz w:val="24"/>
          <w:szCs w:val="24"/>
        </w:rPr>
        <w:t>Esta hipótesis generó dos tipos de debate: uno fue sobre los fundamentos teóricos de la hipótesis mientras que otro se refirió a la evidencia empírica.</w:t>
      </w:r>
    </w:p>
    <w:p w:rsidR="009813EA" w:rsidRPr="00141DE9" w:rsidRDefault="009813EA" w:rsidP="00AC722C">
      <w:pPr>
        <w:pStyle w:val="Normal1"/>
        <w:spacing w:after="80" w:line="36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i</w:t>
      </w:r>
      <w:r w:rsidRPr="00141DE9">
        <w:rPr>
          <w:rFonts w:ascii="Times New Roman" w:hAnsi="Times New Roman" w:cs="Times New Roman"/>
          <w:i/>
          <w:sz w:val="24"/>
          <w:szCs w:val="24"/>
        </w:rPr>
        <w:t>i.a</w:t>
      </w:r>
      <w:proofErr w:type="spellEnd"/>
      <w:r w:rsidRPr="00141DE9">
        <w:rPr>
          <w:rFonts w:ascii="Times New Roman" w:hAnsi="Times New Roman" w:cs="Times New Roman"/>
          <w:i/>
          <w:sz w:val="24"/>
          <w:szCs w:val="24"/>
        </w:rPr>
        <w:t>. debate teórico</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 supuesto de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 xml:space="preserve"> y van der Linde de que las empresas no siempre optimizan se le contraponen cuatro alternativas: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a. el supuesto neoclásico de que las empresas maximizan beneficios y que toda regulación tiene tanto beneficios como costos que deben analizarse en cada caso. La respuesta neoclásica inicial la dieron </w:t>
      </w:r>
      <w:r w:rsidRPr="00B31098">
        <w:rPr>
          <w:rFonts w:ascii="Times New Roman" w:hAnsi="Times New Roman" w:cs="Times New Roman"/>
          <w:sz w:val="24"/>
          <w:szCs w:val="24"/>
        </w:rPr>
        <w:t xml:space="preserve">Palmer </w:t>
      </w:r>
      <w:r w:rsidRPr="00B31098">
        <w:rPr>
          <w:rFonts w:ascii="Times New Roman" w:hAnsi="Times New Roman" w:cs="Times New Roman"/>
          <w:i/>
          <w:sz w:val="24"/>
          <w:szCs w:val="24"/>
        </w:rPr>
        <w:t>et al</w:t>
      </w:r>
      <w:r w:rsidRPr="00B31098">
        <w:rPr>
          <w:rFonts w:ascii="Times New Roman" w:hAnsi="Times New Roman" w:cs="Times New Roman"/>
          <w:sz w:val="24"/>
          <w:szCs w:val="24"/>
        </w:rPr>
        <w:t>. (1995),</w:t>
      </w:r>
      <w:r>
        <w:rPr>
          <w:rFonts w:ascii="Times New Roman" w:hAnsi="Times New Roman" w:cs="Times New Roman"/>
          <w:sz w:val="24"/>
          <w:szCs w:val="24"/>
        </w:rPr>
        <w:t xml:space="preserve"> quienes critican a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 xml:space="preserve"> su metodología casuística de coleccionar casos que concuerdan con su hipótesis y así inferir una conclusión general, sin tomar en cuenta los casos contrarios en los que una regulación más estricta incrementó los costos y redujo los beneficios de las empresas. Si bien concuerdan en que las empresas no están siempre atentas a posibles mejoras en la eficiencia y que la regulación a veces ha inducido el descubrimiento de innovaciones ahorradoras de costos o que mejoran la calidad del producto, no por eso toda medida de política ambiental tiene un beneficio que compensa su costo. Esto es, las empresas no dejan de lado de manera sistemática oportunidades de mejora. En vez de afirmar que las regulaciones tienen un costo neto igual a cero porque hay innovaciones compensatorias, Palmer </w:t>
      </w:r>
      <w:r w:rsidRPr="0082101C">
        <w:rPr>
          <w:rFonts w:ascii="Times New Roman" w:hAnsi="Times New Roman" w:cs="Times New Roman"/>
          <w:i/>
          <w:sz w:val="24"/>
          <w:szCs w:val="24"/>
        </w:rPr>
        <w:t>et al</w:t>
      </w:r>
      <w:r>
        <w:rPr>
          <w:rFonts w:ascii="Times New Roman" w:hAnsi="Times New Roman" w:cs="Times New Roman"/>
          <w:sz w:val="24"/>
          <w:szCs w:val="24"/>
        </w:rPr>
        <w:t>. (1995) sostienen que el enfoque adecuado para evaluar las regulaciones es el del análisis costo-beneficio.</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b. el supuesto de que las empresas maximizan beneficios pero existen fallas de mercado. Las fallas de mercado se pueden dar, por ejemplo, si la regulación tiene un sesgo que favorece a las empresas ya existentes; o si la inversión en investigación y desarrollo es aprovechada, aunque sea en parte, por otras empresas, la empresa sub-invierte en tecnologías limpias, salvo que la regulación le exija lo contrario (</w:t>
      </w:r>
      <w:proofErr w:type="spellStart"/>
      <w:r>
        <w:rPr>
          <w:rFonts w:ascii="Times New Roman" w:hAnsi="Times New Roman" w:cs="Times New Roman"/>
          <w:sz w:val="24"/>
          <w:szCs w:val="24"/>
        </w:rPr>
        <w:t>Ambec</w:t>
      </w:r>
      <w:proofErr w:type="spellEnd"/>
      <w:r>
        <w:rPr>
          <w:rFonts w:ascii="Times New Roman" w:hAnsi="Times New Roman" w:cs="Times New Roman"/>
          <w:sz w:val="24"/>
          <w:szCs w:val="24"/>
        </w:rPr>
        <w:t xml:space="preserve"> </w:t>
      </w:r>
      <w:r w:rsidRPr="002C4DCA">
        <w:rPr>
          <w:rFonts w:ascii="Times New Roman" w:hAnsi="Times New Roman" w:cs="Times New Roman"/>
          <w:i/>
          <w:sz w:val="24"/>
          <w:szCs w:val="24"/>
        </w:rPr>
        <w:t>et al</w:t>
      </w:r>
      <w:r>
        <w:rPr>
          <w:rFonts w:ascii="Times New Roman" w:hAnsi="Times New Roman" w:cs="Times New Roman"/>
          <w:sz w:val="24"/>
          <w:szCs w:val="24"/>
        </w:rPr>
        <w:t xml:space="preserve">., 2011).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c. la existencia de fallas en la organización de la empresa que la mayor exigencia regulatoria tiende a corregir (</w:t>
      </w:r>
      <w:proofErr w:type="spellStart"/>
      <w:r>
        <w:rPr>
          <w:rFonts w:ascii="Times New Roman" w:hAnsi="Times New Roman" w:cs="Times New Roman"/>
          <w:sz w:val="24"/>
          <w:szCs w:val="24"/>
        </w:rPr>
        <w:t>Ambec</w:t>
      </w:r>
      <w:proofErr w:type="spellEnd"/>
      <w:r>
        <w:rPr>
          <w:rFonts w:ascii="Times New Roman" w:hAnsi="Times New Roman" w:cs="Times New Roman"/>
          <w:sz w:val="24"/>
          <w:szCs w:val="24"/>
        </w:rPr>
        <w:t xml:space="preserve"> </w:t>
      </w:r>
      <w:r w:rsidRPr="002C4DCA">
        <w:rPr>
          <w:rFonts w:ascii="Times New Roman" w:hAnsi="Times New Roman" w:cs="Times New Roman"/>
          <w:i/>
          <w:sz w:val="24"/>
          <w:szCs w:val="24"/>
        </w:rPr>
        <w:t>et al</w:t>
      </w:r>
      <w:r>
        <w:rPr>
          <w:rFonts w:ascii="Times New Roman" w:hAnsi="Times New Roman" w:cs="Times New Roman"/>
          <w:sz w:val="24"/>
          <w:szCs w:val="24"/>
        </w:rPr>
        <w:t xml:space="preserve">., 2011).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d. otros paradigmas no neoclásicos. Uno es el del </w:t>
      </w:r>
      <w:r w:rsidRPr="00C11EE0">
        <w:rPr>
          <w:rFonts w:ascii="Times New Roman" w:hAnsi="Times New Roman" w:cs="Times New Roman"/>
          <w:i/>
          <w:sz w:val="24"/>
          <w:szCs w:val="24"/>
        </w:rPr>
        <w:t>evolucionismo</w:t>
      </w:r>
      <w:r>
        <w:rPr>
          <w:rFonts w:ascii="Times New Roman" w:hAnsi="Times New Roman" w:cs="Times New Roman"/>
          <w:sz w:val="24"/>
          <w:szCs w:val="24"/>
        </w:rPr>
        <w:t xml:space="preserve"> que supone una dependencia de la trayectoria tecnológica y organizacional previa que condiciona la aplicación de innovaciones </w:t>
      </w:r>
      <w:r w:rsidRPr="00B31098">
        <w:rPr>
          <w:rFonts w:ascii="Times New Roman" w:hAnsi="Times New Roman" w:cs="Times New Roman"/>
          <w:sz w:val="24"/>
          <w:szCs w:val="24"/>
        </w:rPr>
        <w:t>(</w:t>
      </w:r>
      <w:proofErr w:type="spellStart"/>
      <w:r w:rsidRPr="00B31098">
        <w:rPr>
          <w:rFonts w:ascii="Times New Roman" w:hAnsi="Times New Roman" w:cs="Times New Roman"/>
          <w:sz w:val="24"/>
          <w:szCs w:val="24"/>
        </w:rPr>
        <w:t>Chudnovsky</w:t>
      </w:r>
      <w:proofErr w:type="spellEnd"/>
      <w:r w:rsidRPr="00B31098">
        <w:rPr>
          <w:rFonts w:ascii="Times New Roman" w:hAnsi="Times New Roman" w:cs="Times New Roman"/>
          <w:sz w:val="24"/>
          <w:szCs w:val="24"/>
        </w:rPr>
        <w:t xml:space="preserve"> </w:t>
      </w:r>
      <w:r w:rsidRPr="00B31098">
        <w:rPr>
          <w:rFonts w:ascii="Times New Roman" w:hAnsi="Times New Roman" w:cs="Times New Roman"/>
          <w:i/>
          <w:sz w:val="24"/>
          <w:szCs w:val="24"/>
        </w:rPr>
        <w:t>et al</w:t>
      </w:r>
      <w:r w:rsidRPr="00B31098">
        <w:rPr>
          <w:rFonts w:ascii="Times New Roman" w:hAnsi="Times New Roman" w:cs="Times New Roman"/>
          <w:sz w:val="24"/>
          <w:szCs w:val="24"/>
        </w:rPr>
        <w:t xml:space="preserve">., 1997). Otro enfoque es el de la </w:t>
      </w:r>
      <w:r w:rsidRPr="00B31098">
        <w:rPr>
          <w:rFonts w:ascii="Times New Roman" w:hAnsi="Times New Roman" w:cs="Times New Roman"/>
          <w:i/>
          <w:sz w:val="24"/>
          <w:szCs w:val="24"/>
        </w:rPr>
        <w:t>ineficiencia-X</w:t>
      </w:r>
      <w:r w:rsidRPr="00B31098">
        <w:rPr>
          <w:rFonts w:ascii="Times New Roman" w:hAnsi="Times New Roman" w:cs="Times New Roman"/>
          <w:sz w:val="24"/>
          <w:szCs w:val="24"/>
        </w:rPr>
        <w:t xml:space="preserve"> que sostiene que la minimización del costo es la excepción antes que la regla (</w:t>
      </w:r>
      <w:proofErr w:type="spellStart"/>
      <w:r w:rsidRPr="00B31098">
        <w:rPr>
          <w:rFonts w:ascii="Times New Roman" w:hAnsi="Times New Roman" w:cs="Times New Roman"/>
          <w:sz w:val="24"/>
          <w:szCs w:val="24"/>
        </w:rPr>
        <w:t>Leibenstein</w:t>
      </w:r>
      <w:proofErr w:type="spellEnd"/>
      <w:r w:rsidRPr="00B31098">
        <w:rPr>
          <w:rFonts w:ascii="Times New Roman" w:hAnsi="Times New Roman" w:cs="Times New Roman"/>
          <w:sz w:val="24"/>
          <w:szCs w:val="24"/>
        </w:rPr>
        <w:t>, 1981), salvo que haya una suficiente presión externa –</w:t>
      </w:r>
      <w:r w:rsidRPr="00B31098">
        <w:rPr>
          <w:rFonts w:ascii="Times New Roman" w:hAnsi="Times New Roman" w:cs="Times New Roman"/>
          <w:i/>
          <w:sz w:val="24"/>
          <w:szCs w:val="24"/>
        </w:rPr>
        <w:t>v.g</w:t>
      </w:r>
      <w:r w:rsidRPr="00B31098">
        <w:rPr>
          <w:rFonts w:ascii="Times New Roman" w:hAnsi="Times New Roman" w:cs="Times New Roman"/>
          <w:sz w:val="24"/>
          <w:szCs w:val="24"/>
        </w:rPr>
        <w:t xml:space="preserve">., regulatoria– para eliminar las ineficiencias en la producción. Otra alternativa proviene de la </w:t>
      </w:r>
      <w:r w:rsidRPr="00B31098">
        <w:rPr>
          <w:rFonts w:ascii="Times New Roman" w:hAnsi="Times New Roman" w:cs="Times New Roman"/>
          <w:i/>
          <w:sz w:val="24"/>
          <w:szCs w:val="24"/>
        </w:rPr>
        <w:t>economía austríaca</w:t>
      </w:r>
      <w:r w:rsidRPr="00B31098">
        <w:rPr>
          <w:rFonts w:ascii="Times New Roman" w:hAnsi="Times New Roman" w:cs="Times New Roman"/>
          <w:sz w:val="24"/>
          <w:szCs w:val="24"/>
        </w:rPr>
        <w:t xml:space="preserve"> que supone que la regla es que el mercado se encuentra en desequilibrio de modo que existe el error, entendido como oportunidades de mejora que pueden pasar inadvertidas para el empresario debido a la imperfección del conocimiento (</w:t>
      </w:r>
      <w:proofErr w:type="spellStart"/>
      <w:r w:rsidRPr="00B31098">
        <w:rPr>
          <w:rFonts w:ascii="Times New Roman" w:hAnsi="Times New Roman" w:cs="Times New Roman"/>
          <w:sz w:val="24"/>
          <w:szCs w:val="24"/>
        </w:rPr>
        <w:t>Kirzner</w:t>
      </w:r>
      <w:proofErr w:type="spellEnd"/>
      <w:r w:rsidRPr="00B31098">
        <w:rPr>
          <w:rFonts w:ascii="Times New Roman" w:hAnsi="Times New Roman" w:cs="Times New Roman"/>
          <w:sz w:val="24"/>
          <w:szCs w:val="24"/>
        </w:rPr>
        <w:t>, 1978)</w:t>
      </w:r>
      <w:r>
        <w:rPr>
          <w:rFonts w:ascii="Times New Roman" w:hAnsi="Times New Roman" w:cs="Times New Roman"/>
          <w:sz w:val="24"/>
          <w:szCs w:val="24"/>
        </w:rPr>
        <w:t xml:space="preserve"> </w:t>
      </w:r>
    </w:p>
    <w:p w:rsidR="009813EA" w:rsidRPr="00141DE9" w:rsidRDefault="009813EA" w:rsidP="00AC722C">
      <w:pPr>
        <w:pStyle w:val="Normal1"/>
        <w:spacing w:after="80" w:line="36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i</w:t>
      </w:r>
      <w:r w:rsidRPr="00141DE9">
        <w:rPr>
          <w:rFonts w:ascii="Times New Roman" w:hAnsi="Times New Roman" w:cs="Times New Roman"/>
          <w:i/>
          <w:sz w:val="24"/>
          <w:szCs w:val="24"/>
        </w:rPr>
        <w:t>i.b</w:t>
      </w:r>
      <w:proofErr w:type="spellEnd"/>
      <w:r w:rsidRPr="00141DE9">
        <w:rPr>
          <w:rFonts w:ascii="Times New Roman" w:hAnsi="Times New Roman" w:cs="Times New Roman"/>
          <w:i/>
          <w:sz w:val="24"/>
          <w:szCs w:val="24"/>
        </w:rPr>
        <w:t>. Evidencia empírica</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análisis de esta hipótesis dio lugar a una corriente de trabajos empíricos con resultados que varían según las versiones que asume la hipótesis (Cohen y </w:t>
      </w:r>
      <w:proofErr w:type="spellStart"/>
      <w:r>
        <w:rPr>
          <w:rFonts w:ascii="Times New Roman" w:hAnsi="Times New Roman" w:cs="Times New Roman"/>
          <w:sz w:val="24"/>
          <w:szCs w:val="24"/>
        </w:rPr>
        <w:t>Tubb</w:t>
      </w:r>
      <w:proofErr w:type="spellEnd"/>
      <w:r>
        <w:rPr>
          <w:rFonts w:ascii="Times New Roman" w:hAnsi="Times New Roman" w:cs="Times New Roman"/>
          <w:sz w:val="24"/>
          <w:szCs w:val="24"/>
        </w:rPr>
        <w:t xml:space="preserve">, 2017). Las tres versiones son la “versión débil” –la regulación estimula innovaciones cuyos costos pueden superar a los beneficios para la empresa–, la “versión fuerte” –la innovación deriva en beneficios que superan a los costos– y la “versión estrecha” –las regulaciones más flexibles ocasionan menos impactos adversos que las más rígidas debido al mayor incentivo que brindan a las empresas parar innovar–.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Artículos que revisan los trabajos empíricos (</w:t>
      </w:r>
      <w:proofErr w:type="spellStart"/>
      <w:r w:rsidRPr="00B31098">
        <w:rPr>
          <w:rFonts w:ascii="Times New Roman" w:hAnsi="Times New Roman" w:cs="Times New Roman"/>
          <w:sz w:val="24"/>
          <w:szCs w:val="24"/>
        </w:rPr>
        <w:t>Ambec</w:t>
      </w:r>
      <w:proofErr w:type="spellEnd"/>
      <w:r w:rsidRPr="00B31098">
        <w:rPr>
          <w:rFonts w:ascii="Times New Roman" w:hAnsi="Times New Roman" w:cs="Times New Roman"/>
          <w:sz w:val="24"/>
          <w:szCs w:val="24"/>
        </w:rPr>
        <w:t xml:space="preserve"> </w:t>
      </w:r>
      <w:r w:rsidRPr="00B31098">
        <w:rPr>
          <w:rFonts w:ascii="Times New Roman" w:hAnsi="Times New Roman" w:cs="Times New Roman"/>
          <w:i/>
          <w:sz w:val="24"/>
          <w:szCs w:val="24"/>
        </w:rPr>
        <w:t>et al</w:t>
      </w:r>
      <w:r w:rsidRPr="00B31098">
        <w:rPr>
          <w:rFonts w:ascii="Times New Roman" w:hAnsi="Times New Roman" w:cs="Times New Roman"/>
          <w:sz w:val="24"/>
          <w:szCs w:val="24"/>
        </w:rPr>
        <w:t xml:space="preserve">., 2011; </w:t>
      </w:r>
      <w:proofErr w:type="spellStart"/>
      <w:r w:rsidRPr="00B31098">
        <w:rPr>
          <w:rFonts w:ascii="Times New Roman" w:hAnsi="Times New Roman" w:cs="Times New Roman"/>
          <w:sz w:val="24"/>
          <w:szCs w:val="24"/>
        </w:rPr>
        <w:t>Koźluk</w:t>
      </w:r>
      <w:proofErr w:type="spellEnd"/>
      <w:r w:rsidRPr="00B31098">
        <w:rPr>
          <w:rFonts w:ascii="Times New Roman" w:hAnsi="Times New Roman" w:cs="Times New Roman"/>
          <w:sz w:val="24"/>
          <w:szCs w:val="24"/>
        </w:rPr>
        <w:t xml:space="preserve"> y </w:t>
      </w:r>
      <w:proofErr w:type="spellStart"/>
      <w:r w:rsidRPr="00B31098">
        <w:rPr>
          <w:rFonts w:ascii="Times New Roman" w:hAnsi="Times New Roman" w:cs="Times New Roman"/>
          <w:sz w:val="24"/>
          <w:szCs w:val="24"/>
        </w:rPr>
        <w:t>Zipperer</w:t>
      </w:r>
      <w:proofErr w:type="spellEnd"/>
      <w:r w:rsidRPr="00B31098">
        <w:rPr>
          <w:rFonts w:ascii="Times New Roman" w:hAnsi="Times New Roman" w:cs="Times New Roman"/>
          <w:sz w:val="24"/>
          <w:szCs w:val="24"/>
        </w:rPr>
        <w:t xml:space="preserve">, 2014; Cohen y </w:t>
      </w:r>
      <w:proofErr w:type="spellStart"/>
      <w:r w:rsidRPr="00B31098">
        <w:rPr>
          <w:rFonts w:ascii="Times New Roman" w:hAnsi="Times New Roman" w:cs="Times New Roman"/>
          <w:sz w:val="24"/>
          <w:szCs w:val="24"/>
        </w:rPr>
        <w:t>Tubb</w:t>
      </w:r>
      <w:proofErr w:type="spellEnd"/>
      <w:r w:rsidRPr="00B31098">
        <w:rPr>
          <w:rFonts w:ascii="Times New Roman" w:hAnsi="Times New Roman" w:cs="Times New Roman"/>
          <w:sz w:val="24"/>
          <w:szCs w:val="24"/>
        </w:rPr>
        <w:t xml:space="preserve">, 2017; </w:t>
      </w:r>
      <w:proofErr w:type="spellStart"/>
      <w:r w:rsidRPr="00B31098">
        <w:rPr>
          <w:rFonts w:ascii="Times New Roman" w:hAnsi="Times New Roman" w:cs="Times New Roman"/>
          <w:sz w:val="24"/>
          <w:szCs w:val="24"/>
        </w:rPr>
        <w:t>Dechezleprêtre</w:t>
      </w:r>
      <w:proofErr w:type="spellEnd"/>
      <w:r w:rsidRPr="00B31098">
        <w:rPr>
          <w:rFonts w:ascii="Times New Roman" w:hAnsi="Times New Roman" w:cs="Times New Roman"/>
          <w:sz w:val="24"/>
          <w:szCs w:val="24"/>
        </w:rPr>
        <w:t xml:space="preserve"> y Sato, 2017) c</w:t>
      </w:r>
      <w:r>
        <w:rPr>
          <w:rFonts w:ascii="Times New Roman" w:hAnsi="Times New Roman" w:cs="Times New Roman"/>
          <w:sz w:val="24"/>
          <w:szCs w:val="24"/>
        </w:rPr>
        <w:t xml:space="preserve">oncluyen que la regulación incentiva innovaciones en tecnologías más limpias –se verifica la versión débil–, pero que a veces compensan los costos incrementales derivados de la regulación más estricta –resultado no concluyente de la versión fuerte–. A similar conclusión llegaron </w:t>
      </w:r>
      <w:proofErr w:type="spellStart"/>
      <w:r>
        <w:rPr>
          <w:rFonts w:ascii="Times New Roman" w:hAnsi="Times New Roman" w:cs="Times New Roman"/>
          <w:sz w:val="24"/>
          <w:szCs w:val="24"/>
        </w:rPr>
        <w:t>Jaffe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(1995) veinte años antes: la regulación no tiene un impacto importante negativo ni positivo sobre la competitividad. Por ejemplo, </w:t>
      </w:r>
      <w:proofErr w:type="spellStart"/>
      <w:r w:rsidRPr="00B31098">
        <w:rPr>
          <w:rFonts w:ascii="Times New Roman" w:hAnsi="Times New Roman" w:cs="Times New Roman"/>
          <w:sz w:val="24"/>
          <w:szCs w:val="24"/>
        </w:rPr>
        <w:t>Constantini</w:t>
      </w:r>
      <w:proofErr w:type="spellEnd"/>
      <w:r w:rsidRPr="00B31098">
        <w:rPr>
          <w:rFonts w:ascii="Times New Roman" w:hAnsi="Times New Roman" w:cs="Times New Roman"/>
          <w:sz w:val="24"/>
          <w:szCs w:val="24"/>
        </w:rPr>
        <w:t xml:space="preserve"> y </w:t>
      </w:r>
      <w:proofErr w:type="spellStart"/>
      <w:r w:rsidRPr="00B31098">
        <w:rPr>
          <w:rFonts w:ascii="Times New Roman" w:hAnsi="Times New Roman" w:cs="Times New Roman"/>
          <w:sz w:val="24"/>
          <w:szCs w:val="24"/>
        </w:rPr>
        <w:t>Mazzanti</w:t>
      </w:r>
      <w:proofErr w:type="spellEnd"/>
      <w:r>
        <w:rPr>
          <w:rFonts w:ascii="Times New Roman" w:hAnsi="Times New Roman" w:cs="Times New Roman"/>
          <w:sz w:val="24"/>
          <w:szCs w:val="24"/>
        </w:rPr>
        <w:t xml:space="preserve"> (2011) encuentran que la dinámica exportadora de las empresas de la Unión Europea se beneficia por los impuestos a la energía y por la adopción voluntaria de los sistemas de gestión ambiental.</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los trabajos empíricos respecto de la hipótesis en general se han referido a las consecuencias de la política ambiental interna sobre sectores industriales, que a veces incorpora la industria de alimentos y bebidas, también se ha revisado el efecto de la política ambiental interna sobre el desempeño de los sectores agrícolas –por </w:t>
      </w:r>
      <w:r w:rsidRPr="00B31098">
        <w:rPr>
          <w:rFonts w:ascii="Times New Roman" w:hAnsi="Times New Roman" w:cs="Times New Roman"/>
          <w:sz w:val="24"/>
          <w:szCs w:val="24"/>
        </w:rPr>
        <w:t xml:space="preserve">ejemplo, </w:t>
      </w:r>
      <w:proofErr w:type="spellStart"/>
      <w:r w:rsidRPr="00B31098">
        <w:rPr>
          <w:rFonts w:ascii="Times New Roman" w:hAnsi="Times New Roman" w:cs="Times New Roman"/>
          <w:sz w:val="24"/>
          <w:szCs w:val="24"/>
        </w:rPr>
        <w:t>Ferjani</w:t>
      </w:r>
      <w:proofErr w:type="spellEnd"/>
      <w:r w:rsidRPr="00B31098">
        <w:rPr>
          <w:rFonts w:ascii="Times New Roman" w:hAnsi="Times New Roman" w:cs="Times New Roman"/>
          <w:sz w:val="24"/>
          <w:szCs w:val="24"/>
        </w:rPr>
        <w:t xml:space="preserve"> (2011), </w:t>
      </w:r>
      <w:proofErr w:type="spellStart"/>
      <w:r w:rsidRPr="00B31098">
        <w:rPr>
          <w:rFonts w:ascii="Times New Roman" w:hAnsi="Times New Roman" w:cs="Times New Roman"/>
          <w:sz w:val="24"/>
          <w:szCs w:val="24"/>
        </w:rPr>
        <w:t>Giraud-Héraud</w:t>
      </w:r>
      <w:proofErr w:type="spellEnd"/>
      <w:r w:rsidRPr="00B31098">
        <w:rPr>
          <w:rFonts w:ascii="Times New Roman" w:hAnsi="Times New Roman" w:cs="Times New Roman"/>
          <w:sz w:val="24"/>
          <w:szCs w:val="24"/>
        </w:rPr>
        <w:t xml:space="preserve"> (2016), </w:t>
      </w:r>
      <w:proofErr w:type="spellStart"/>
      <w:r w:rsidRPr="00B31098">
        <w:rPr>
          <w:rFonts w:ascii="Times New Roman" w:hAnsi="Times New Roman" w:cs="Times New Roman"/>
          <w:sz w:val="24"/>
          <w:szCs w:val="24"/>
        </w:rPr>
        <w:t>Huiban</w:t>
      </w:r>
      <w:proofErr w:type="spellEnd"/>
      <w:r w:rsidRPr="00B31098">
        <w:rPr>
          <w:rFonts w:ascii="Times New Roman" w:hAnsi="Times New Roman" w:cs="Times New Roman"/>
          <w:sz w:val="24"/>
          <w:szCs w:val="24"/>
        </w:rPr>
        <w:t xml:space="preserve"> y </w:t>
      </w:r>
      <w:proofErr w:type="spellStart"/>
      <w:r w:rsidRPr="00B31098">
        <w:rPr>
          <w:rFonts w:ascii="Times New Roman" w:hAnsi="Times New Roman" w:cs="Times New Roman"/>
          <w:sz w:val="24"/>
          <w:szCs w:val="24"/>
        </w:rPr>
        <w:t>Musolesi</w:t>
      </w:r>
      <w:proofErr w:type="spellEnd"/>
      <w:r w:rsidRPr="00B31098">
        <w:rPr>
          <w:rFonts w:ascii="Times New Roman" w:hAnsi="Times New Roman" w:cs="Times New Roman"/>
          <w:sz w:val="24"/>
          <w:szCs w:val="24"/>
        </w:rPr>
        <w:t xml:space="preserve"> (2012)</w:t>
      </w:r>
      <w:r w:rsidR="00CF1B84">
        <w:rPr>
          <w:rFonts w:ascii="Times New Roman" w:hAnsi="Times New Roman" w:cs="Times New Roman"/>
          <w:sz w:val="24"/>
          <w:szCs w:val="24"/>
        </w:rPr>
        <w:t xml:space="preserve"> y</w:t>
      </w:r>
      <w:r w:rsidRPr="00B31098">
        <w:rPr>
          <w:rFonts w:ascii="Times New Roman" w:hAnsi="Times New Roman" w:cs="Times New Roman"/>
          <w:sz w:val="24"/>
          <w:szCs w:val="24"/>
        </w:rPr>
        <w:t xml:space="preserve"> </w:t>
      </w:r>
      <w:proofErr w:type="spellStart"/>
      <w:r w:rsidRPr="00B31098">
        <w:rPr>
          <w:rFonts w:ascii="Times New Roman" w:hAnsi="Times New Roman" w:cs="Times New Roman"/>
          <w:sz w:val="24"/>
          <w:szCs w:val="24"/>
        </w:rPr>
        <w:t>Managi</w:t>
      </w:r>
      <w:proofErr w:type="spellEnd"/>
      <w:r w:rsidRPr="00B31098">
        <w:rPr>
          <w:rFonts w:ascii="Times New Roman" w:hAnsi="Times New Roman" w:cs="Times New Roman"/>
          <w:sz w:val="24"/>
          <w:szCs w:val="24"/>
        </w:rPr>
        <w:t xml:space="preserve"> (2004</w:t>
      </w:r>
      <w:proofErr w:type="gramStart"/>
      <w:r w:rsidRPr="00B31098">
        <w:rPr>
          <w:rFonts w:ascii="Times New Roman" w:hAnsi="Times New Roman" w:cs="Times New Roman"/>
          <w:sz w:val="24"/>
          <w:szCs w:val="24"/>
        </w:rPr>
        <w:t>)–</w:t>
      </w:r>
      <w:proofErr w:type="gramEnd"/>
      <w:r w:rsidRPr="00B31098">
        <w:rPr>
          <w:rFonts w:ascii="Times New Roman" w:hAnsi="Times New Roman" w:cs="Times New Roman"/>
          <w:sz w:val="24"/>
          <w:szCs w:val="24"/>
        </w:rPr>
        <w:t xml:space="preserve"> también con resultados heterogéneos.</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b/>
          <w:sz w:val="24"/>
          <w:szCs w:val="24"/>
        </w:rPr>
        <w:t>IV. El caso de las empresas exportadoras de infusiones</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 xml:space="preserve">Para estudiar el impacto de estas medidas sobre los exportadores de América Latina de infusiones, en este trabajo se sigue una metodología cualitativa en base a entrevistas a especialistas y encuestas a empresas exportadoras. En cuanto a la encuesta, en 2018 se realizaron 34 preguntas a empresas de distintos países de América Latina especializadas en té, café y yerba mate, analizando los resultados en un plazo de diez años. La encuesta se dividió en tres secciones: Generales </w:t>
      </w:r>
      <w:r>
        <w:rPr>
          <w:rFonts w:ascii="Times New Roman" w:hAnsi="Times New Roman" w:cs="Times New Roman"/>
          <w:sz w:val="24"/>
          <w:szCs w:val="24"/>
        </w:rPr>
        <w:t>–</w:t>
      </w:r>
      <w:r w:rsidRPr="00042E81">
        <w:rPr>
          <w:rFonts w:ascii="Times New Roman" w:hAnsi="Times New Roman" w:cs="Times New Roman"/>
          <w:sz w:val="24"/>
          <w:szCs w:val="24"/>
        </w:rPr>
        <w:t>compuestas de 11 preguntas relacionadas a las características de la empresa</w:t>
      </w:r>
      <w:r>
        <w:rPr>
          <w:rFonts w:ascii="Times New Roman" w:hAnsi="Times New Roman" w:cs="Times New Roman"/>
          <w:sz w:val="24"/>
          <w:szCs w:val="24"/>
        </w:rPr>
        <w:t>–</w:t>
      </w:r>
      <w:r w:rsidRPr="00042E81">
        <w:rPr>
          <w:rFonts w:ascii="Times New Roman" w:hAnsi="Times New Roman" w:cs="Times New Roman"/>
          <w:sz w:val="24"/>
          <w:szCs w:val="24"/>
        </w:rPr>
        <w:t xml:space="preserve">; Medidas No Arancelarias, que consiste de 17 preguntas sobre la percepción de la empresa y su cumplimiento de las </w:t>
      </w:r>
      <w:proofErr w:type="spellStart"/>
      <w:r w:rsidRPr="00042E81">
        <w:rPr>
          <w:rFonts w:ascii="Times New Roman" w:hAnsi="Times New Roman" w:cs="Times New Roman"/>
          <w:sz w:val="24"/>
          <w:szCs w:val="24"/>
        </w:rPr>
        <w:t>MNAs</w:t>
      </w:r>
      <w:proofErr w:type="spellEnd"/>
      <w:r w:rsidRPr="00042E81">
        <w:rPr>
          <w:rFonts w:ascii="Times New Roman" w:hAnsi="Times New Roman" w:cs="Times New Roman"/>
          <w:sz w:val="24"/>
          <w:szCs w:val="24"/>
        </w:rPr>
        <w:t xml:space="preserve"> a nivel general y de la Unión Europea; Desarrollo Sostenible</w:t>
      </w:r>
      <w:r>
        <w:rPr>
          <w:rFonts w:ascii="Times New Roman" w:hAnsi="Times New Roman" w:cs="Times New Roman"/>
          <w:sz w:val="24"/>
          <w:szCs w:val="24"/>
        </w:rPr>
        <w:t>,</w:t>
      </w:r>
      <w:r w:rsidRPr="00042E81">
        <w:rPr>
          <w:rFonts w:ascii="Times New Roman" w:hAnsi="Times New Roman" w:cs="Times New Roman"/>
          <w:sz w:val="24"/>
          <w:szCs w:val="24"/>
        </w:rPr>
        <w:t xml:space="preserve"> consiste de 6 preguntas sobre las medidas y estrategias adoptadas por la empresa hacia una mayor sostenibilidad. </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lastRenderedPageBreak/>
        <w:t xml:space="preserve">Entre las respuestas, se obtuvo la participación de 39 empresas de 10 diferentes países, de los que se destaca México con un 23%, seguido </w:t>
      </w:r>
      <w:r>
        <w:rPr>
          <w:rFonts w:ascii="Times New Roman" w:hAnsi="Times New Roman" w:cs="Times New Roman"/>
          <w:sz w:val="24"/>
          <w:szCs w:val="24"/>
        </w:rPr>
        <w:t>por la</w:t>
      </w:r>
      <w:r w:rsidRPr="00042E81">
        <w:rPr>
          <w:rFonts w:ascii="Times New Roman" w:hAnsi="Times New Roman" w:cs="Times New Roman"/>
          <w:sz w:val="24"/>
          <w:szCs w:val="24"/>
        </w:rPr>
        <w:t xml:space="preserve"> Argentina (18%), Perú </w:t>
      </w:r>
      <w:r>
        <w:rPr>
          <w:rFonts w:ascii="Times New Roman" w:hAnsi="Times New Roman" w:cs="Times New Roman"/>
          <w:sz w:val="24"/>
          <w:szCs w:val="24"/>
        </w:rPr>
        <w:t xml:space="preserve">(15%) </w:t>
      </w:r>
      <w:r w:rsidRPr="00042E81">
        <w:rPr>
          <w:rFonts w:ascii="Times New Roman" w:hAnsi="Times New Roman" w:cs="Times New Roman"/>
          <w:sz w:val="24"/>
          <w:szCs w:val="24"/>
        </w:rPr>
        <w:t>y Brasil (13%). Del total de l</w:t>
      </w:r>
      <w:r>
        <w:rPr>
          <w:rFonts w:ascii="Times New Roman" w:hAnsi="Times New Roman" w:cs="Times New Roman"/>
          <w:sz w:val="24"/>
          <w:szCs w:val="24"/>
        </w:rPr>
        <w:t>a</w:t>
      </w:r>
      <w:r w:rsidRPr="00042E81">
        <w:rPr>
          <w:rFonts w:ascii="Times New Roman" w:hAnsi="Times New Roman" w:cs="Times New Roman"/>
          <w:sz w:val="24"/>
          <w:szCs w:val="24"/>
        </w:rPr>
        <w:t>s encuestadas, únicamente tres firmas se especializan en té (8%), mientras que el resto se especializa en café (72%) y yerba mate (21%).</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En particular se revisa la hipótesis de si la aplicación de medidas sanitarias y ambientales genera una mejora de la competitividad de las empresas. Entre los resultados se destaca que: i. estas medidas han funcionado como barreras no arancelarias al comercio, con costos de cumplimiento moderado y altos para la mayoría; ii. la mayoría ha cumplido tanto con las normas obligatorias como las voluntarias; iii. su cumplimiento les ha permitido a las empresas exportadoras desarrollar estrategias de desempeño ambiental mediante la introducción de tecnologías más sostenibles, una reducción de la cantidad de agua utilizada en el proceso productivo y el establecimiento de metas de desempeño ambiental; iv. la mayor parte de las empresas incrementó sus exportaciones y tienden a percibir que las medidas no arancelarias tienen un alto impacto sobre sus exportaciones; v. la mayoría considera que orientarse al desarrollo sostenible mejora su capacidad productiva y su competitividad; vi. el impacto varía según el tamaño de la empresa: a las más pequeñas les cuesta más cumplir.</w:t>
      </w:r>
    </w:p>
    <w:p w:rsidR="009813EA" w:rsidRPr="00042E81" w:rsidRDefault="009813EA" w:rsidP="00AC722C">
      <w:pPr>
        <w:spacing w:after="80" w:line="360" w:lineRule="auto"/>
        <w:jc w:val="both"/>
        <w:rPr>
          <w:rFonts w:ascii="Times New Roman" w:hAnsi="Times New Roman" w:cs="Times New Roman"/>
          <w:sz w:val="24"/>
          <w:szCs w:val="24"/>
        </w:rPr>
      </w:pPr>
      <w:r w:rsidRPr="00574CF8">
        <w:rPr>
          <w:rFonts w:ascii="Times New Roman" w:hAnsi="Times New Roman" w:cs="Times New Roman"/>
          <w:i/>
          <w:sz w:val="24"/>
          <w:szCs w:val="24"/>
        </w:rPr>
        <w:t>i. MNA como barreras</w:t>
      </w:r>
      <w:r>
        <w:rPr>
          <w:rFonts w:ascii="Times New Roman" w:hAnsi="Times New Roman" w:cs="Times New Roman"/>
          <w:sz w:val="24"/>
          <w:szCs w:val="24"/>
        </w:rPr>
        <w:t xml:space="preserve">. </w:t>
      </w:r>
      <w:r w:rsidRPr="00042E81">
        <w:rPr>
          <w:rFonts w:ascii="Times New Roman" w:hAnsi="Times New Roman" w:cs="Times New Roman"/>
          <w:sz w:val="24"/>
          <w:szCs w:val="24"/>
        </w:rPr>
        <w:t xml:space="preserve">Con respecto al primer punto, les preguntamos a las empresas sobre los costos de obtener certificaciones para sus productos, siendo la categoría 1 ¨muy bajo¨ y la categoría 5 ¨muy alto¨. Entre los resultados, observamos </w:t>
      </w:r>
      <w:r w:rsidRPr="00042E81">
        <w:rPr>
          <w:rFonts w:ascii="Times New Roman" w:hAnsi="Times New Roman" w:cs="Times New Roman"/>
          <w:sz w:val="24"/>
          <w:szCs w:val="24"/>
          <w:highlight w:val="white"/>
        </w:rPr>
        <w:t xml:space="preserve">una escala creciente de la </w:t>
      </w:r>
      <w:proofErr w:type="spellStart"/>
      <w:r w:rsidRPr="00042E81">
        <w:rPr>
          <w:rFonts w:ascii="Times New Roman" w:hAnsi="Times New Roman" w:cs="Times New Roman"/>
          <w:sz w:val="24"/>
          <w:szCs w:val="24"/>
          <w:highlight w:val="white"/>
        </w:rPr>
        <w:t>percepción</w:t>
      </w:r>
      <w:proofErr w:type="spellEnd"/>
      <w:r w:rsidRPr="00042E81">
        <w:rPr>
          <w:rFonts w:ascii="Times New Roman" w:hAnsi="Times New Roman" w:cs="Times New Roman"/>
          <w:sz w:val="24"/>
          <w:szCs w:val="24"/>
          <w:highlight w:val="white"/>
        </w:rPr>
        <w:t xml:space="preserve"> de los costos, siendo</w:t>
      </w:r>
      <w:r>
        <w:rPr>
          <w:rFonts w:ascii="Times New Roman" w:hAnsi="Times New Roman" w:cs="Times New Roman"/>
          <w:sz w:val="24"/>
          <w:szCs w:val="24"/>
          <w:highlight w:val="white"/>
        </w:rPr>
        <w:t xml:space="preserve"> el pico la </w:t>
      </w:r>
      <w:proofErr w:type="spellStart"/>
      <w:r>
        <w:rPr>
          <w:rFonts w:ascii="Times New Roman" w:hAnsi="Times New Roman" w:cs="Times New Roman"/>
          <w:sz w:val="24"/>
          <w:szCs w:val="24"/>
          <w:highlight w:val="white"/>
        </w:rPr>
        <w:t>categoría</w:t>
      </w:r>
      <w:proofErr w:type="spellEnd"/>
      <w:r>
        <w:rPr>
          <w:rFonts w:ascii="Times New Roman" w:hAnsi="Times New Roman" w:cs="Times New Roman"/>
          <w:sz w:val="24"/>
          <w:szCs w:val="24"/>
          <w:highlight w:val="white"/>
        </w:rPr>
        <w:t xml:space="preserve"> 4 (39%)</w:t>
      </w:r>
      <w:r w:rsidRPr="00042E81">
        <w:rPr>
          <w:rFonts w:ascii="Times New Roman" w:hAnsi="Times New Roman" w:cs="Times New Roman"/>
          <w:sz w:val="24"/>
          <w:szCs w:val="24"/>
          <w:highlight w:val="white"/>
        </w:rPr>
        <w:t xml:space="preserve">. Resultados similares se observan </w:t>
      </w:r>
      <w:r>
        <w:rPr>
          <w:rFonts w:ascii="Times New Roman" w:hAnsi="Times New Roman" w:cs="Times New Roman"/>
          <w:sz w:val="24"/>
          <w:szCs w:val="24"/>
          <w:highlight w:val="white"/>
        </w:rPr>
        <w:t>en la</w:t>
      </w:r>
      <w:r w:rsidRPr="00042E81">
        <w:rPr>
          <w:rFonts w:ascii="Times New Roman" w:hAnsi="Times New Roman" w:cs="Times New Roman"/>
          <w:sz w:val="24"/>
          <w:szCs w:val="24"/>
          <w:highlight w:val="white"/>
        </w:rPr>
        <w:t xml:space="preserve"> pregunta ¨</w:t>
      </w:r>
      <w:r w:rsidRPr="00042E81">
        <w:rPr>
          <w:rFonts w:ascii="Times New Roman" w:hAnsi="Times New Roman" w:cs="Times New Roman"/>
          <w:i/>
          <w:sz w:val="24"/>
          <w:szCs w:val="24"/>
          <w:highlight w:val="white"/>
        </w:rPr>
        <w:t>¿</w:t>
      </w:r>
      <w:proofErr w:type="spellStart"/>
      <w:r w:rsidRPr="00042E81">
        <w:rPr>
          <w:rFonts w:ascii="Times New Roman" w:hAnsi="Times New Roman" w:cs="Times New Roman"/>
          <w:i/>
          <w:sz w:val="24"/>
          <w:szCs w:val="24"/>
          <w:highlight w:val="white"/>
        </w:rPr>
        <w:t>cómo</w:t>
      </w:r>
      <w:proofErr w:type="spellEnd"/>
      <w:r w:rsidRPr="00042E81">
        <w:rPr>
          <w:rFonts w:ascii="Times New Roman" w:hAnsi="Times New Roman" w:cs="Times New Roman"/>
          <w:i/>
          <w:sz w:val="24"/>
          <w:szCs w:val="24"/>
          <w:highlight w:val="white"/>
        </w:rPr>
        <w:t xml:space="preserve"> </w:t>
      </w:r>
      <w:proofErr w:type="spellStart"/>
      <w:r w:rsidRPr="00042E81">
        <w:rPr>
          <w:rFonts w:ascii="Times New Roman" w:hAnsi="Times New Roman" w:cs="Times New Roman"/>
          <w:i/>
          <w:sz w:val="24"/>
          <w:szCs w:val="24"/>
          <w:highlight w:val="white"/>
        </w:rPr>
        <w:t>evaluaría</w:t>
      </w:r>
      <w:proofErr w:type="spellEnd"/>
      <w:r w:rsidRPr="00042E81">
        <w:rPr>
          <w:rFonts w:ascii="Times New Roman" w:hAnsi="Times New Roman" w:cs="Times New Roman"/>
          <w:i/>
          <w:sz w:val="24"/>
          <w:szCs w:val="24"/>
          <w:highlight w:val="white"/>
        </w:rPr>
        <w:t xml:space="preserve"> la exigencia de las normas voluntarias en las exportaciones de su empresa? </w:t>
      </w:r>
      <w:r w:rsidRPr="00042E81">
        <w:rPr>
          <w:rFonts w:ascii="Tahoma" w:hAnsi="Tahoma" w:cs="Tahoma"/>
          <w:i/>
          <w:sz w:val="24"/>
          <w:szCs w:val="24"/>
          <w:highlight w:val="white"/>
        </w:rPr>
        <w:t>̈</w:t>
      </w:r>
      <w:r w:rsidRPr="00042E81">
        <w:rPr>
          <w:rFonts w:ascii="Times New Roman" w:hAnsi="Times New Roman" w:cs="Times New Roman"/>
          <w:sz w:val="24"/>
          <w:szCs w:val="24"/>
          <w:highlight w:val="white"/>
        </w:rPr>
        <w:t xml:space="preserve">, cuyas respuestas se concentran en las últimas tres categorías en una escala desde </w:t>
      </w:r>
      <w:r w:rsidRPr="00042E81">
        <w:rPr>
          <w:rFonts w:ascii="Tahoma" w:hAnsi="Tahoma" w:cs="Tahoma"/>
          <w:sz w:val="24"/>
          <w:szCs w:val="24"/>
          <w:highlight w:val="white"/>
        </w:rPr>
        <w:t>̈</w:t>
      </w:r>
      <w:r w:rsidRPr="00042E81">
        <w:rPr>
          <w:rFonts w:ascii="Times New Roman" w:hAnsi="Times New Roman" w:cs="Times New Roman"/>
          <w:sz w:val="24"/>
          <w:szCs w:val="24"/>
          <w:highlight w:val="white"/>
        </w:rPr>
        <w:t xml:space="preserve"> </w:t>
      </w:r>
      <w:r w:rsidRPr="00042E81">
        <w:rPr>
          <w:rFonts w:ascii="Times New Roman" w:hAnsi="Times New Roman" w:cs="Times New Roman"/>
          <w:i/>
          <w:sz w:val="24"/>
          <w:szCs w:val="24"/>
          <w:highlight w:val="white"/>
        </w:rPr>
        <w:t>totalmente bajo/totalmente voluntaria</w:t>
      </w:r>
      <w:r w:rsidRPr="00042E81">
        <w:rPr>
          <w:rFonts w:ascii="Times New Roman" w:hAnsi="Times New Roman" w:cs="Times New Roman"/>
          <w:sz w:val="24"/>
          <w:szCs w:val="24"/>
          <w:highlight w:val="white"/>
        </w:rPr>
        <w:t>” a “</w:t>
      </w:r>
      <w:r w:rsidRPr="00042E81">
        <w:rPr>
          <w:rFonts w:ascii="Times New Roman" w:hAnsi="Times New Roman" w:cs="Times New Roman"/>
          <w:i/>
          <w:sz w:val="24"/>
          <w:szCs w:val="24"/>
          <w:highlight w:val="white"/>
        </w:rPr>
        <w:t xml:space="preserve">totalmente alto/obligatoria en la </w:t>
      </w:r>
      <w:proofErr w:type="spellStart"/>
      <w:r w:rsidRPr="00042E81">
        <w:rPr>
          <w:rFonts w:ascii="Times New Roman" w:hAnsi="Times New Roman" w:cs="Times New Roman"/>
          <w:i/>
          <w:sz w:val="24"/>
          <w:szCs w:val="24"/>
          <w:highlight w:val="white"/>
        </w:rPr>
        <w:t>práctica</w:t>
      </w:r>
      <w:proofErr w:type="spellEnd"/>
      <w:r w:rsidRPr="00042E81">
        <w:rPr>
          <w:rFonts w:ascii="Tahoma" w:hAnsi="Tahoma" w:cs="Tahoma"/>
          <w:sz w:val="24"/>
          <w:szCs w:val="24"/>
          <w:highlight w:val="white"/>
        </w:rPr>
        <w:t>̈</w:t>
      </w:r>
      <w:r w:rsidRPr="00042E81">
        <w:rPr>
          <w:rFonts w:ascii="Times New Roman" w:hAnsi="Times New Roman" w:cs="Times New Roman"/>
          <w:sz w:val="24"/>
          <w:szCs w:val="24"/>
          <w:highlight w:val="white"/>
        </w:rPr>
        <w:t xml:space="preserve">. Así, confirmamos que la percepción de las firmas es que las medidas no arancelarias en esta industria es que los costos de cumplimiento han sido moderados y altos para la mayoría. </w:t>
      </w:r>
    </w:p>
    <w:p w:rsidR="009813EA" w:rsidRPr="00486C1F" w:rsidRDefault="009813EA" w:rsidP="00AC722C">
      <w:pPr>
        <w:spacing w:after="80" w:line="360" w:lineRule="auto"/>
        <w:jc w:val="both"/>
        <w:rPr>
          <w:rFonts w:ascii="Times New Roman" w:hAnsi="Times New Roman" w:cs="Times New Roman"/>
          <w:sz w:val="24"/>
          <w:szCs w:val="24"/>
          <w:highlight w:val="white"/>
        </w:rPr>
      </w:pPr>
      <w:r w:rsidRPr="00486C1F">
        <w:rPr>
          <w:rFonts w:ascii="Times New Roman" w:hAnsi="Times New Roman" w:cs="Times New Roman"/>
          <w:color w:val="000000"/>
          <w:sz w:val="24"/>
          <w:szCs w:val="24"/>
          <w:shd w:val="clear" w:color="auto" w:fill="FFFFFF"/>
          <w:lang w:val="es-US"/>
        </w:rPr>
        <w:t xml:space="preserve">No obstante, si separamos las respuestas por el tamaño de la firma, observamos resultados diferentes. A lo largo del análisis, utilizamos como indicadores de esta variable el número de empleados que tiene la empresa, la producción y exportación anual promedio en relación a otras firmas del mismo rubro y país. En este caso particular, aquellas firmas que tienen entre 1 y 50 empleados seleccionaron las categorías 3 a 5, mientras que la distribución de las respuestas de aquellas con entre 51 y 1000 empleados es más normal (Gráfico 1). </w:t>
      </w:r>
    </w:p>
    <w:p w:rsidR="009813EA" w:rsidRDefault="009813EA" w:rsidP="00AC722C">
      <w:pPr>
        <w:pStyle w:val="Epgrafe"/>
        <w:keepNext/>
        <w:spacing w:after="80"/>
        <w:jc w:val="center"/>
        <w:rPr>
          <w:rFonts w:ascii="Times New Roman" w:hAnsi="Times New Roman" w:cs="Times New Roman"/>
          <w:i w:val="0"/>
          <w:iCs w:val="0"/>
          <w:color w:val="auto"/>
        </w:rPr>
      </w:pPr>
      <w:r w:rsidRPr="00042E81">
        <w:rPr>
          <w:rFonts w:ascii="Times New Roman" w:hAnsi="Times New Roman" w:cs="Times New Roman"/>
          <w:i w:val="0"/>
          <w:iCs w:val="0"/>
          <w:color w:val="auto"/>
        </w:rPr>
        <w:lastRenderedPageBreak/>
        <w:t xml:space="preserve">Gráfico </w:t>
      </w:r>
      <w:r w:rsidRPr="00042E81">
        <w:rPr>
          <w:rFonts w:ascii="Times New Roman" w:hAnsi="Times New Roman" w:cs="Times New Roman"/>
          <w:i w:val="0"/>
          <w:iCs w:val="0"/>
          <w:color w:val="auto"/>
        </w:rPr>
        <w:fldChar w:fldCharType="begin"/>
      </w:r>
      <w:r w:rsidRPr="00042E81">
        <w:rPr>
          <w:rFonts w:ascii="Times New Roman" w:hAnsi="Times New Roman" w:cs="Times New Roman"/>
          <w:i w:val="0"/>
          <w:iCs w:val="0"/>
          <w:color w:val="auto"/>
        </w:rPr>
        <w:instrText xml:space="preserve"> SEQ Gráfico \* ARABIC </w:instrText>
      </w:r>
      <w:r w:rsidRPr="00042E81">
        <w:rPr>
          <w:rFonts w:ascii="Times New Roman" w:hAnsi="Times New Roman" w:cs="Times New Roman"/>
          <w:i w:val="0"/>
          <w:iCs w:val="0"/>
          <w:color w:val="auto"/>
        </w:rPr>
        <w:fldChar w:fldCharType="separate"/>
      </w:r>
      <w:r w:rsidRPr="00042E81">
        <w:rPr>
          <w:rFonts w:ascii="Times New Roman" w:hAnsi="Times New Roman" w:cs="Times New Roman"/>
          <w:i w:val="0"/>
          <w:iCs w:val="0"/>
          <w:noProof/>
          <w:color w:val="auto"/>
        </w:rPr>
        <w:t>1</w:t>
      </w:r>
      <w:r w:rsidRPr="00042E81">
        <w:rPr>
          <w:rFonts w:ascii="Times New Roman" w:hAnsi="Times New Roman" w:cs="Times New Roman"/>
          <w:i w:val="0"/>
          <w:iCs w:val="0"/>
          <w:color w:val="auto"/>
        </w:rPr>
        <w:fldChar w:fldCharType="end"/>
      </w:r>
    </w:p>
    <w:p w:rsidR="009813EA" w:rsidRPr="00042E81" w:rsidRDefault="009813EA" w:rsidP="00AC722C">
      <w:pPr>
        <w:pStyle w:val="Epgrafe"/>
        <w:keepNext/>
        <w:spacing w:after="80"/>
        <w:jc w:val="center"/>
        <w:rPr>
          <w:rFonts w:ascii="Times New Roman" w:hAnsi="Times New Roman" w:cs="Times New Roman"/>
          <w:i w:val="0"/>
          <w:iCs w:val="0"/>
          <w:color w:val="auto"/>
        </w:rPr>
      </w:pPr>
      <w:r w:rsidRPr="00042E81">
        <w:rPr>
          <w:rFonts w:ascii="Times New Roman" w:hAnsi="Times New Roman" w:cs="Times New Roman"/>
          <w:i w:val="0"/>
          <w:iCs w:val="0"/>
          <w:color w:val="auto"/>
        </w:rPr>
        <w:t xml:space="preserve">Cantidad de respuestas por tamaño de empresa a la pregunta sobre la percepción </w:t>
      </w:r>
      <w:r>
        <w:rPr>
          <w:rFonts w:ascii="Times New Roman" w:hAnsi="Times New Roman" w:cs="Times New Roman"/>
          <w:i w:val="0"/>
          <w:iCs w:val="0"/>
          <w:color w:val="auto"/>
        </w:rPr>
        <w:br/>
      </w:r>
      <w:r w:rsidRPr="00042E81">
        <w:rPr>
          <w:rFonts w:ascii="Times New Roman" w:hAnsi="Times New Roman" w:cs="Times New Roman"/>
          <w:i w:val="0"/>
          <w:iCs w:val="0"/>
          <w:color w:val="auto"/>
        </w:rPr>
        <w:t>del costo para obtener certificacion</w:t>
      </w:r>
      <w:r>
        <w:rPr>
          <w:rFonts w:ascii="Times New Roman" w:hAnsi="Times New Roman" w:cs="Times New Roman"/>
          <w:i w:val="0"/>
          <w:iCs w:val="0"/>
          <w:color w:val="auto"/>
        </w:rPr>
        <w:t>es técnicas sobre sus productos</w:t>
      </w:r>
    </w:p>
    <w:p w:rsidR="009813EA" w:rsidRPr="00042E81" w:rsidRDefault="00C0417E" w:rsidP="00AC722C">
      <w:pPr>
        <w:keepNext/>
        <w:spacing w:after="80" w:line="360" w:lineRule="auto"/>
        <w:ind w:firstLine="720"/>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5688330" cy="205422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2054225"/>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i w:val="0"/>
          <w:iCs w:val="0"/>
          <w:color w:val="auto"/>
          <w:highlight w:val="white"/>
        </w:rPr>
      </w:pPr>
      <w:r w:rsidRPr="00574CF8">
        <w:rPr>
          <w:rFonts w:ascii="Times New Roman" w:hAnsi="Times New Roman" w:cs="Times New Roman"/>
          <w:i w:val="0"/>
          <w:color w:val="auto"/>
        </w:rPr>
        <w:t>Fuente</w:t>
      </w:r>
      <w:r w:rsidRPr="00042E81">
        <w:rPr>
          <w:rFonts w:ascii="Times New Roman" w:hAnsi="Times New Roman" w:cs="Times New Roman"/>
          <w:color w:val="auto"/>
        </w:rPr>
        <w:t>:</w:t>
      </w:r>
      <w:r w:rsidRPr="00042E81">
        <w:rPr>
          <w:rFonts w:ascii="Times New Roman" w:hAnsi="Times New Roman" w:cs="Times New Roman"/>
          <w:i w:val="0"/>
          <w:iCs w:val="0"/>
          <w:color w:val="auto"/>
        </w:rPr>
        <w:t xml:space="preserve"> </w:t>
      </w:r>
      <w:r>
        <w:rPr>
          <w:rFonts w:ascii="Times New Roman" w:hAnsi="Times New Roman" w:cs="Times New Roman"/>
          <w:i w:val="0"/>
          <w:iCs w:val="0"/>
          <w:color w:val="auto"/>
        </w:rPr>
        <w:t>elaboración propia</w:t>
      </w:r>
    </w:p>
    <w:p w:rsidR="009813EA" w:rsidRPr="00042E81" w:rsidRDefault="009813EA" w:rsidP="00AC722C">
      <w:pPr>
        <w:spacing w:after="80" w:line="360" w:lineRule="auto"/>
        <w:jc w:val="both"/>
        <w:rPr>
          <w:rFonts w:ascii="Times New Roman" w:hAnsi="Times New Roman" w:cs="Times New Roman"/>
          <w:sz w:val="24"/>
          <w:szCs w:val="24"/>
          <w:highlight w:val="white"/>
        </w:rPr>
      </w:pPr>
      <w:r w:rsidRPr="00574CF8">
        <w:rPr>
          <w:rFonts w:ascii="Times New Roman" w:hAnsi="Times New Roman" w:cs="Times New Roman"/>
          <w:i/>
          <w:sz w:val="24"/>
          <w:szCs w:val="24"/>
          <w:highlight w:val="white"/>
        </w:rPr>
        <w:t>ii. Grado de cumplimiento</w:t>
      </w:r>
      <w:r>
        <w:rPr>
          <w:rFonts w:ascii="Times New Roman" w:hAnsi="Times New Roman" w:cs="Times New Roman"/>
          <w:sz w:val="24"/>
          <w:szCs w:val="24"/>
          <w:highlight w:val="white"/>
        </w:rPr>
        <w:t xml:space="preserve">. </w:t>
      </w:r>
      <w:r w:rsidR="00CF1B84">
        <w:rPr>
          <w:rFonts w:ascii="Times New Roman" w:hAnsi="Times New Roman" w:cs="Times New Roman"/>
          <w:sz w:val="24"/>
          <w:szCs w:val="24"/>
          <w:highlight w:val="white"/>
        </w:rPr>
        <w:t>Aquí</w:t>
      </w:r>
      <w:r>
        <w:rPr>
          <w:rFonts w:ascii="Times New Roman" w:hAnsi="Times New Roman" w:cs="Times New Roman"/>
          <w:sz w:val="24"/>
          <w:szCs w:val="24"/>
          <w:highlight w:val="white"/>
        </w:rPr>
        <w:t xml:space="preserve"> </w:t>
      </w:r>
      <w:r w:rsidRPr="00042E81">
        <w:rPr>
          <w:rFonts w:ascii="Times New Roman" w:hAnsi="Times New Roman" w:cs="Times New Roman"/>
          <w:sz w:val="24"/>
          <w:szCs w:val="24"/>
          <w:highlight w:val="white"/>
        </w:rPr>
        <w:t xml:space="preserve">se les preguntó cómo fue su cumplimiento respecto del nivel máximo de contaminantes, respecto de las certificaciones técnicas, y de los requerimientos de </w:t>
      </w:r>
      <w:proofErr w:type="spellStart"/>
      <w:r w:rsidRPr="00143DC0">
        <w:rPr>
          <w:rFonts w:ascii="Times New Roman" w:hAnsi="Times New Roman" w:cs="Times New Roman"/>
          <w:i/>
          <w:sz w:val="24"/>
          <w:szCs w:val="24"/>
          <w:highlight w:val="white"/>
        </w:rPr>
        <w:t>packaging</w:t>
      </w:r>
      <w:proofErr w:type="spellEnd"/>
      <w:r w:rsidRPr="00042E81">
        <w:rPr>
          <w:rFonts w:ascii="Times New Roman" w:hAnsi="Times New Roman" w:cs="Times New Roman"/>
          <w:sz w:val="24"/>
          <w:szCs w:val="24"/>
          <w:highlight w:val="white"/>
        </w:rPr>
        <w:t xml:space="preserve"> sobre sus productos. Se destaca que una gran parte de las empresas ha mostrado un buen cumplimiento. Por ejemplo, en el caso de los Niveles Máximos de Contaminantes, alrededor del 56% aseguró tener un ¨</w:t>
      </w:r>
      <w:r w:rsidRPr="00042E81">
        <w:rPr>
          <w:rFonts w:ascii="Times New Roman" w:hAnsi="Times New Roman" w:cs="Times New Roman"/>
          <w:i/>
          <w:sz w:val="24"/>
          <w:szCs w:val="24"/>
          <w:highlight w:val="white"/>
        </w:rPr>
        <w:t>cumplimiento excelente</w:t>
      </w:r>
      <w:r w:rsidRPr="00042E81">
        <w:rPr>
          <w:rFonts w:ascii="Times New Roman" w:hAnsi="Times New Roman" w:cs="Times New Roman"/>
          <w:sz w:val="24"/>
          <w:szCs w:val="24"/>
          <w:highlight w:val="white"/>
        </w:rPr>
        <w:t>¨¨ seguido de un 38% con ¨</w:t>
      </w:r>
      <w:r w:rsidRPr="00042E81">
        <w:rPr>
          <w:rFonts w:ascii="Times New Roman" w:hAnsi="Times New Roman" w:cs="Times New Roman"/>
          <w:i/>
          <w:sz w:val="24"/>
          <w:szCs w:val="24"/>
          <w:highlight w:val="white"/>
        </w:rPr>
        <w:t>cumplimiento moderado</w:t>
      </w:r>
      <w:r w:rsidRPr="00042E81">
        <w:rPr>
          <w:rFonts w:ascii="Times New Roman" w:hAnsi="Times New Roman" w:cs="Times New Roman"/>
          <w:sz w:val="24"/>
          <w:szCs w:val="24"/>
          <w:highlight w:val="white"/>
        </w:rPr>
        <w:t xml:space="preserve">¨. También se observaron resultados muy similares cuando se les preguntó a las empresas por los requerimientos de </w:t>
      </w:r>
      <w:proofErr w:type="spellStart"/>
      <w:r w:rsidRPr="00574CF8">
        <w:rPr>
          <w:rFonts w:ascii="Times New Roman" w:hAnsi="Times New Roman" w:cs="Times New Roman"/>
          <w:i/>
          <w:sz w:val="24"/>
          <w:szCs w:val="24"/>
          <w:highlight w:val="white"/>
        </w:rPr>
        <w:t>packaging</w:t>
      </w:r>
      <w:proofErr w:type="spellEnd"/>
      <w:r w:rsidRPr="00042E81">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Cuadro 2</w:t>
      </w:r>
      <w:r w:rsidRPr="00042E81">
        <w:rPr>
          <w:rFonts w:ascii="Times New Roman" w:hAnsi="Times New Roman" w:cs="Times New Roman"/>
          <w:sz w:val="24"/>
          <w:szCs w:val="24"/>
          <w:highlight w:val="white"/>
        </w:rPr>
        <w:t>). Además, 70% de las firmas afirmó tener un ¨</w:t>
      </w:r>
      <w:r w:rsidRPr="00042E81">
        <w:rPr>
          <w:rFonts w:ascii="Times New Roman" w:hAnsi="Times New Roman" w:cs="Times New Roman"/>
          <w:i/>
          <w:sz w:val="24"/>
          <w:szCs w:val="24"/>
          <w:highlight w:val="white"/>
        </w:rPr>
        <w:t>cumplimiento excelente</w:t>
      </w:r>
      <w:r w:rsidRPr="00042E81">
        <w:rPr>
          <w:rFonts w:ascii="Times New Roman" w:hAnsi="Times New Roman" w:cs="Times New Roman"/>
          <w:sz w:val="24"/>
          <w:szCs w:val="24"/>
          <w:highlight w:val="white"/>
        </w:rPr>
        <w:t xml:space="preserve">¨ en relación </w:t>
      </w:r>
      <w:r>
        <w:rPr>
          <w:rFonts w:ascii="Times New Roman" w:hAnsi="Times New Roman" w:cs="Times New Roman"/>
          <w:sz w:val="24"/>
          <w:szCs w:val="24"/>
          <w:highlight w:val="white"/>
        </w:rPr>
        <w:t>con</w:t>
      </w:r>
      <w:r w:rsidRPr="00042E81">
        <w:rPr>
          <w:rFonts w:ascii="Times New Roman" w:hAnsi="Times New Roman" w:cs="Times New Roman"/>
          <w:sz w:val="24"/>
          <w:szCs w:val="24"/>
          <w:highlight w:val="white"/>
        </w:rPr>
        <w:t xml:space="preserve"> las certificaciones técnicas requeridas por los países importadores. Por tanto, aunque puede ser costoso para las empresas cumplir con estos requerimientos, la evidencia muestra que la mayoría lo hace.</w:t>
      </w:r>
    </w:p>
    <w:p w:rsidR="009813EA" w:rsidRPr="00D126AB" w:rsidRDefault="009813EA" w:rsidP="00AC722C">
      <w:pPr>
        <w:pStyle w:val="Epgrafe"/>
        <w:keepNext/>
        <w:spacing w:after="80"/>
        <w:jc w:val="center"/>
        <w:rPr>
          <w:rFonts w:ascii="Times New Roman" w:hAnsi="Times New Roman" w:cs="Times New Roman"/>
          <w:i w:val="0"/>
          <w:color w:val="auto"/>
        </w:rPr>
      </w:pPr>
      <w:r w:rsidRPr="00D126AB">
        <w:rPr>
          <w:rFonts w:ascii="Times New Roman" w:hAnsi="Times New Roman" w:cs="Times New Roman"/>
          <w:i w:val="0"/>
          <w:color w:val="auto"/>
        </w:rPr>
        <w:t>Cuadro 2</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 xml:space="preserve"> Respuestas obtenidas en la encuesta sobre el grado de cumplimiento de las firmas ante la aplicación de distintas </w:t>
      </w:r>
      <w:proofErr w:type="spellStart"/>
      <w:r w:rsidRPr="00042E81">
        <w:rPr>
          <w:rFonts w:ascii="Times New Roman" w:hAnsi="Times New Roman" w:cs="Times New Roman"/>
          <w:i w:val="0"/>
          <w:iCs w:val="0"/>
          <w:color w:val="auto"/>
        </w:rPr>
        <w:t>MNAs</w:t>
      </w:r>
      <w:proofErr w:type="spellEnd"/>
    </w:p>
    <w:p w:rsidR="009813EA" w:rsidRPr="00042E81" w:rsidRDefault="00C0417E" w:rsidP="00AC722C">
      <w:pPr>
        <w:keepNext/>
        <w:spacing w:after="80" w:line="360" w:lineRule="auto"/>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5628640" cy="1828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8640" cy="1828800"/>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i w:val="0"/>
          <w:iCs w:val="0"/>
          <w:color w:val="auto"/>
          <w:sz w:val="24"/>
          <w:szCs w:val="24"/>
        </w:rPr>
      </w:pPr>
      <w:r w:rsidRPr="00574CF8">
        <w:rPr>
          <w:rFonts w:ascii="Times New Roman" w:hAnsi="Times New Roman" w:cs="Times New Roman"/>
          <w:i w:val="0"/>
          <w:color w:val="auto"/>
        </w:rPr>
        <w:t>Fuente</w:t>
      </w:r>
      <w:r w:rsidRPr="00042E81">
        <w:rPr>
          <w:rFonts w:ascii="Times New Roman" w:hAnsi="Times New Roman" w:cs="Times New Roman"/>
          <w:color w:val="auto"/>
        </w:rPr>
        <w:t>:</w:t>
      </w:r>
      <w:r w:rsidRPr="00042E81">
        <w:rPr>
          <w:rFonts w:ascii="Times New Roman" w:hAnsi="Times New Roman" w:cs="Times New Roman"/>
          <w:i w:val="0"/>
          <w:iCs w:val="0"/>
          <w:color w:val="auto"/>
        </w:rPr>
        <w:t xml:space="preserve"> elaboración propia</w:t>
      </w:r>
    </w:p>
    <w:p w:rsidR="009813EA" w:rsidRPr="00042E81" w:rsidRDefault="009813EA" w:rsidP="00AC722C">
      <w:pPr>
        <w:spacing w:after="80" w:line="360" w:lineRule="auto"/>
        <w:jc w:val="both"/>
        <w:rPr>
          <w:rFonts w:ascii="Times New Roman" w:hAnsi="Times New Roman" w:cs="Times New Roman"/>
          <w:sz w:val="24"/>
          <w:szCs w:val="24"/>
        </w:rPr>
      </w:pPr>
      <w:r w:rsidRPr="00D126AB">
        <w:rPr>
          <w:rFonts w:ascii="Times New Roman" w:hAnsi="Times New Roman" w:cs="Times New Roman"/>
          <w:i/>
          <w:sz w:val="24"/>
          <w:szCs w:val="24"/>
        </w:rPr>
        <w:t>iii. Cumplimiento, producción y exportaciones</w:t>
      </w:r>
      <w:r>
        <w:rPr>
          <w:rFonts w:ascii="Times New Roman" w:hAnsi="Times New Roman" w:cs="Times New Roman"/>
          <w:sz w:val="24"/>
          <w:szCs w:val="24"/>
        </w:rPr>
        <w:t xml:space="preserve">. </w:t>
      </w:r>
      <w:r w:rsidRPr="00042E81">
        <w:rPr>
          <w:rFonts w:ascii="Times New Roman" w:hAnsi="Times New Roman" w:cs="Times New Roman"/>
          <w:sz w:val="24"/>
          <w:szCs w:val="24"/>
        </w:rPr>
        <w:t xml:space="preserve">Para poder analizar la correlación que existe entre el grado de cumplimiento y los resultados en la productividad en el largo plazo, primero les preguntamos a las empresas cómo ha sido la evolución de sus exportaciones en los últimos </w:t>
      </w:r>
      <w:r w:rsidRPr="00042E81">
        <w:rPr>
          <w:rFonts w:ascii="Times New Roman" w:hAnsi="Times New Roman" w:cs="Times New Roman"/>
          <w:sz w:val="24"/>
          <w:szCs w:val="24"/>
        </w:rPr>
        <w:lastRenderedPageBreak/>
        <w:t>diez años. Las respuestas se dividen en cinco categorías, de las que más del 50% de las firmas encuestadas seleccionaron ¨</w:t>
      </w:r>
      <w:r w:rsidRPr="00042E81">
        <w:rPr>
          <w:rFonts w:ascii="Times New Roman" w:hAnsi="Times New Roman" w:cs="Times New Roman"/>
          <w:i/>
          <w:sz w:val="24"/>
          <w:szCs w:val="24"/>
        </w:rPr>
        <w:t>aumentó</w:t>
      </w:r>
      <w:r w:rsidRPr="00042E81">
        <w:rPr>
          <w:rFonts w:ascii="Times New Roman" w:hAnsi="Times New Roman" w:cs="Times New Roman"/>
          <w:sz w:val="24"/>
          <w:szCs w:val="24"/>
        </w:rPr>
        <w:t>¨ (</w:t>
      </w:r>
      <w:r>
        <w:rPr>
          <w:rFonts w:ascii="Times New Roman" w:hAnsi="Times New Roman" w:cs="Times New Roman"/>
          <w:sz w:val="24"/>
          <w:szCs w:val="24"/>
        </w:rPr>
        <w:t>Gráfico</w:t>
      </w:r>
      <w:r w:rsidRPr="00042E81">
        <w:rPr>
          <w:rFonts w:ascii="Times New Roman" w:hAnsi="Times New Roman" w:cs="Times New Roman"/>
          <w:sz w:val="24"/>
          <w:szCs w:val="24"/>
        </w:rPr>
        <w:t xml:space="preserve"> </w:t>
      </w:r>
      <w:r>
        <w:rPr>
          <w:rFonts w:ascii="Times New Roman" w:hAnsi="Times New Roman" w:cs="Times New Roman"/>
          <w:sz w:val="24"/>
          <w:szCs w:val="24"/>
        </w:rPr>
        <w:t>2</w:t>
      </w:r>
      <w:r w:rsidRPr="00042E81">
        <w:rPr>
          <w:rFonts w:ascii="Times New Roman" w:hAnsi="Times New Roman" w:cs="Times New Roman"/>
          <w:sz w:val="24"/>
          <w:szCs w:val="24"/>
        </w:rPr>
        <w:t>). En total, las categorías ¨</w:t>
      </w:r>
      <w:r w:rsidRPr="00042E81">
        <w:rPr>
          <w:rFonts w:ascii="Times New Roman" w:hAnsi="Times New Roman" w:cs="Times New Roman"/>
          <w:i/>
          <w:sz w:val="24"/>
          <w:szCs w:val="24"/>
        </w:rPr>
        <w:t>aumentó</w:t>
      </w:r>
      <w:r w:rsidRPr="00042E81">
        <w:rPr>
          <w:rFonts w:ascii="Times New Roman" w:hAnsi="Times New Roman" w:cs="Times New Roman"/>
          <w:sz w:val="24"/>
          <w:szCs w:val="24"/>
        </w:rPr>
        <w:t>¨ y ¨</w:t>
      </w:r>
      <w:r w:rsidRPr="00042E81">
        <w:rPr>
          <w:rFonts w:ascii="Times New Roman" w:hAnsi="Times New Roman" w:cs="Times New Roman"/>
          <w:i/>
          <w:sz w:val="24"/>
          <w:szCs w:val="24"/>
        </w:rPr>
        <w:t>aumentó significativamente</w:t>
      </w:r>
      <w:r w:rsidRPr="00042E81">
        <w:rPr>
          <w:rFonts w:ascii="Times New Roman" w:hAnsi="Times New Roman" w:cs="Times New Roman"/>
          <w:sz w:val="24"/>
          <w:szCs w:val="24"/>
        </w:rPr>
        <w:t xml:space="preserve">¨ suman el 66% de las respuestas. Una respuesta todavía más positiva se observa cuando se preguntó sobre la evolución de su capacidad productiva en ese mismo periodo, ya que estas dos categorías sumaron casi el 80% del total de las respuestas. </w:t>
      </w:r>
    </w:p>
    <w:p w:rsidR="009813EA" w:rsidRPr="00D126AB" w:rsidRDefault="009813EA" w:rsidP="00AC722C">
      <w:pPr>
        <w:pStyle w:val="Epgrafe"/>
        <w:keepNext/>
        <w:spacing w:after="80"/>
        <w:jc w:val="center"/>
        <w:rPr>
          <w:rFonts w:ascii="Times New Roman" w:hAnsi="Times New Roman" w:cs="Times New Roman"/>
          <w:i w:val="0"/>
          <w:iCs w:val="0"/>
          <w:color w:val="auto"/>
        </w:rPr>
      </w:pPr>
      <w:r w:rsidRPr="00D126AB">
        <w:rPr>
          <w:rFonts w:ascii="Times New Roman" w:hAnsi="Times New Roman" w:cs="Times New Roman"/>
          <w:i w:val="0"/>
          <w:color w:val="auto"/>
        </w:rPr>
        <w:t>Gráfico 2</w:t>
      </w:r>
      <w:r w:rsidRPr="00D126AB">
        <w:rPr>
          <w:rFonts w:ascii="Times New Roman" w:hAnsi="Times New Roman" w:cs="Times New Roman"/>
          <w:i w:val="0"/>
          <w:iCs w:val="0"/>
          <w:color w:val="auto"/>
        </w:rPr>
        <w:t xml:space="preserve"> </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Respuestas a la pregunta ¨¿Cómo ha sido la evolución de las exportaciones de su empresa en los últimos 10 años?</w:t>
      </w:r>
    </w:p>
    <w:p w:rsidR="009813EA" w:rsidRPr="00042E81" w:rsidRDefault="00C0417E" w:rsidP="00AC722C">
      <w:pPr>
        <w:keepNext/>
        <w:spacing w:after="80" w:line="360" w:lineRule="auto"/>
        <w:ind w:left="1440" w:firstLine="720"/>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2933065" cy="1614805"/>
            <wp:effectExtent l="0" t="0" r="63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065" cy="1614805"/>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color w:val="auto"/>
          <w:sz w:val="24"/>
          <w:szCs w:val="24"/>
          <w:highlight w:val="white"/>
        </w:rPr>
      </w:pPr>
      <w:r w:rsidRPr="00D126AB">
        <w:rPr>
          <w:rFonts w:ascii="Times New Roman" w:hAnsi="Times New Roman" w:cs="Times New Roman"/>
          <w:i w:val="0"/>
          <w:color w:val="auto"/>
        </w:rPr>
        <w:t>Fuente</w:t>
      </w:r>
      <w:r w:rsidRPr="00042E81">
        <w:rPr>
          <w:rFonts w:ascii="Times New Roman" w:hAnsi="Times New Roman" w:cs="Times New Roman"/>
          <w:i w:val="0"/>
          <w:iCs w:val="0"/>
          <w:color w:val="auto"/>
        </w:rPr>
        <w:t>: elaboración propia</w:t>
      </w:r>
    </w:p>
    <w:p w:rsidR="009813EA" w:rsidRPr="00042E81" w:rsidRDefault="009813EA" w:rsidP="00AC722C">
      <w:pPr>
        <w:spacing w:after="8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w:t>
      </w:r>
      <w:r w:rsidRPr="00042E81">
        <w:rPr>
          <w:rFonts w:ascii="Times New Roman" w:hAnsi="Times New Roman" w:cs="Times New Roman"/>
          <w:sz w:val="24"/>
          <w:szCs w:val="24"/>
          <w:highlight w:val="white"/>
        </w:rPr>
        <w:t xml:space="preserve">l combinar las respuestas de las empresas encuestadas, se obtuvo que la mayoría de las firmas que cumplieron de manera ¨excelente¨ con los requerimientos de </w:t>
      </w:r>
      <w:proofErr w:type="spellStart"/>
      <w:r w:rsidRPr="00D126AB">
        <w:rPr>
          <w:rFonts w:ascii="Times New Roman" w:hAnsi="Times New Roman" w:cs="Times New Roman"/>
          <w:i/>
          <w:sz w:val="24"/>
          <w:szCs w:val="24"/>
          <w:highlight w:val="white"/>
        </w:rPr>
        <w:t>packaging</w:t>
      </w:r>
      <w:proofErr w:type="spellEnd"/>
      <w:r w:rsidRPr="00042E81">
        <w:rPr>
          <w:rFonts w:ascii="Times New Roman" w:hAnsi="Times New Roman" w:cs="Times New Roman"/>
          <w:sz w:val="24"/>
          <w:szCs w:val="24"/>
          <w:highlight w:val="white"/>
        </w:rPr>
        <w:t xml:space="preserve"> también declararon que sus exportaciones ¨</w:t>
      </w:r>
      <w:r w:rsidRPr="00042E81">
        <w:rPr>
          <w:rFonts w:ascii="Times New Roman" w:hAnsi="Times New Roman" w:cs="Times New Roman"/>
          <w:i/>
          <w:sz w:val="24"/>
          <w:szCs w:val="24"/>
          <w:highlight w:val="white"/>
        </w:rPr>
        <w:t>aumentaron</w:t>
      </w:r>
      <w:r w:rsidRPr="00042E81">
        <w:rPr>
          <w:rFonts w:ascii="Times New Roman" w:hAnsi="Times New Roman" w:cs="Times New Roman"/>
          <w:sz w:val="24"/>
          <w:szCs w:val="24"/>
          <w:highlight w:val="white"/>
        </w:rPr>
        <w:t>¨ (45%) o ¨</w:t>
      </w:r>
      <w:r w:rsidRPr="00042E81">
        <w:rPr>
          <w:rFonts w:ascii="Times New Roman" w:hAnsi="Times New Roman" w:cs="Times New Roman"/>
          <w:i/>
          <w:sz w:val="24"/>
          <w:szCs w:val="24"/>
          <w:highlight w:val="white"/>
        </w:rPr>
        <w:t>aumentaron significativamente</w:t>
      </w:r>
      <w:r w:rsidRPr="00042E81">
        <w:rPr>
          <w:rFonts w:ascii="Times New Roman" w:hAnsi="Times New Roman" w:cs="Times New Roman"/>
          <w:sz w:val="24"/>
          <w:szCs w:val="24"/>
          <w:highlight w:val="white"/>
        </w:rPr>
        <w:t>¨ (23%) en los últimos diez años. Únicamente tres empresas dijeron haber tenido un cumplimiento bajo o nulo, las cuales tampoco mostraron un crecimiento en sus exportaciones en el mismo periodo (</w:t>
      </w:r>
      <w:r>
        <w:rPr>
          <w:rFonts w:ascii="Times New Roman" w:hAnsi="Times New Roman" w:cs="Times New Roman"/>
          <w:sz w:val="24"/>
          <w:szCs w:val="24"/>
          <w:highlight w:val="white"/>
        </w:rPr>
        <w:t>Cuadro 3</w:t>
      </w:r>
      <w:r w:rsidRPr="00042E81">
        <w:rPr>
          <w:rFonts w:ascii="Times New Roman" w:hAnsi="Times New Roman" w:cs="Times New Roman"/>
          <w:sz w:val="24"/>
          <w:szCs w:val="24"/>
          <w:highlight w:val="white"/>
        </w:rPr>
        <w:t xml:space="preserve">). Las otras dos preguntas relacionadas </w:t>
      </w:r>
      <w:r>
        <w:rPr>
          <w:rFonts w:ascii="Times New Roman" w:hAnsi="Times New Roman" w:cs="Times New Roman"/>
          <w:sz w:val="24"/>
          <w:szCs w:val="24"/>
          <w:highlight w:val="white"/>
        </w:rPr>
        <w:t>con e</w:t>
      </w:r>
      <w:r w:rsidRPr="00042E81">
        <w:rPr>
          <w:rFonts w:ascii="Times New Roman" w:hAnsi="Times New Roman" w:cs="Times New Roman"/>
          <w:sz w:val="24"/>
          <w:szCs w:val="24"/>
          <w:highlight w:val="white"/>
        </w:rPr>
        <w:t>l cumplimiento muestran resultados similares, lo que nos conduce a confirmar la correlación que existe entre el nivel de cumplimiento y la evolución de las exportaciones en el largo plazo.</w:t>
      </w:r>
    </w:p>
    <w:p w:rsidR="009813EA" w:rsidRDefault="009813EA" w:rsidP="00AC722C">
      <w:pPr>
        <w:pStyle w:val="Epgrafe"/>
        <w:keepNext/>
        <w:spacing w:after="80"/>
        <w:jc w:val="center"/>
        <w:rPr>
          <w:rFonts w:ascii="Times New Roman" w:hAnsi="Times New Roman" w:cs="Times New Roman"/>
          <w:i w:val="0"/>
          <w:color w:val="auto"/>
        </w:rPr>
      </w:pPr>
      <w:r>
        <w:rPr>
          <w:rFonts w:ascii="Times New Roman" w:hAnsi="Times New Roman" w:cs="Times New Roman"/>
          <w:i w:val="0"/>
          <w:color w:val="auto"/>
        </w:rPr>
        <w:t>Cuadro 3</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 xml:space="preserve">Correlación entre el grado de cumplimiento en requerimientos de </w:t>
      </w:r>
      <w:proofErr w:type="spellStart"/>
      <w:r w:rsidRPr="00D126AB">
        <w:rPr>
          <w:rFonts w:ascii="Times New Roman" w:hAnsi="Times New Roman" w:cs="Times New Roman"/>
          <w:iCs w:val="0"/>
          <w:color w:val="auto"/>
        </w:rPr>
        <w:t>packaging</w:t>
      </w:r>
      <w:proofErr w:type="spellEnd"/>
      <w:r w:rsidRPr="00042E81">
        <w:rPr>
          <w:rFonts w:ascii="Times New Roman" w:hAnsi="Times New Roman" w:cs="Times New Roman"/>
          <w:i w:val="0"/>
          <w:iCs w:val="0"/>
          <w:color w:val="auto"/>
        </w:rPr>
        <w:t xml:space="preserve"> y la evolución de las exportaciones en los últimos 10 años</w:t>
      </w:r>
    </w:p>
    <w:p w:rsidR="009813EA" w:rsidRPr="00042E81" w:rsidRDefault="00C0417E" w:rsidP="00AC722C">
      <w:pPr>
        <w:keepNext/>
        <w:spacing w:after="80" w:line="360" w:lineRule="auto"/>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5605145" cy="20072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145" cy="2007235"/>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color w:val="auto"/>
        </w:rPr>
      </w:pPr>
      <w:r w:rsidRPr="00D126AB">
        <w:rPr>
          <w:rFonts w:ascii="Times New Roman" w:hAnsi="Times New Roman" w:cs="Times New Roman"/>
          <w:i w:val="0"/>
          <w:color w:val="auto"/>
        </w:rPr>
        <w:t>Fuente</w:t>
      </w:r>
      <w:r w:rsidRPr="00042E81">
        <w:rPr>
          <w:rFonts w:ascii="Times New Roman" w:hAnsi="Times New Roman" w:cs="Times New Roman"/>
          <w:i w:val="0"/>
          <w:iCs w:val="0"/>
          <w:color w:val="auto"/>
        </w:rPr>
        <w:t>: elaboración propia</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lastRenderedPageBreak/>
        <w:t>Asimismo, aquellas compañías que tendieron a cumplir con estas medidas también afirmaron aumentar su capacidad productiva en los últimos diez años. Para obtener este resultado, se compararon las respuestas sobre el nivel de cumplimiento con certificaciones técnicas requeridas por países importadores y sobre la evolución de su capacidad productiva. Es importante aclarar que se presume que aquellas firmas que decidieron certificar sus productos debieron introducir prácticas más sustentables y, particularmente, mejorar las ineficiencias de su proceso de producción, lo que las ayudaría a mejorar y aumentar su capacidad productiva en el largo plazo. Así, observamos que aquellas empresas que seleccionaron la categoría ¨</w:t>
      </w:r>
      <w:r w:rsidRPr="00042E81">
        <w:rPr>
          <w:rFonts w:ascii="Times New Roman" w:hAnsi="Times New Roman" w:cs="Times New Roman"/>
          <w:i/>
          <w:sz w:val="24"/>
          <w:szCs w:val="24"/>
        </w:rPr>
        <w:t>cumplimiento excelente</w:t>
      </w:r>
      <w:r w:rsidRPr="00042E81">
        <w:rPr>
          <w:rFonts w:ascii="Times New Roman" w:hAnsi="Times New Roman" w:cs="Times New Roman"/>
          <w:sz w:val="24"/>
          <w:szCs w:val="24"/>
        </w:rPr>
        <w:t>¨ también aumentaron su capacidad productiva (más del 81% afirmó que ¨</w:t>
      </w:r>
      <w:r w:rsidRPr="00042E81">
        <w:rPr>
          <w:rFonts w:ascii="Times New Roman" w:hAnsi="Times New Roman" w:cs="Times New Roman"/>
          <w:i/>
          <w:sz w:val="24"/>
          <w:szCs w:val="24"/>
        </w:rPr>
        <w:t>aumentó</w:t>
      </w:r>
      <w:r w:rsidRPr="00042E81">
        <w:rPr>
          <w:rFonts w:ascii="Times New Roman" w:hAnsi="Times New Roman" w:cs="Times New Roman"/>
          <w:sz w:val="24"/>
          <w:szCs w:val="24"/>
        </w:rPr>
        <w:t>¨ o ¨</w:t>
      </w:r>
      <w:r w:rsidRPr="00042E81">
        <w:rPr>
          <w:rFonts w:ascii="Times New Roman" w:hAnsi="Times New Roman" w:cs="Times New Roman"/>
          <w:i/>
          <w:sz w:val="24"/>
          <w:szCs w:val="24"/>
        </w:rPr>
        <w:t>aumentó significativamente</w:t>
      </w:r>
      <w:r w:rsidRPr="00042E81">
        <w:rPr>
          <w:rFonts w:ascii="Times New Roman" w:hAnsi="Times New Roman" w:cs="Times New Roman"/>
          <w:sz w:val="24"/>
          <w:szCs w:val="24"/>
        </w:rPr>
        <w:t>¨). En cuanto a las firmas que mostraron un cumplimiento moderado, las respuestas también son positivas, aunque ligeramente más bajas que el primer grupo (</w:t>
      </w:r>
      <w:r>
        <w:rPr>
          <w:rFonts w:ascii="Times New Roman" w:hAnsi="Times New Roman" w:cs="Times New Roman"/>
          <w:sz w:val="24"/>
          <w:szCs w:val="24"/>
        </w:rPr>
        <w:t>Gráfico 3</w:t>
      </w:r>
      <w:r w:rsidRPr="00042E81">
        <w:rPr>
          <w:rFonts w:ascii="Times New Roman" w:hAnsi="Times New Roman" w:cs="Times New Roman"/>
          <w:sz w:val="24"/>
          <w:szCs w:val="24"/>
        </w:rPr>
        <w:t xml:space="preserve">). Del total de las 3 empresas que no cumplieron o mostraron un cumplimiento bajo, todas las respuestas son diferentes, por lo que no es posible generalizar una conclusión. </w:t>
      </w:r>
    </w:p>
    <w:p w:rsidR="009813EA" w:rsidRDefault="009813EA" w:rsidP="00AC722C">
      <w:pPr>
        <w:pStyle w:val="Epgrafe"/>
        <w:keepNext/>
        <w:spacing w:after="80"/>
        <w:jc w:val="center"/>
        <w:rPr>
          <w:rFonts w:ascii="Times New Roman" w:hAnsi="Times New Roman" w:cs="Times New Roman"/>
          <w:i w:val="0"/>
          <w:color w:val="auto"/>
        </w:rPr>
      </w:pPr>
      <w:r>
        <w:rPr>
          <w:rFonts w:ascii="Times New Roman" w:hAnsi="Times New Roman" w:cs="Times New Roman"/>
          <w:i w:val="0"/>
          <w:color w:val="auto"/>
        </w:rPr>
        <w:t>Gráfico 3</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Correlación entre el nivel de cumplimiento con las certificaciones técnicas y la evolución de la capacidad productiva en los últimos 10 años</w:t>
      </w:r>
    </w:p>
    <w:p w:rsidR="009813EA" w:rsidRPr="00042E81" w:rsidRDefault="00C0417E" w:rsidP="00AC722C">
      <w:pPr>
        <w:keepNext/>
        <w:spacing w:after="80" w:line="360" w:lineRule="auto"/>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5320030" cy="26123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0030" cy="2612390"/>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color w:val="auto"/>
          <w:sz w:val="24"/>
          <w:szCs w:val="24"/>
        </w:rPr>
      </w:pPr>
      <w:r w:rsidRPr="00D126AB">
        <w:rPr>
          <w:rFonts w:ascii="Times New Roman" w:hAnsi="Times New Roman" w:cs="Times New Roman"/>
          <w:i w:val="0"/>
          <w:color w:val="auto"/>
        </w:rPr>
        <w:t>Fuente</w:t>
      </w:r>
      <w:r w:rsidRPr="00042E81">
        <w:rPr>
          <w:rFonts w:ascii="Times New Roman" w:hAnsi="Times New Roman" w:cs="Times New Roman"/>
          <w:i w:val="0"/>
          <w:iCs w:val="0"/>
          <w:color w:val="auto"/>
        </w:rPr>
        <w:t>: elaboración propia</w:t>
      </w:r>
    </w:p>
    <w:p w:rsidR="009813EA"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 xml:space="preserve">Así, podemos concluir que independientemente de lo costoso que resulte cumplir con las exigencias arancelarias y sanitarias, aquellas firmas de la industria de las infusiones en América Latina que logran cumplir con ellas tienden a obtener resultados positivos en el largo plazo, tanto en sus exportaciones como en su capacidad productiva. </w:t>
      </w:r>
    </w:p>
    <w:p w:rsidR="009813EA" w:rsidRPr="00042E81" w:rsidRDefault="009813EA" w:rsidP="00AC722C">
      <w:pPr>
        <w:spacing w:after="80" w:line="360" w:lineRule="auto"/>
        <w:jc w:val="both"/>
        <w:rPr>
          <w:rFonts w:ascii="Times New Roman" w:hAnsi="Times New Roman" w:cs="Times New Roman"/>
          <w:sz w:val="24"/>
          <w:szCs w:val="24"/>
        </w:rPr>
      </w:pPr>
      <w:r w:rsidRPr="00BC036A">
        <w:rPr>
          <w:rFonts w:ascii="Times New Roman" w:hAnsi="Times New Roman" w:cs="Times New Roman"/>
          <w:i/>
          <w:sz w:val="24"/>
          <w:szCs w:val="24"/>
        </w:rPr>
        <w:t>iv. Impacto de las MNA</w:t>
      </w:r>
      <w:r>
        <w:rPr>
          <w:rFonts w:ascii="Times New Roman" w:hAnsi="Times New Roman" w:cs="Times New Roman"/>
          <w:sz w:val="24"/>
          <w:szCs w:val="24"/>
        </w:rPr>
        <w:t xml:space="preserve">. </w:t>
      </w:r>
      <w:r w:rsidRPr="00042E81">
        <w:rPr>
          <w:rFonts w:ascii="Times New Roman" w:hAnsi="Times New Roman" w:cs="Times New Roman"/>
          <w:sz w:val="24"/>
          <w:szCs w:val="24"/>
        </w:rPr>
        <w:t xml:space="preserve">Para estudiar la percepción de impacto que tienen las empresas sobre la aplicación de estas medidas, se les preguntó en qué medida consideran que impactan las </w:t>
      </w:r>
      <w:proofErr w:type="spellStart"/>
      <w:r w:rsidRPr="00042E81">
        <w:rPr>
          <w:rFonts w:ascii="Times New Roman" w:hAnsi="Times New Roman" w:cs="Times New Roman"/>
          <w:sz w:val="24"/>
          <w:szCs w:val="24"/>
        </w:rPr>
        <w:lastRenderedPageBreak/>
        <w:t>MNAs</w:t>
      </w:r>
      <w:proofErr w:type="spellEnd"/>
      <w:r w:rsidRPr="00042E81">
        <w:rPr>
          <w:rFonts w:ascii="Times New Roman" w:hAnsi="Times New Roman" w:cs="Times New Roman"/>
          <w:sz w:val="24"/>
          <w:szCs w:val="24"/>
        </w:rPr>
        <w:t xml:space="preserve"> en la evolución de sus exportaciones. Entre las respuestas, se obtuvo que solamente dos empresas consideraron que es el factor principal que explica la evolución de sus exportaciones. La mayoría de las respuestas se concentran en las siguientes dos categorías (Gráfico 2), lo que nos conduce a concluir que aunque las </w:t>
      </w:r>
      <w:proofErr w:type="spellStart"/>
      <w:r w:rsidRPr="00042E81">
        <w:rPr>
          <w:rFonts w:ascii="Times New Roman" w:hAnsi="Times New Roman" w:cs="Times New Roman"/>
          <w:sz w:val="24"/>
          <w:szCs w:val="24"/>
        </w:rPr>
        <w:t>MNAs</w:t>
      </w:r>
      <w:proofErr w:type="spellEnd"/>
      <w:r w:rsidRPr="00042E81">
        <w:rPr>
          <w:rFonts w:ascii="Times New Roman" w:hAnsi="Times New Roman" w:cs="Times New Roman"/>
          <w:sz w:val="24"/>
          <w:szCs w:val="24"/>
        </w:rPr>
        <w:t xml:space="preserve"> no son el principal motivo, tienen un peso muy relevante al explicar la evolución de las exportaciones de las empresas. </w:t>
      </w:r>
    </w:p>
    <w:p w:rsidR="009813EA" w:rsidRPr="00BC036A" w:rsidRDefault="009813EA" w:rsidP="00AC722C">
      <w:pPr>
        <w:pStyle w:val="Epgrafe"/>
        <w:keepNext/>
        <w:spacing w:after="80"/>
        <w:jc w:val="center"/>
        <w:rPr>
          <w:rFonts w:ascii="Times New Roman" w:hAnsi="Times New Roman" w:cs="Times New Roman"/>
          <w:i w:val="0"/>
          <w:iCs w:val="0"/>
          <w:color w:val="auto"/>
        </w:rPr>
      </w:pPr>
      <w:r w:rsidRPr="00BC036A">
        <w:rPr>
          <w:rFonts w:ascii="Times New Roman" w:hAnsi="Times New Roman" w:cs="Times New Roman"/>
          <w:i w:val="0"/>
          <w:color w:val="auto"/>
        </w:rPr>
        <w:t>Gráfico 4</w:t>
      </w:r>
      <w:r w:rsidRPr="00BC036A">
        <w:rPr>
          <w:rFonts w:ascii="Times New Roman" w:hAnsi="Times New Roman" w:cs="Times New Roman"/>
          <w:i w:val="0"/>
          <w:iCs w:val="0"/>
          <w:color w:val="auto"/>
        </w:rPr>
        <w:t xml:space="preserve"> </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 xml:space="preserve">Respuestas obtenidas a la pregunta sobre la percepción del impacto de las </w:t>
      </w:r>
      <w:proofErr w:type="spellStart"/>
      <w:r w:rsidRPr="00042E81">
        <w:rPr>
          <w:rFonts w:ascii="Times New Roman" w:hAnsi="Times New Roman" w:cs="Times New Roman"/>
          <w:i w:val="0"/>
          <w:iCs w:val="0"/>
          <w:color w:val="auto"/>
        </w:rPr>
        <w:t>MNAs</w:t>
      </w:r>
      <w:proofErr w:type="spellEnd"/>
      <w:r w:rsidRPr="00042E81">
        <w:rPr>
          <w:rFonts w:ascii="Times New Roman" w:hAnsi="Times New Roman" w:cs="Times New Roman"/>
          <w:i w:val="0"/>
          <w:iCs w:val="0"/>
          <w:color w:val="auto"/>
        </w:rPr>
        <w:t xml:space="preserve"> </w:t>
      </w:r>
      <w:r>
        <w:rPr>
          <w:rFonts w:ascii="Times New Roman" w:hAnsi="Times New Roman" w:cs="Times New Roman"/>
          <w:i w:val="0"/>
          <w:iCs w:val="0"/>
          <w:color w:val="auto"/>
        </w:rPr>
        <w:br/>
      </w:r>
      <w:r w:rsidRPr="00042E81">
        <w:rPr>
          <w:rFonts w:ascii="Times New Roman" w:hAnsi="Times New Roman" w:cs="Times New Roman"/>
          <w:i w:val="0"/>
          <w:iCs w:val="0"/>
          <w:color w:val="auto"/>
        </w:rPr>
        <w:t>en la evolución de las exportaciones de la empresa</w:t>
      </w:r>
    </w:p>
    <w:p w:rsidR="009813EA" w:rsidRPr="00042E81" w:rsidRDefault="00C0417E" w:rsidP="00AC722C">
      <w:pPr>
        <w:keepNext/>
        <w:spacing w:after="80" w:line="360" w:lineRule="auto"/>
        <w:ind w:firstLine="720"/>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4334510" cy="169799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510" cy="1697990"/>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i w:val="0"/>
          <w:iCs w:val="0"/>
          <w:color w:val="auto"/>
          <w:sz w:val="24"/>
          <w:szCs w:val="24"/>
        </w:rPr>
      </w:pPr>
      <w:r w:rsidRPr="00BC036A">
        <w:rPr>
          <w:rFonts w:ascii="Times New Roman" w:hAnsi="Times New Roman" w:cs="Times New Roman"/>
          <w:i w:val="0"/>
          <w:color w:val="auto"/>
        </w:rPr>
        <w:t>Fuente</w:t>
      </w:r>
      <w:r w:rsidRPr="00431516">
        <w:rPr>
          <w:rFonts w:ascii="Times New Roman" w:hAnsi="Times New Roman" w:cs="Times New Roman"/>
          <w:color w:val="auto"/>
        </w:rPr>
        <w:t>:</w:t>
      </w:r>
      <w:r w:rsidRPr="00042E81">
        <w:rPr>
          <w:rFonts w:ascii="Times New Roman" w:hAnsi="Times New Roman" w:cs="Times New Roman"/>
          <w:i w:val="0"/>
          <w:iCs w:val="0"/>
          <w:color w:val="auto"/>
        </w:rPr>
        <w:t xml:space="preserve"> elaboración propia</w:t>
      </w:r>
    </w:p>
    <w:p w:rsidR="009813EA" w:rsidRPr="00042E81" w:rsidRDefault="009813EA" w:rsidP="00AC722C">
      <w:pPr>
        <w:spacing w:after="80" w:line="360" w:lineRule="auto"/>
        <w:jc w:val="both"/>
        <w:rPr>
          <w:rFonts w:ascii="Times New Roman" w:hAnsi="Times New Roman" w:cs="Times New Roman"/>
          <w:sz w:val="24"/>
          <w:szCs w:val="24"/>
        </w:rPr>
      </w:pPr>
      <w:r w:rsidRPr="00BC036A">
        <w:rPr>
          <w:rFonts w:ascii="Times New Roman" w:hAnsi="Times New Roman" w:cs="Times New Roman"/>
          <w:i/>
          <w:sz w:val="24"/>
          <w:szCs w:val="24"/>
        </w:rPr>
        <w:t>v. Beneficios de una estrategia ambiental</w:t>
      </w:r>
      <w:r>
        <w:rPr>
          <w:rFonts w:ascii="Times New Roman" w:hAnsi="Times New Roman" w:cs="Times New Roman"/>
          <w:sz w:val="24"/>
          <w:szCs w:val="24"/>
        </w:rPr>
        <w:t xml:space="preserve">. </w:t>
      </w:r>
      <w:r w:rsidRPr="00042E81">
        <w:rPr>
          <w:rFonts w:ascii="Times New Roman" w:hAnsi="Times New Roman" w:cs="Times New Roman"/>
          <w:sz w:val="24"/>
          <w:szCs w:val="24"/>
        </w:rPr>
        <w:t>Finalmente, se analiza la correlación que existe entre el nivel de cumplimiento y el compromiso para desarrollar estrategias de desempeño ambiental a través de la introducción de tecnologías más sostenibles, una reducción de la cantidad de agua utilizada en el proceso productivo y el establecimiento de metas de desempeño ambiental.</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 xml:space="preserve">En </w:t>
      </w:r>
      <w:r>
        <w:rPr>
          <w:rFonts w:ascii="Times New Roman" w:hAnsi="Times New Roman" w:cs="Times New Roman"/>
          <w:sz w:val="24"/>
          <w:szCs w:val="24"/>
        </w:rPr>
        <w:t>e</w:t>
      </w:r>
      <w:r w:rsidRPr="00042E81">
        <w:rPr>
          <w:rFonts w:ascii="Times New Roman" w:hAnsi="Times New Roman" w:cs="Times New Roman"/>
          <w:sz w:val="24"/>
          <w:szCs w:val="24"/>
        </w:rPr>
        <w:t xml:space="preserve">l </w:t>
      </w:r>
      <w:r>
        <w:rPr>
          <w:rFonts w:ascii="Times New Roman" w:hAnsi="Times New Roman" w:cs="Times New Roman"/>
          <w:sz w:val="24"/>
          <w:szCs w:val="24"/>
        </w:rPr>
        <w:t>Cuadro 5</w:t>
      </w:r>
      <w:r w:rsidRPr="00042E81">
        <w:rPr>
          <w:rFonts w:ascii="Times New Roman" w:hAnsi="Times New Roman" w:cs="Times New Roman"/>
          <w:sz w:val="24"/>
          <w:szCs w:val="24"/>
        </w:rPr>
        <w:t xml:space="preserve"> se muestran los resultados obtenidos de la comparación de dos indicadores: el nivel de cumplimiento de los niveles máximos de contaminantes y la importancia que las empresas le dan a introducción de tecnologías más sostenibles. Así observamos que de aquellas firmas que tuvieron un ¨</w:t>
      </w:r>
      <w:r w:rsidRPr="00042E81">
        <w:rPr>
          <w:rFonts w:ascii="Times New Roman" w:hAnsi="Times New Roman" w:cs="Times New Roman"/>
          <w:i/>
          <w:sz w:val="24"/>
          <w:szCs w:val="24"/>
        </w:rPr>
        <w:t>cumplimiento excelente</w:t>
      </w:r>
      <w:r w:rsidRPr="00042E81">
        <w:rPr>
          <w:rFonts w:ascii="Times New Roman" w:hAnsi="Times New Roman" w:cs="Times New Roman"/>
          <w:sz w:val="24"/>
          <w:szCs w:val="24"/>
        </w:rPr>
        <w:t>¨ de los niveles máximos, alrededor del 55% consideró totalmente importante la introducción de estas tecnologías, contra un 41% que eligió la categoría ¨</w:t>
      </w:r>
      <w:r w:rsidRPr="00042E81">
        <w:rPr>
          <w:rFonts w:ascii="Times New Roman" w:hAnsi="Times New Roman" w:cs="Times New Roman"/>
          <w:i/>
          <w:sz w:val="24"/>
          <w:szCs w:val="24"/>
        </w:rPr>
        <w:t>importante</w:t>
      </w:r>
      <w:r w:rsidRPr="00042E81">
        <w:rPr>
          <w:rFonts w:ascii="Times New Roman" w:hAnsi="Times New Roman" w:cs="Times New Roman"/>
          <w:sz w:val="24"/>
          <w:szCs w:val="24"/>
        </w:rPr>
        <w:t>¨, y solamente un 4% que dijo que era irrelevante (</w:t>
      </w:r>
      <w:r>
        <w:rPr>
          <w:rFonts w:ascii="Times New Roman" w:hAnsi="Times New Roman" w:cs="Times New Roman"/>
          <w:sz w:val="24"/>
          <w:szCs w:val="24"/>
        </w:rPr>
        <w:t>Cuadro 4</w:t>
      </w:r>
      <w:r w:rsidRPr="00042E81">
        <w:rPr>
          <w:rFonts w:ascii="Times New Roman" w:hAnsi="Times New Roman" w:cs="Times New Roman"/>
          <w:sz w:val="24"/>
          <w:szCs w:val="24"/>
        </w:rPr>
        <w:t xml:space="preserve">). En el caso de las firmas con cumplimiento moderado, aunque el porcentaje de firmas que considera estas tecnologías sostenibles como  importantes es alto, las respuestas muestran una distribución más equitativa entre las diferentes categorías. En cuanto a las firmas de cumplimiento bajo o nulo, ninguna eligió la categoría 5. No obstante, esto podría explicarse ya sea porque las firmas de esta categoría son </w:t>
      </w:r>
      <w:proofErr w:type="spellStart"/>
      <w:r w:rsidRPr="00CF1B84">
        <w:rPr>
          <w:rFonts w:ascii="Times New Roman" w:hAnsi="Times New Roman" w:cs="Times New Roman"/>
          <w:i/>
          <w:sz w:val="24"/>
          <w:szCs w:val="24"/>
        </w:rPr>
        <w:t>outliers</w:t>
      </w:r>
      <w:proofErr w:type="spellEnd"/>
      <w:r w:rsidRPr="00042E81">
        <w:rPr>
          <w:rFonts w:ascii="Times New Roman" w:hAnsi="Times New Roman" w:cs="Times New Roman"/>
          <w:sz w:val="24"/>
          <w:szCs w:val="24"/>
        </w:rPr>
        <w:t xml:space="preserve"> o porque no existe una tendencia generalizada para su opinión y su comportamiento. Cuando reemplazamos el indicador de nivel de cumplimiento de los niveles máximos por el nivel de cumplimiento de las certificaciones técnicas, se observan resultados similares. </w:t>
      </w:r>
    </w:p>
    <w:p w:rsidR="009813EA" w:rsidRPr="00BC036A" w:rsidRDefault="009813EA" w:rsidP="00AC722C">
      <w:pPr>
        <w:pStyle w:val="Epgrafe"/>
        <w:keepNext/>
        <w:spacing w:after="80"/>
        <w:jc w:val="center"/>
        <w:rPr>
          <w:rFonts w:ascii="Times New Roman" w:hAnsi="Times New Roman" w:cs="Times New Roman"/>
          <w:i w:val="0"/>
          <w:color w:val="auto"/>
        </w:rPr>
      </w:pPr>
      <w:r w:rsidRPr="00BC036A">
        <w:rPr>
          <w:rFonts w:ascii="Times New Roman" w:hAnsi="Times New Roman" w:cs="Times New Roman"/>
          <w:i w:val="0"/>
          <w:color w:val="auto"/>
        </w:rPr>
        <w:lastRenderedPageBreak/>
        <w:t>Cuadro 4</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Correlación entre el cumplimiento de los niveles máximos de contaminantes</w:t>
      </w:r>
      <w:r w:rsidRPr="00042E81">
        <w:rPr>
          <w:rFonts w:ascii="Times New Roman" w:hAnsi="Times New Roman" w:cs="Times New Roman"/>
          <w:i w:val="0"/>
          <w:iCs w:val="0"/>
          <w:color w:val="auto"/>
          <w:lang w:val="es-US"/>
        </w:rPr>
        <w:t xml:space="preserve">/residuos y </w:t>
      </w:r>
      <w:r w:rsidRPr="00042E81">
        <w:rPr>
          <w:rFonts w:ascii="Times New Roman" w:hAnsi="Times New Roman" w:cs="Times New Roman"/>
          <w:i w:val="0"/>
          <w:iCs w:val="0"/>
          <w:color w:val="auto"/>
          <w:lang w:val="es-ES"/>
        </w:rPr>
        <w:t>la importancia otorgada a la introducción de tecnologías más sustentables</w:t>
      </w:r>
    </w:p>
    <w:p w:rsidR="009813EA" w:rsidRPr="00042E81" w:rsidRDefault="00C0417E" w:rsidP="00AC722C">
      <w:pPr>
        <w:keepNext/>
        <w:spacing w:after="80" w:line="360" w:lineRule="auto"/>
        <w:ind w:left="720" w:firstLine="720"/>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4382135" cy="2244725"/>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2135" cy="2244725"/>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color w:val="auto"/>
          <w:sz w:val="24"/>
          <w:szCs w:val="24"/>
        </w:rPr>
      </w:pPr>
      <w:r w:rsidRPr="008570FC">
        <w:rPr>
          <w:rFonts w:ascii="Times New Roman" w:hAnsi="Times New Roman" w:cs="Times New Roman"/>
          <w:i w:val="0"/>
          <w:color w:val="auto"/>
        </w:rPr>
        <w:t>Fuente</w:t>
      </w:r>
      <w:r>
        <w:rPr>
          <w:rFonts w:ascii="Times New Roman" w:hAnsi="Times New Roman" w:cs="Times New Roman"/>
          <w:i w:val="0"/>
          <w:color w:val="auto"/>
        </w:rPr>
        <w:t>:</w:t>
      </w:r>
      <w:r w:rsidRPr="00042E81">
        <w:rPr>
          <w:rFonts w:ascii="Times New Roman" w:hAnsi="Times New Roman" w:cs="Times New Roman"/>
          <w:i w:val="0"/>
          <w:iCs w:val="0"/>
          <w:color w:val="auto"/>
        </w:rPr>
        <w:t xml:space="preserve"> elaboración propia</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Segundo, para analizar la correlación entre la evolución del uso del agua, se comparó las respuestas obtenidas a la pregunta ¨</w:t>
      </w:r>
      <w:r w:rsidRPr="00042E81">
        <w:rPr>
          <w:rFonts w:ascii="Times New Roman" w:hAnsi="Times New Roman" w:cs="Times New Roman"/>
          <w:i/>
          <w:sz w:val="24"/>
          <w:szCs w:val="24"/>
        </w:rPr>
        <w:t>¿Cómo considera que ha sido la evolución del uso del agua en la producción de su empresa los últimos años?</w:t>
      </w:r>
      <w:r w:rsidRPr="00042E81">
        <w:rPr>
          <w:rFonts w:ascii="Times New Roman" w:hAnsi="Times New Roman" w:cs="Times New Roman"/>
          <w:sz w:val="24"/>
          <w:szCs w:val="24"/>
        </w:rPr>
        <w:t xml:space="preserve">¨ con el cumplimiento de las certificaciones técnicas. Se esperaba que aquellas firmas que certifican sus productos tendieran a mejorar su proceso de producción, lo que incluye un mejor uso de agua durante el </w:t>
      </w:r>
      <w:r>
        <w:rPr>
          <w:rFonts w:ascii="Times New Roman" w:hAnsi="Times New Roman" w:cs="Times New Roman"/>
          <w:sz w:val="24"/>
          <w:szCs w:val="24"/>
        </w:rPr>
        <w:t>proceso</w:t>
      </w:r>
      <w:r w:rsidRPr="00042E81">
        <w:rPr>
          <w:rFonts w:ascii="Times New Roman" w:hAnsi="Times New Roman" w:cs="Times New Roman"/>
          <w:sz w:val="24"/>
          <w:szCs w:val="24"/>
        </w:rPr>
        <w:t>. Entre los resultados se observó que las diferencias entre los distintos grupos de firmas son más evidentes. De las compañías que cumplieron de manera excelente, más del 50% aseguró que el uso del agua se redujo. En cambio, las que tuvieron un cumplimiento moderado muestran respuestas diferentes, destacándose la categoría ¨</w:t>
      </w:r>
      <w:r w:rsidRPr="00042E81">
        <w:rPr>
          <w:rFonts w:ascii="Times New Roman" w:hAnsi="Times New Roman" w:cs="Times New Roman"/>
          <w:i/>
          <w:sz w:val="24"/>
          <w:szCs w:val="24"/>
        </w:rPr>
        <w:t>se mantuvo igual</w:t>
      </w:r>
      <w:r w:rsidRPr="00042E81">
        <w:rPr>
          <w:rFonts w:ascii="Times New Roman" w:hAnsi="Times New Roman" w:cs="Times New Roman"/>
          <w:sz w:val="24"/>
          <w:szCs w:val="24"/>
        </w:rPr>
        <w:t>¨ (44%), seguido de ¨</w:t>
      </w:r>
      <w:r w:rsidRPr="00042E81">
        <w:rPr>
          <w:rFonts w:ascii="Times New Roman" w:hAnsi="Times New Roman" w:cs="Times New Roman"/>
          <w:i/>
          <w:sz w:val="24"/>
          <w:szCs w:val="24"/>
        </w:rPr>
        <w:t>se redujo</w:t>
      </w:r>
      <w:r w:rsidRPr="00042E81">
        <w:rPr>
          <w:rFonts w:ascii="Times New Roman" w:hAnsi="Times New Roman" w:cs="Times New Roman"/>
          <w:sz w:val="24"/>
          <w:szCs w:val="24"/>
        </w:rPr>
        <w:t>¨ (22%). Además, es importante destacar que no cumplir con las exigencias sanitarias y ambientales no se traduce necesariamente en un aumento del uso del agua durante su proceso de producción, por lo que se esperaba que las firmas de bajo o nulo cumplimiento respondieran de manera disimular, que es lo que muestra la evidencia (</w:t>
      </w:r>
      <w:r>
        <w:rPr>
          <w:rFonts w:ascii="Times New Roman" w:hAnsi="Times New Roman" w:cs="Times New Roman"/>
          <w:sz w:val="24"/>
          <w:szCs w:val="24"/>
        </w:rPr>
        <w:t>Cuadro 5</w:t>
      </w:r>
      <w:r w:rsidRPr="00042E81">
        <w:rPr>
          <w:rFonts w:ascii="Times New Roman" w:hAnsi="Times New Roman" w:cs="Times New Roman"/>
          <w:sz w:val="24"/>
          <w:szCs w:val="24"/>
        </w:rPr>
        <w:t>).</w:t>
      </w:r>
    </w:p>
    <w:p w:rsidR="009813EA" w:rsidRPr="0017198F" w:rsidRDefault="009813EA" w:rsidP="00AC722C">
      <w:pPr>
        <w:pStyle w:val="Epgrafe"/>
        <w:keepNext/>
        <w:spacing w:after="80"/>
        <w:jc w:val="center"/>
        <w:rPr>
          <w:rFonts w:ascii="Times New Roman" w:hAnsi="Times New Roman" w:cs="Times New Roman"/>
          <w:i w:val="0"/>
          <w:color w:val="auto"/>
        </w:rPr>
      </w:pPr>
      <w:r w:rsidRPr="0017198F">
        <w:rPr>
          <w:rFonts w:ascii="Times New Roman" w:hAnsi="Times New Roman" w:cs="Times New Roman"/>
          <w:i w:val="0"/>
          <w:color w:val="auto"/>
        </w:rPr>
        <w:lastRenderedPageBreak/>
        <w:t>Cuadro 4</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 xml:space="preserve">Correlación entre el cumplimiento de las certificaciones técnicas y la </w:t>
      </w:r>
      <w:r>
        <w:rPr>
          <w:rFonts w:ascii="Times New Roman" w:hAnsi="Times New Roman" w:cs="Times New Roman"/>
          <w:i w:val="0"/>
          <w:iCs w:val="0"/>
          <w:color w:val="auto"/>
        </w:rPr>
        <w:t>e</w:t>
      </w:r>
      <w:r w:rsidRPr="00042E81">
        <w:rPr>
          <w:rFonts w:ascii="Times New Roman" w:hAnsi="Times New Roman" w:cs="Times New Roman"/>
          <w:i w:val="0"/>
          <w:iCs w:val="0"/>
          <w:color w:val="auto"/>
        </w:rPr>
        <w:t>volución del uso del agua en el proceso de producción</w:t>
      </w:r>
    </w:p>
    <w:p w:rsidR="009813EA" w:rsidRPr="00042E81" w:rsidRDefault="00C0417E" w:rsidP="00AC722C">
      <w:pPr>
        <w:keepNext/>
        <w:spacing w:after="80" w:line="360" w:lineRule="auto"/>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5688330" cy="2244725"/>
            <wp:effectExtent l="0" t="0" r="762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330" cy="2244725"/>
                    </a:xfrm>
                    <a:prstGeom prst="rect">
                      <a:avLst/>
                    </a:prstGeom>
                    <a:noFill/>
                    <a:ln>
                      <a:noFill/>
                    </a:ln>
                  </pic:spPr>
                </pic:pic>
              </a:graphicData>
            </a:graphic>
          </wp:inline>
        </w:drawing>
      </w:r>
    </w:p>
    <w:p w:rsidR="009813EA" w:rsidRPr="0017198F" w:rsidRDefault="009813EA" w:rsidP="00AC722C">
      <w:pPr>
        <w:pStyle w:val="Epgrafe"/>
        <w:spacing w:after="80" w:line="360" w:lineRule="auto"/>
        <w:jc w:val="center"/>
        <w:rPr>
          <w:rFonts w:ascii="Times New Roman" w:hAnsi="Times New Roman" w:cs="Times New Roman"/>
          <w:i w:val="0"/>
          <w:color w:val="auto"/>
          <w:sz w:val="24"/>
          <w:szCs w:val="24"/>
        </w:rPr>
      </w:pPr>
      <w:r w:rsidRPr="0017198F">
        <w:rPr>
          <w:rFonts w:ascii="Times New Roman" w:hAnsi="Times New Roman" w:cs="Times New Roman"/>
          <w:i w:val="0"/>
          <w:color w:val="auto"/>
        </w:rPr>
        <w:t>Fuente: elaboración propia</w:t>
      </w:r>
    </w:p>
    <w:p w:rsidR="009813EA" w:rsidRPr="00042E81"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 xml:space="preserve">Adicionalmente, se analizó la correlación entre el cumplimiento de las </w:t>
      </w:r>
      <w:proofErr w:type="spellStart"/>
      <w:r w:rsidRPr="00042E81">
        <w:rPr>
          <w:rFonts w:ascii="Times New Roman" w:hAnsi="Times New Roman" w:cs="Times New Roman"/>
          <w:sz w:val="24"/>
          <w:szCs w:val="24"/>
        </w:rPr>
        <w:t>MNAs</w:t>
      </w:r>
      <w:proofErr w:type="spellEnd"/>
      <w:r w:rsidRPr="00042E81">
        <w:rPr>
          <w:rFonts w:ascii="Times New Roman" w:hAnsi="Times New Roman" w:cs="Times New Roman"/>
          <w:sz w:val="24"/>
          <w:szCs w:val="24"/>
        </w:rPr>
        <w:t xml:space="preserve"> y el establecimiento de metas de desempeño ambiental. Aunque 67% de las firmas encuestadas afirmó haber establecido este tipo de metas contra solamente 18% que afirmó no haberlo hecho, la evidencia muestra diferencias según el nivel de cumplimiento, es decir, que existe una correlación positiva entre las variables mencionadas. En este sentido, 86% de las empresas bajo la categoría ¨</w:t>
      </w:r>
      <w:r w:rsidRPr="00042E81">
        <w:rPr>
          <w:rFonts w:ascii="Times New Roman" w:hAnsi="Times New Roman" w:cs="Times New Roman"/>
          <w:i/>
          <w:sz w:val="24"/>
          <w:szCs w:val="24"/>
        </w:rPr>
        <w:t>cumplimiento excelente</w:t>
      </w:r>
      <w:r w:rsidRPr="00042E81">
        <w:rPr>
          <w:rFonts w:ascii="Times New Roman" w:hAnsi="Times New Roman" w:cs="Times New Roman"/>
          <w:sz w:val="24"/>
          <w:szCs w:val="24"/>
        </w:rPr>
        <w:t>¨ de las certificaciones técnicas seleccionó la categoría ¨</w:t>
      </w:r>
      <w:r w:rsidRPr="00042E81">
        <w:rPr>
          <w:rFonts w:ascii="Times New Roman" w:hAnsi="Times New Roman" w:cs="Times New Roman"/>
          <w:i/>
          <w:sz w:val="24"/>
          <w:szCs w:val="24"/>
        </w:rPr>
        <w:t>sí</w:t>
      </w:r>
      <w:r w:rsidRPr="00042E81">
        <w:rPr>
          <w:rFonts w:ascii="Times New Roman" w:hAnsi="Times New Roman" w:cs="Times New Roman"/>
          <w:sz w:val="24"/>
          <w:szCs w:val="24"/>
        </w:rPr>
        <w:t>¨ cuando se les preguntó si establecieron este tipo de metas. En cambio, dos de las tres empresas de bajo y nulo cumplimiento seleccionaron la categoría ¨</w:t>
      </w:r>
      <w:r w:rsidRPr="00042E81">
        <w:rPr>
          <w:rFonts w:ascii="Times New Roman" w:hAnsi="Times New Roman" w:cs="Times New Roman"/>
          <w:i/>
          <w:sz w:val="24"/>
          <w:szCs w:val="24"/>
        </w:rPr>
        <w:t>no</w:t>
      </w:r>
      <w:r w:rsidRPr="00042E81">
        <w:rPr>
          <w:rFonts w:ascii="Times New Roman" w:hAnsi="Times New Roman" w:cs="Times New Roman"/>
          <w:sz w:val="24"/>
          <w:szCs w:val="24"/>
        </w:rPr>
        <w:t>¨. Con respecto a las firmas de cumplimiento moderado, nuevamente encontramos respuestas positivas (43%), aunque menor y con una distribución más variada (</w:t>
      </w:r>
      <w:r>
        <w:rPr>
          <w:rFonts w:ascii="Times New Roman" w:hAnsi="Times New Roman" w:cs="Times New Roman"/>
          <w:sz w:val="24"/>
          <w:szCs w:val="24"/>
        </w:rPr>
        <w:t>Cuadro 6</w:t>
      </w:r>
      <w:r w:rsidRPr="00042E81">
        <w:rPr>
          <w:rFonts w:ascii="Times New Roman" w:hAnsi="Times New Roman" w:cs="Times New Roman"/>
          <w:sz w:val="24"/>
          <w:szCs w:val="24"/>
        </w:rPr>
        <w:t>).</w:t>
      </w:r>
    </w:p>
    <w:p w:rsidR="009813EA" w:rsidRPr="0017198F" w:rsidRDefault="009813EA" w:rsidP="00AC722C">
      <w:pPr>
        <w:pStyle w:val="Epgrafe"/>
        <w:keepNext/>
        <w:spacing w:after="80"/>
        <w:jc w:val="center"/>
        <w:rPr>
          <w:rFonts w:ascii="Times New Roman" w:hAnsi="Times New Roman" w:cs="Times New Roman"/>
          <w:i w:val="0"/>
          <w:color w:val="auto"/>
        </w:rPr>
      </w:pPr>
      <w:r w:rsidRPr="0017198F">
        <w:rPr>
          <w:rFonts w:ascii="Times New Roman" w:hAnsi="Times New Roman" w:cs="Times New Roman"/>
          <w:i w:val="0"/>
          <w:color w:val="auto"/>
        </w:rPr>
        <w:t>Cuadro 6</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Correlación entre el cumplimiento de certificaciones técnicas y el establecimiento de metas de desempeño ambiental</w:t>
      </w:r>
    </w:p>
    <w:p w:rsidR="009813EA" w:rsidRPr="00042E81" w:rsidRDefault="00C0417E" w:rsidP="00AC722C">
      <w:pPr>
        <w:keepNext/>
        <w:spacing w:after="80" w:line="360" w:lineRule="auto"/>
        <w:ind w:firstLine="720"/>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4880610" cy="1805305"/>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0610" cy="1805305"/>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color w:val="auto"/>
          <w:sz w:val="24"/>
          <w:szCs w:val="24"/>
        </w:rPr>
      </w:pPr>
      <w:r w:rsidRPr="0017198F">
        <w:rPr>
          <w:rFonts w:ascii="Times New Roman" w:hAnsi="Times New Roman" w:cs="Times New Roman"/>
          <w:i w:val="0"/>
          <w:color w:val="auto"/>
        </w:rPr>
        <w:t>Fuente</w:t>
      </w:r>
      <w:r w:rsidRPr="00042E81">
        <w:rPr>
          <w:rFonts w:ascii="Times New Roman" w:hAnsi="Times New Roman" w:cs="Times New Roman"/>
          <w:color w:val="auto"/>
        </w:rPr>
        <w:t xml:space="preserve">: </w:t>
      </w:r>
      <w:r w:rsidRPr="00042E81">
        <w:rPr>
          <w:rFonts w:ascii="Times New Roman" w:hAnsi="Times New Roman" w:cs="Times New Roman"/>
          <w:i w:val="0"/>
          <w:iCs w:val="0"/>
          <w:color w:val="auto"/>
        </w:rPr>
        <w:t>elaboración propia</w:t>
      </w:r>
    </w:p>
    <w:p w:rsidR="009813EA" w:rsidRPr="00042E81" w:rsidRDefault="009813EA" w:rsidP="00AC722C">
      <w:pPr>
        <w:spacing w:after="80" w:line="360" w:lineRule="auto"/>
        <w:jc w:val="both"/>
        <w:rPr>
          <w:rFonts w:ascii="Times New Roman" w:hAnsi="Times New Roman" w:cs="Times New Roman"/>
          <w:sz w:val="24"/>
          <w:szCs w:val="24"/>
        </w:rPr>
      </w:pPr>
      <w:r w:rsidRPr="0017198F">
        <w:rPr>
          <w:rFonts w:ascii="Times New Roman" w:hAnsi="Times New Roman" w:cs="Times New Roman"/>
          <w:i/>
          <w:sz w:val="24"/>
          <w:szCs w:val="24"/>
        </w:rPr>
        <w:t xml:space="preserve">vi. MNA </w:t>
      </w:r>
      <w:r>
        <w:rPr>
          <w:rFonts w:ascii="Times New Roman" w:hAnsi="Times New Roman" w:cs="Times New Roman"/>
          <w:i/>
          <w:sz w:val="24"/>
          <w:szCs w:val="24"/>
        </w:rPr>
        <w:t>y tamaño de la empresa exportadora</w:t>
      </w:r>
      <w:r>
        <w:rPr>
          <w:rFonts w:ascii="Times New Roman" w:hAnsi="Times New Roman" w:cs="Times New Roman"/>
          <w:sz w:val="24"/>
          <w:szCs w:val="24"/>
        </w:rPr>
        <w:t xml:space="preserve">. </w:t>
      </w:r>
      <w:r w:rsidRPr="00042E81">
        <w:rPr>
          <w:rFonts w:ascii="Times New Roman" w:hAnsi="Times New Roman" w:cs="Times New Roman"/>
          <w:sz w:val="24"/>
          <w:szCs w:val="24"/>
        </w:rPr>
        <w:t xml:space="preserve">Finalmente, analizamos en esta sección la correlación que existe entre el </w:t>
      </w:r>
      <w:r>
        <w:rPr>
          <w:rFonts w:ascii="Times New Roman" w:hAnsi="Times New Roman" w:cs="Times New Roman"/>
          <w:sz w:val="24"/>
          <w:szCs w:val="24"/>
        </w:rPr>
        <w:t xml:space="preserve">nivel de las exportaciones de las empresas –como una variable </w:t>
      </w:r>
      <w:r w:rsidRPr="0017198F">
        <w:rPr>
          <w:rFonts w:ascii="Times New Roman" w:hAnsi="Times New Roman" w:cs="Times New Roman"/>
          <w:i/>
          <w:sz w:val="24"/>
          <w:szCs w:val="24"/>
        </w:rPr>
        <w:t>proxy</w:t>
      </w:r>
      <w:r>
        <w:rPr>
          <w:rFonts w:ascii="Times New Roman" w:hAnsi="Times New Roman" w:cs="Times New Roman"/>
          <w:sz w:val="24"/>
          <w:szCs w:val="24"/>
        </w:rPr>
        <w:t xml:space="preserve"> del tamaño de la empresa exportadora–</w:t>
      </w:r>
      <w:r w:rsidRPr="00042E81">
        <w:rPr>
          <w:rFonts w:ascii="Times New Roman" w:hAnsi="Times New Roman" w:cs="Times New Roman"/>
          <w:sz w:val="24"/>
          <w:szCs w:val="24"/>
        </w:rPr>
        <w:t xml:space="preserve"> y el cumplimiento de las exigencias sanitarias. </w:t>
      </w:r>
      <w:r w:rsidRPr="00042E81">
        <w:rPr>
          <w:rFonts w:ascii="Times New Roman" w:hAnsi="Times New Roman" w:cs="Times New Roman"/>
          <w:sz w:val="24"/>
          <w:szCs w:val="24"/>
        </w:rPr>
        <w:lastRenderedPageBreak/>
        <w:t xml:space="preserve">Al comparar el indicador del cumplimiento de los requerimientos de </w:t>
      </w:r>
      <w:proofErr w:type="spellStart"/>
      <w:r w:rsidRPr="0017198F">
        <w:rPr>
          <w:rFonts w:ascii="Times New Roman" w:hAnsi="Times New Roman" w:cs="Times New Roman"/>
          <w:i/>
          <w:sz w:val="24"/>
          <w:szCs w:val="24"/>
        </w:rPr>
        <w:t>packaging</w:t>
      </w:r>
      <w:proofErr w:type="spellEnd"/>
      <w:r w:rsidRPr="00042E81">
        <w:rPr>
          <w:rFonts w:ascii="Times New Roman" w:hAnsi="Times New Roman" w:cs="Times New Roman"/>
          <w:sz w:val="24"/>
          <w:szCs w:val="24"/>
        </w:rPr>
        <w:t xml:space="preserve"> con las categorías de nivel de exportación, observamos que en la </w:t>
      </w:r>
      <w:proofErr w:type="spellStart"/>
      <w:r w:rsidRPr="00042E81">
        <w:rPr>
          <w:rFonts w:ascii="Times New Roman" w:hAnsi="Times New Roman" w:cs="Times New Roman"/>
          <w:sz w:val="24"/>
          <w:szCs w:val="24"/>
        </w:rPr>
        <w:t>categoría</w:t>
      </w:r>
      <w:proofErr w:type="spellEnd"/>
      <w:r w:rsidRPr="00042E81">
        <w:rPr>
          <w:rFonts w:ascii="Times New Roman" w:hAnsi="Times New Roman" w:cs="Times New Roman"/>
          <w:sz w:val="24"/>
          <w:szCs w:val="24"/>
        </w:rPr>
        <w:t xml:space="preserve"> ¨poco cumplimiento </w:t>
      </w:r>
      <w:r w:rsidRPr="00042E81">
        <w:rPr>
          <w:rFonts w:ascii="Tahoma" w:hAnsi="Tahoma" w:cs="Tahoma"/>
          <w:sz w:val="24"/>
          <w:szCs w:val="24"/>
        </w:rPr>
        <w:t>̈</w:t>
      </w:r>
      <w:r w:rsidRPr="00042E81">
        <w:rPr>
          <w:rFonts w:ascii="Times New Roman" w:hAnsi="Times New Roman" w:cs="Times New Roman"/>
          <w:sz w:val="24"/>
          <w:szCs w:val="24"/>
        </w:rPr>
        <w:t xml:space="preserve">, 100% de las respuestas proviene de empresas de un nivel bajo de </w:t>
      </w:r>
      <w:proofErr w:type="spellStart"/>
      <w:r w:rsidRPr="00042E81">
        <w:rPr>
          <w:rFonts w:ascii="Times New Roman" w:hAnsi="Times New Roman" w:cs="Times New Roman"/>
          <w:sz w:val="24"/>
          <w:szCs w:val="24"/>
        </w:rPr>
        <w:t>exportación</w:t>
      </w:r>
      <w:proofErr w:type="spellEnd"/>
      <w:r w:rsidRPr="00042E81">
        <w:rPr>
          <w:rFonts w:ascii="Times New Roman" w:hAnsi="Times New Roman" w:cs="Times New Roman"/>
          <w:sz w:val="24"/>
          <w:szCs w:val="24"/>
        </w:rPr>
        <w:t xml:space="preserve">. En la </w:t>
      </w:r>
      <w:proofErr w:type="spellStart"/>
      <w:r w:rsidRPr="00042E81">
        <w:rPr>
          <w:rFonts w:ascii="Times New Roman" w:hAnsi="Times New Roman" w:cs="Times New Roman"/>
          <w:sz w:val="24"/>
          <w:szCs w:val="24"/>
        </w:rPr>
        <w:t>categoría</w:t>
      </w:r>
      <w:proofErr w:type="spellEnd"/>
      <w:r w:rsidRPr="00042E81">
        <w:rPr>
          <w:rFonts w:ascii="Times New Roman" w:hAnsi="Times New Roman" w:cs="Times New Roman"/>
          <w:sz w:val="24"/>
          <w:szCs w:val="24"/>
        </w:rPr>
        <w:t xml:space="preserve">  </w:t>
      </w:r>
      <w:r w:rsidRPr="00042E81">
        <w:rPr>
          <w:rFonts w:ascii="Tahoma" w:hAnsi="Tahoma" w:cs="Tahoma"/>
          <w:sz w:val="24"/>
          <w:szCs w:val="24"/>
        </w:rPr>
        <w:t>̈</w:t>
      </w:r>
      <w:r w:rsidRPr="00042E81">
        <w:rPr>
          <w:rFonts w:ascii="Times New Roman" w:hAnsi="Times New Roman" w:cs="Times New Roman"/>
          <w:i/>
          <w:iCs/>
          <w:sz w:val="24"/>
          <w:szCs w:val="24"/>
        </w:rPr>
        <w:t>cumplimiento nulo</w:t>
      </w:r>
      <w:r w:rsidRPr="00042E81">
        <w:rPr>
          <w:rFonts w:ascii="Times New Roman" w:hAnsi="Times New Roman" w:cs="Times New Roman"/>
          <w:sz w:val="24"/>
          <w:szCs w:val="24"/>
        </w:rPr>
        <w:t xml:space="preserve"> </w:t>
      </w:r>
      <w:r w:rsidRPr="00042E81">
        <w:rPr>
          <w:rFonts w:ascii="Tahoma" w:hAnsi="Tahoma" w:cs="Tahoma"/>
          <w:sz w:val="24"/>
          <w:szCs w:val="24"/>
        </w:rPr>
        <w:t>̈</w:t>
      </w:r>
      <w:r w:rsidRPr="00042E81">
        <w:rPr>
          <w:rFonts w:ascii="Times New Roman" w:hAnsi="Times New Roman" w:cs="Times New Roman"/>
          <w:sz w:val="24"/>
          <w:szCs w:val="24"/>
        </w:rPr>
        <w:t xml:space="preserve">, 50% viene de empresas de esta misma </w:t>
      </w:r>
      <w:proofErr w:type="spellStart"/>
      <w:r w:rsidRPr="00042E81">
        <w:rPr>
          <w:rFonts w:ascii="Times New Roman" w:hAnsi="Times New Roman" w:cs="Times New Roman"/>
          <w:sz w:val="24"/>
          <w:szCs w:val="24"/>
        </w:rPr>
        <w:t>índole</w:t>
      </w:r>
      <w:proofErr w:type="spellEnd"/>
      <w:r w:rsidRPr="00042E81">
        <w:rPr>
          <w:rFonts w:ascii="Times New Roman" w:hAnsi="Times New Roman" w:cs="Times New Roman"/>
          <w:sz w:val="24"/>
          <w:szCs w:val="24"/>
        </w:rPr>
        <w:t xml:space="preserve"> y el otro 50% de firmas que no exportan. Por el contrario, en la </w:t>
      </w:r>
      <w:proofErr w:type="spellStart"/>
      <w:r w:rsidRPr="00042E81">
        <w:rPr>
          <w:rFonts w:ascii="Times New Roman" w:hAnsi="Times New Roman" w:cs="Times New Roman"/>
          <w:sz w:val="24"/>
          <w:szCs w:val="24"/>
        </w:rPr>
        <w:t>categoría</w:t>
      </w:r>
      <w:proofErr w:type="spellEnd"/>
      <w:r w:rsidRPr="00042E81">
        <w:rPr>
          <w:rFonts w:ascii="Times New Roman" w:hAnsi="Times New Roman" w:cs="Times New Roman"/>
          <w:sz w:val="24"/>
          <w:szCs w:val="24"/>
        </w:rPr>
        <w:t xml:space="preserve"> </w:t>
      </w:r>
      <w:r w:rsidRPr="00042E81">
        <w:rPr>
          <w:rFonts w:ascii="Tahoma" w:hAnsi="Tahoma" w:cs="Tahoma"/>
          <w:sz w:val="24"/>
          <w:szCs w:val="24"/>
        </w:rPr>
        <w:t>̈</w:t>
      </w:r>
      <w:r w:rsidRPr="00042E81">
        <w:rPr>
          <w:rFonts w:ascii="Times New Roman" w:hAnsi="Times New Roman" w:cs="Times New Roman"/>
          <w:i/>
          <w:iCs/>
          <w:sz w:val="24"/>
          <w:szCs w:val="24"/>
        </w:rPr>
        <w:t>cumplimiento excelente</w:t>
      </w:r>
      <w:r w:rsidRPr="00042E81">
        <w:rPr>
          <w:rFonts w:ascii="Times New Roman" w:hAnsi="Times New Roman" w:cs="Times New Roman"/>
          <w:sz w:val="24"/>
          <w:szCs w:val="24"/>
        </w:rPr>
        <w:t xml:space="preserve"> </w:t>
      </w:r>
      <w:r w:rsidRPr="00042E81">
        <w:rPr>
          <w:rFonts w:ascii="Tahoma" w:hAnsi="Tahoma" w:cs="Tahoma"/>
          <w:sz w:val="24"/>
          <w:szCs w:val="24"/>
        </w:rPr>
        <w:t>̈</w:t>
      </w:r>
      <w:r w:rsidRPr="00042E81">
        <w:rPr>
          <w:rFonts w:ascii="Times New Roman" w:hAnsi="Times New Roman" w:cs="Times New Roman"/>
          <w:sz w:val="24"/>
          <w:szCs w:val="24"/>
        </w:rPr>
        <w:t xml:space="preserve">, la </w:t>
      </w:r>
      <w:proofErr w:type="spellStart"/>
      <w:r w:rsidRPr="00042E81">
        <w:rPr>
          <w:rFonts w:ascii="Times New Roman" w:hAnsi="Times New Roman" w:cs="Times New Roman"/>
          <w:sz w:val="24"/>
          <w:szCs w:val="24"/>
        </w:rPr>
        <w:t>distribución</w:t>
      </w:r>
      <w:proofErr w:type="spellEnd"/>
      <w:r w:rsidRPr="00042E81">
        <w:rPr>
          <w:rFonts w:ascii="Times New Roman" w:hAnsi="Times New Roman" w:cs="Times New Roman"/>
          <w:sz w:val="24"/>
          <w:szCs w:val="24"/>
        </w:rPr>
        <w:t xml:space="preserve"> de las respuestas por </w:t>
      </w:r>
      <w:proofErr w:type="spellStart"/>
      <w:r w:rsidRPr="00042E81">
        <w:rPr>
          <w:rFonts w:ascii="Times New Roman" w:hAnsi="Times New Roman" w:cs="Times New Roman"/>
          <w:sz w:val="24"/>
          <w:szCs w:val="24"/>
        </w:rPr>
        <w:t>tamaño</w:t>
      </w:r>
      <w:proofErr w:type="spellEnd"/>
      <w:r w:rsidRPr="00042E81">
        <w:rPr>
          <w:rFonts w:ascii="Times New Roman" w:hAnsi="Times New Roman" w:cs="Times New Roman"/>
          <w:sz w:val="24"/>
          <w:szCs w:val="24"/>
        </w:rPr>
        <w:t xml:space="preserve"> de empresa muestra que las empresas con un nivel de </w:t>
      </w:r>
      <w:proofErr w:type="spellStart"/>
      <w:r w:rsidRPr="00042E81">
        <w:rPr>
          <w:rFonts w:ascii="Times New Roman" w:hAnsi="Times New Roman" w:cs="Times New Roman"/>
          <w:sz w:val="24"/>
          <w:szCs w:val="24"/>
        </w:rPr>
        <w:t>exportación</w:t>
      </w:r>
      <w:proofErr w:type="spellEnd"/>
      <w:r w:rsidRPr="00042E81">
        <w:rPr>
          <w:rFonts w:ascii="Times New Roman" w:hAnsi="Times New Roman" w:cs="Times New Roman"/>
          <w:sz w:val="24"/>
          <w:szCs w:val="24"/>
        </w:rPr>
        <w:t xml:space="preserve"> </w:t>
      </w:r>
      <w:proofErr w:type="spellStart"/>
      <w:r w:rsidRPr="00042E81">
        <w:rPr>
          <w:rFonts w:ascii="Times New Roman" w:hAnsi="Times New Roman" w:cs="Times New Roman"/>
          <w:sz w:val="24"/>
          <w:szCs w:val="24"/>
        </w:rPr>
        <w:t>más</w:t>
      </w:r>
      <w:proofErr w:type="spellEnd"/>
      <w:r w:rsidRPr="00042E81">
        <w:rPr>
          <w:rFonts w:ascii="Times New Roman" w:hAnsi="Times New Roman" w:cs="Times New Roman"/>
          <w:sz w:val="24"/>
          <w:szCs w:val="24"/>
        </w:rPr>
        <w:t xml:space="preserve"> alto tienen un mejor cumplimiento que aquellas con un nivel menor. </w:t>
      </w:r>
      <w:proofErr w:type="spellStart"/>
      <w:r w:rsidRPr="00042E81">
        <w:rPr>
          <w:rFonts w:ascii="Times New Roman" w:hAnsi="Times New Roman" w:cs="Times New Roman"/>
          <w:sz w:val="24"/>
          <w:szCs w:val="24"/>
        </w:rPr>
        <w:t>Asi</w:t>
      </w:r>
      <w:proofErr w:type="spellEnd"/>
      <w:r w:rsidRPr="00042E81">
        <w:rPr>
          <w:rFonts w:ascii="Times New Roman" w:hAnsi="Times New Roman" w:cs="Times New Roman"/>
          <w:sz w:val="24"/>
          <w:szCs w:val="24"/>
        </w:rPr>
        <w:t xml:space="preserve">́, 38% de esta </w:t>
      </w:r>
      <w:proofErr w:type="spellStart"/>
      <w:r w:rsidRPr="00042E81">
        <w:rPr>
          <w:rFonts w:ascii="Times New Roman" w:hAnsi="Times New Roman" w:cs="Times New Roman"/>
          <w:sz w:val="24"/>
          <w:szCs w:val="24"/>
        </w:rPr>
        <w:t>categoría</w:t>
      </w:r>
      <w:proofErr w:type="spellEnd"/>
      <w:r w:rsidRPr="00042E81">
        <w:rPr>
          <w:rFonts w:ascii="Times New Roman" w:hAnsi="Times New Roman" w:cs="Times New Roman"/>
          <w:sz w:val="24"/>
          <w:szCs w:val="24"/>
        </w:rPr>
        <w:t xml:space="preserve"> </w:t>
      </w:r>
      <w:proofErr w:type="spellStart"/>
      <w:r w:rsidRPr="00042E81">
        <w:rPr>
          <w:rFonts w:ascii="Times New Roman" w:hAnsi="Times New Roman" w:cs="Times New Roman"/>
          <w:sz w:val="24"/>
          <w:szCs w:val="24"/>
        </w:rPr>
        <w:t>corresponde</w:t>
      </w:r>
      <w:proofErr w:type="spellEnd"/>
      <w:r w:rsidRPr="00042E81">
        <w:rPr>
          <w:rFonts w:ascii="Times New Roman" w:hAnsi="Times New Roman" w:cs="Times New Roman"/>
          <w:sz w:val="24"/>
          <w:szCs w:val="24"/>
        </w:rPr>
        <w:t xml:space="preserve"> a firmas de alto nivel de </w:t>
      </w:r>
      <w:proofErr w:type="spellStart"/>
      <w:r w:rsidRPr="00042E81">
        <w:rPr>
          <w:rFonts w:ascii="Times New Roman" w:hAnsi="Times New Roman" w:cs="Times New Roman"/>
          <w:sz w:val="24"/>
          <w:szCs w:val="24"/>
        </w:rPr>
        <w:t>exportación</w:t>
      </w:r>
      <w:proofErr w:type="spellEnd"/>
      <w:r w:rsidRPr="00042E81">
        <w:rPr>
          <w:rFonts w:ascii="Times New Roman" w:hAnsi="Times New Roman" w:cs="Times New Roman"/>
          <w:sz w:val="24"/>
          <w:szCs w:val="24"/>
        </w:rPr>
        <w:t xml:space="preserve">, 24% a la </w:t>
      </w:r>
      <w:proofErr w:type="spellStart"/>
      <w:r w:rsidRPr="00042E81">
        <w:rPr>
          <w:rFonts w:ascii="Times New Roman" w:hAnsi="Times New Roman" w:cs="Times New Roman"/>
          <w:sz w:val="24"/>
          <w:szCs w:val="24"/>
        </w:rPr>
        <w:t>categoría</w:t>
      </w:r>
      <w:proofErr w:type="spellEnd"/>
      <w:r w:rsidRPr="00042E81">
        <w:rPr>
          <w:rFonts w:ascii="Times New Roman" w:hAnsi="Times New Roman" w:cs="Times New Roman"/>
          <w:sz w:val="24"/>
          <w:szCs w:val="24"/>
        </w:rPr>
        <w:t xml:space="preserve">  ¨media¨, y 19% a las </w:t>
      </w:r>
      <w:proofErr w:type="spellStart"/>
      <w:r w:rsidRPr="00042E81">
        <w:rPr>
          <w:rFonts w:ascii="Times New Roman" w:hAnsi="Times New Roman" w:cs="Times New Roman"/>
          <w:sz w:val="24"/>
          <w:szCs w:val="24"/>
        </w:rPr>
        <w:t>categorías</w:t>
      </w:r>
      <w:proofErr w:type="spellEnd"/>
      <w:r w:rsidRPr="00042E81">
        <w:rPr>
          <w:rFonts w:ascii="Times New Roman" w:hAnsi="Times New Roman" w:cs="Times New Roman"/>
          <w:sz w:val="24"/>
          <w:szCs w:val="24"/>
        </w:rPr>
        <w:t xml:space="preserve"> ¨baja </w:t>
      </w:r>
      <w:r w:rsidRPr="00042E81">
        <w:rPr>
          <w:rFonts w:ascii="Tahoma" w:hAnsi="Tahoma" w:cs="Tahoma"/>
          <w:sz w:val="24"/>
          <w:szCs w:val="24"/>
        </w:rPr>
        <w:t>̈</w:t>
      </w:r>
      <w:r w:rsidRPr="00042E81">
        <w:rPr>
          <w:rFonts w:ascii="Times New Roman" w:hAnsi="Times New Roman" w:cs="Times New Roman"/>
          <w:sz w:val="24"/>
          <w:szCs w:val="24"/>
        </w:rPr>
        <w:t xml:space="preserve">  y que no exportan respectivamente (</w:t>
      </w:r>
      <w:r>
        <w:rPr>
          <w:rFonts w:ascii="Times New Roman" w:hAnsi="Times New Roman" w:cs="Times New Roman"/>
          <w:sz w:val="24"/>
          <w:szCs w:val="24"/>
        </w:rPr>
        <w:t>Cuadro</w:t>
      </w:r>
      <w:r w:rsidRPr="00042E81">
        <w:rPr>
          <w:rFonts w:ascii="Times New Roman" w:hAnsi="Times New Roman" w:cs="Times New Roman"/>
          <w:sz w:val="24"/>
          <w:szCs w:val="24"/>
        </w:rPr>
        <w:t xml:space="preserve"> </w:t>
      </w:r>
      <w:r>
        <w:rPr>
          <w:rFonts w:ascii="Times New Roman" w:hAnsi="Times New Roman" w:cs="Times New Roman"/>
          <w:sz w:val="24"/>
          <w:szCs w:val="24"/>
        </w:rPr>
        <w:t>7</w:t>
      </w:r>
      <w:r w:rsidRPr="00042E81">
        <w:rPr>
          <w:rFonts w:ascii="Times New Roman" w:hAnsi="Times New Roman" w:cs="Times New Roman"/>
          <w:sz w:val="24"/>
          <w:szCs w:val="24"/>
        </w:rPr>
        <w:t>).</w:t>
      </w:r>
    </w:p>
    <w:p w:rsidR="009813EA" w:rsidRPr="002F2FD0" w:rsidRDefault="009813EA" w:rsidP="00AC722C">
      <w:pPr>
        <w:pStyle w:val="Epgrafe"/>
        <w:keepNext/>
        <w:spacing w:after="80"/>
        <w:jc w:val="center"/>
        <w:rPr>
          <w:rFonts w:ascii="Times New Roman" w:hAnsi="Times New Roman" w:cs="Times New Roman"/>
          <w:i w:val="0"/>
          <w:color w:val="auto"/>
        </w:rPr>
      </w:pPr>
      <w:r w:rsidRPr="002F2FD0">
        <w:rPr>
          <w:rFonts w:ascii="Times New Roman" w:hAnsi="Times New Roman" w:cs="Times New Roman"/>
          <w:i w:val="0"/>
          <w:color w:val="auto"/>
        </w:rPr>
        <w:t>Cuadro 7</w:t>
      </w:r>
    </w:p>
    <w:p w:rsidR="009813EA" w:rsidRPr="00042E81" w:rsidRDefault="009813EA" w:rsidP="00AC722C">
      <w:pPr>
        <w:pStyle w:val="Epgrafe"/>
        <w:keepNext/>
        <w:spacing w:after="80"/>
        <w:jc w:val="center"/>
        <w:rPr>
          <w:rFonts w:ascii="Times New Roman" w:hAnsi="Times New Roman" w:cs="Times New Roman"/>
          <w:color w:val="auto"/>
        </w:rPr>
      </w:pPr>
      <w:r w:rsidRPr="00042E81">
        <w:rPr>
          <w:rFonts w:ascii="Times New Roman" w:hAnsi="Times New Roman" w:cs="Times New Roman"/>
          <w:i w:val="0"/>
          <w:iCs w:val="0"/>
          <w:color w:val="auto"/>
        </w:rPr>
        <w:t xml:space="preserve">Correlación entre el nivel de exportación anual promedio y el cumplimiento de los requerimientos de </w:t>
      </w:r>
      <w:proofErr w:type="spellStart"/>
      <w:r w:rsidRPr="002F2FD0">
        <w:rPr>
          <w:rFonts w:ascii="Times New Roman" w:hAnsi="Times New Roman" w:cs="Times New Roman"/>
          <w:iCs w:val="0"/>
          <w:color w:val="auto"/>
        </w:rPr>
        <w:t>pacakging</w:t>
      </w:r>
      <w:proofErr w:type="spellEnd"/>
    </w:p>
    <w:p w:rsidR="009813EA" w:rsidRPr="00042E81" w:rsidRDefault="00C0417E" w:rsidP="00AC722C">
      <w:pPr>
        <w:keepNext/>
        <w:spacing w:after="80" w:line="360" w:lineRule="auto"/>
        <w:ind w:firstLine="720"/>
        <w:jc w:val="both"/>
        <w:rPr>
          <w:rFonts w:ascii="Times New Roman" w:hAnsi="Times New Roman" w:cs="Times New Roman"/>
        </w:rPr>
      </w:pPr>
      <w:r>
        <w:rPr>
          <w:rFonts w:ascii="Times New Roman" w:hAnsi="Times New Roman" w:cs="Times New Roman"/>
          <w:noProof/>
          <w:sz w:val="24"/>
          <w:szCs w:val="24"/>
          <w:lang w:val="es-AR" w:eastAsia="es-AR"/>
        </w:rPr>
        <w:drawing>
          <wp:inline distT="0" distB="0" distL="0" distR="0">
            <wp:extent cx="4987925" cy="1805305"/>
            <wp:effectExtent l="0" t="0" r="317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7925" cy="1805305"/>
                    </a:xfrm>
                    <a:prstGeom prst="rect">
                      <a:avLst/>
                    </a:prstGeom>
                    <a:noFill/>
                    <a:ln>
                      <a:noFill/>
                    </a:ln>
                  </pic:spPr>
                </pic:pic>
              </a:graphicData>
            </a:graphic>
          </wp:inline>
        </w:drawing>
      </w:r>
    </w:p>
    <w:p w:rsidR="009813EA" w:rsidRPr="00042E81" w:rsidRDefault="009813EA" w:rsidP="00AC722C">
      <w:pPr>
        <w:pStyle w:val="Epgrafe"/>
        <w:spacing w:after="80" w:line="360" w:lineRule="auto"/>
        <w:jc w:val="center"/>
        <w:rPr>
          <w:rFonts w:ascii="Times New Roman" w:hAnsi="Times New Roman" w:cs="Times New Roman"/>
          <w:color w:val="auto"/>
          <w:sz w:val="24"/>
          <w:szCs w:val="24"/>
        </w:rPr>
      </w:pPr>
      <w:r w:rsidRPr="002F2FD0">
        <w:rPr>
          <w:rFonts w:ascii="Times New Roman" w:hAnsi="Times New Roman" w:cs="Times New Roman"/>
          <w:i w:val="0"/>
          <w:color w:val="auto"/>
        </w:rPr>
        <w:t>Fuente</w:t>
      </w:r>
      <w:r w:rsidRPr="00042E81">
        <w:rPr>
          <w:rFonts w:ascii="Times New Roman" w:hAnsi="Times New Roman" w:cs="Times New Roman"/>
          <w:color w:val="auto"/>
        </w:rPr>
        <w:t>:</w:t>
      </w:r>
      <w:r w:rsidRPr="00042E81">
        <w:rPr>
          <w:rFonts w:ascii="Times New Roman" w:hAnsi="Times New Roman" w:cs="Times New Roman"/>
          <w:i w:val="0"/>
          <w:iCs w:val="0"/>
          <w:color w:val="auto"/>
        </w:rPr>
        <w:t xml:space="preserve"> elaboración propia</w:t>
      </w:r>
    </w:p>
    <w:p w:rsidR="009813EA" w:rsidRDefault="009813EA" w:rsidP="00AC722C">
      <w:pPr>
        <w:spacing w:after="80" w:line="360" w:lineRule="auto"/>
        <w:jc w:val="both"/>
        <w:rPr>
          <w:rFonts w:ascii="Times New Roman" w:hAnsi="Times New Roman" w:cs="Times New Roman"/>
          <w:sz w:val="24"/>
          <w:szCs w:val="24"/>
        </w:rPr>
      </w:pPr>
      <w:r w:rsidRPr="00042E81">
        <w:rPr>
          <w:rFonts w:ascii="Times New Roman" w:hAnsi="Times New Roman" w:cs="Times New Roman"/>
          <w:sz w:val="24"/>
          <w:szCs w:val="24"/>
        </w:rPr>
        <w:t>Así, observamos que el tamaño de la empresa también afecta el cumplimiento, ya que, tal como muestra la evidencia, a las de menor tamaño les cuesta más.</w:t>
      </w:r>
      <w:r>
        <w:rPr>
          <w:rFonts w:ascii="Times New Roman" w:hAnsi="Times New Roman" w:cs="Times New Roman"/>
          <w:sz w:val="24"/>
          <w:szCs w:val="24"/>
        </w:rPr>
        <w:t xml:space="preserve"> En esto también coinciden los expertos entrevistados. Tal como explicaba Pablo Ruiz</w:t>
      </w:r>
      <w:r>
        <w:rPr>
          <w:rStyle w:val="Refdenotaalpie"/>
          <w:rFonts w:ascii="Times New Roman" w:hAnsi="Times New Roman"/>
          <w:sz w:val="24"/>
          <w:szCs w:val="24"/>
        </w:rPr>
        <w:footnoteReference w:id="4"/>
      </w:r>
      <w:r>
        <w:rPr>
          <w:rFonts w:ascii="Times New Roman" w:hAnsi="Times New Roman" w:cs="Times New Roman"/>
          <w:sz w:val="24"/>
          <w:szCs w:val="24"/>
        </w:rPr>
        <w:t xml:space="preserve">, las pequeñas empresas enfrentan un gran desafío al momento de cumplir con las </w:t>
      </w:r>
      <w:proofErr w:type="spellStart"/>
      <w:r>
        <w:rPr>
          <w:rFonts w:ascii="Times New Roman" w:hAnsi="Times New Roman" w:cs="Times New Roman"/>
          <w:sz w:val="24"/>
          <w:szCs w:val="24"/>
        </w:rPr>
        <w:t>MNAs</w:t>
      </w:r>
      <w:proofErr w:type="spellEnd"/>
      <w:r>
        <w:rPr>
          <w:rFonts w:ascii="Times New Roman" w:hAnsi="Times New Roman" w:cs="Times New Roman"/>
          <w:sz w:val="24"/>
          <w:szCs w:val="24"/>
        </w:rPr>
        <w:t xml:space="preserve">, que tiene que ver con el acceso al financiamiento. Debido a que pocas veces son calificadas para el financiamiento, las tasas de interés son de hasta dos o tres veces más comparadas con las que consigue una empresa mediana o grande. Entonces, la falta de asistencia técnica se traduce en poca eficiencia. Pablo </w:t>
      </w:r>
      <w:proofErr w:type="spellStart"/>
      <w:r>
        <w:rPr>
          <w:rFonts w:ascii="Times New Roman" w:hAnsi="Times New Roman" w:cs="Times New Roman"/>
          <w:sz w:val="24"/>
          <w:szCs w:val="24"/>
        </w:rPr>
        <w:t>Galuchi</w:t>
      </w:r>
      <w:proofErr w:type="spellEnd"/>
      <w:r>
        <w:rPr>
          <w:rFonts w:ascii="Times New Roman" w:hAnsi="Times New Roman" w:cs="Times New Roman"/>
          <w:sz w:val="24"/>
          <w:szCs w:val="24"/>
        </w:rPr>
        <w:t xml:space="preserve"> también coincide en que a las pequeñas empresas les cuesta más el cumplimiento, sobretodo en el sector técnico. Por </w:t>
      </w:r>
      <w:r w:rsidRPr="00E13186">
        <w:rPr>
          <w:rFonts w:ascii="Times New Roman" w:hAnsi="Times New Roman" w:cs="Times New Roman"/>
          <w:sz w:val="24"/>
          <w:szCs w:val="24"/>
        </w:rPr>
        <w:t>tanto, considera necesari</w:t>
      </w:r>
      <w:r>
        <w:rPr>
          <w:rFonts w:ascii="Times New Roman" w:hAnsi="Times New Roman" w:cs="Times New Roman"/>
          <w:sz w:val="24"/>
          <w:szCs w:val="24"/>
        </w:rPr>
        <w:t>a</w:t>
      </w:r>
      <w:r w:rsidRPr="00E13186">
        <w:rPr>
          <w:rFonts w:ascii="Times New Roman" w:hAnsi="Times New Roman" w:cs="Times New Roman"/>
          <w:sz w:val="24"/>
          <w:szCs w:val="24"/>
        </w:rPr>
        <w:t xml:space="preserve"> la ampliación de las políticas existentes </w:t>
      </w:r>
      <w:r>
        <w:rPr>
          <w:rFonts w:ascii="Times New Roman" w:hAnsi="Times New Roman" w:cs="Times New Roman"/>
          <w:sz w:val="24"/>
          <w:szCs w:val="24"/>
        </w:rPr>
        <w:t>–</w:t>
      </w:r>
      <w:proofErr w:type="spellStart"/>
      <w:r w:rsidRPr="00E13186">
        <w:rPr>
          <w:rFonts w:ascii="Times New Roman" w:hAnsi="Times New Roman" w:cs="Times New Roman"/>
          <w:sz w:val="24"/>
          <w:szCs w:val="24"/>
        </w:rPr>
        <w:t>sobretodo</w:t>
      </w:r>
      <w:proofErr w:type="spellEnd"/>
      <w:r w:rsidRPr="00E13186">
        <w:rPr>
          <w:rFonts w:ascii="Times New Roman" w:hAnsi="Times New Roman" w:cs="Times New Roman"/>
          <w:sz w:val="24"/>
          <w:szCs w:val="24"/>
        </w:rPr>
        <w:t xml:space="preserve"> para las </w:t>
      </w:r>
      <w:proofErr w:type="spellStart"/>
      <w:r w:rsidRPr="00E13186">
        <w:rPr>
          <w:rFonts w:ascii="Times New Roman" w:hAnsi="Times New Roman" w:cs="Times New Roman"/>
          <w:sz w:val="24"/>
          <w:szCs w:val="24"/>
        </w:rPr>
        <w:t>pequeñas</w:t>
      </w:r>
      <w:proofErr w:type="spellEnd"/>
      <w:r w:rsidRPr="00E13186">
        <w:rPr>
          <w:rFonts w:ascii="Times New Roman" w:hAnsi="Times New Roman" w:cs="Times New Roman"/>
          <w:sz w:val="24"/>
          <w:szCs w:val="24"/>
        </w:rPr>
        <w:t xml:space="preserve"> empresas</w:t>
      </w:r>
      <w:r>
        <w:rPr>
          <w:rFonts w:ascii="Times New Roman" w:hAnsi="Times New Roman" w:cs="Times New Roman"/>
          <w:sz w:val="24"/>
          <w:szCs w:val="24"/>
        </w:rPr>
        <w:t>–</w:t>
      </w:r>
      <w:r w:rsidRPr="00E13186">
        <w:rPr>
          <w:rFonts w:ascii="Times New Roman" w:hAnsi="Times New Roman" w:cs="Times New Roman"/>
          <w:sz w:val="24"/>
          <w:szCs w:val="24"/>
        </w:rPr>
        <w:t xml:space="preserve"> vinculadas al asesoramiento, </w:t>
      </w:r>
      <w:proofErr w:type="spellStart"/>
      <w:r w:rsidRPr="00E13186">
        <w:rPr>
          <w:rFonts w:ascii="Times New Roman" w:hAnsi="Times New Roman" w:cs="Times New Roman"/>
          <w:sz w:val="24"/>
          <w:szCs w:val="24"/>
        </w:rPr>
        <w:t>capacitación</w:t>
      </w:r>
      <w:proofErr w:type="spellEnd"/>
      <w:r w:rsidRPr="00E13186">
        <w:rPr>
          <w:rFonts w:ascii="Times New Roman" w:hAnsi="Times New Roman" w:cs="Times New Roman"/>
          <w:sz w:val="24"/>
          <w:szCs w:val="24"/>
        </w:rPr>
        <w:t xml:space="preserve"> de equipo y apoyo </w:t>
      </w:r>
      <w:proofErr w:type="spellStart"/>
      <w:r w:rsidRPr="00E13186">
        <w:rPr>
          <w:rFonts w:ascii="Times New Roman" w:hAnsi="Times New Roman" w:cs="Times New Roman"/>
          <w:sz w:val="24"/>
          <w:szCs w:val="24"/>
        </w:rPr>
        <w:t>económico</w:t>
      </w:r>
      <w:proofErr w:type="spellEnd"/>
      <w:r w:rsidRPr="00E13186">
        <w:rPr>
          <w:rFonts w:ascii="Times New Roman" w:hAnsi="Times New Roman" w:cs="Times New Roman"/>
          <w:sz w:val="24"/>
          <w:szCs w:val="24"/>
        </w:rPr>
        <w:t>.</w:t>
      </w:r>
      <w:r>
        <w:rPr>
          <w:rFonts w:ascii="TimesNewRomanPSMT" w:hAnsi="TimesNewRomanPSMT"/>
        </w:rPr>
        <w:t xml:space="preserve"> </w:t>
      </w:r>
    </w:p>
    <w:p w:rsidR="009813EA" w:rsidRDefault="009813EA" w:rsidP="00AC722C">
      <w:pPr>
        <w:spacing w:after="80" w:line="360" w:lineRule="auto"/>
        <w:jc w:val="both"/>
        <w:rPr>
          <w:rFonts w:ascii="Times New Roman" w:hAnsi="Times New Roman" w:cs="Times New Roman"/>
          <w:sz w:val="24"/>
          <w:szCs w:val="24"/>
        </w:rPr>
      </w:pPr>
    </w:p>
    <w:p w:rsidR="009813EA" w:rsidRPr="00B96D3A" w:rsidRDefault="009813EA" w:rsidP="00AC722C">
      <w:pPr>
        <w:pStyle w:val="Normal1"/>
        <w:spacing w:after="80" w:line="360" w:lineRule="auto"/>
        <w:jc w:val="both"/>
        <w:rPr>
          <w:rFonts w:ascii="Times New Roman" w:hAnsi="Times New Roman" w:cs="Times New Roman"/>
          <w:b/>
          <w:sz w:val="24"/>
          <w:szCs w:val="24"/>
        </w:rPr>
      </w:pPr>
      <w:r w:rsidRPr="00B96D3A">
        <w:rPr>
          <w:rFonts w:ascii="Times New Roman" w:hAnsi="Times New Roman" w:cs="Times New Roman"/>
          <w:b/>
          <w:sz w:val="24"/>
          <w:szCs w:val="24"/>
        </w:rPr>
        <w:lastRenderedPageBreak/>
        <w:t>V. Consideraciones finales</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se propuso analizar el impacto de las medidas sanitarias y ambientales sobre las exportaciones de infusiones de América latina a la UE. Se ha mostrado que la UE aplica un amplio conjunto de normas de un alto nivel de exigencia. </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De acuerdo al análisis teórico, dichas medidas pueden actuar como barreras o catalizadores  del comercio, mientras que no hay acuerdo respecto a su impacto sobre la productividad y competitividad. Al respecto, la evidencia empírica concluye que los resultados son heterogéneos, pero los países en desarrollo suelen verse más perjudicados que los países desarrollados.</w:t>
      </w:r>
    </w:p>
    <w:p w:rsidR="009813EA" w:rsidRDefault="009813EA" w:rsidP="00AC722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El</w:t>
      </w:r>
      <w:r w:rsidR="007E6FAC">
        <w:rPr>
          <w:rFonts w:ascii="Times New Roman" w:hAnsi="Times New Roman" w:cs="Times New Roman"/>
          <w:sz w:val="24"/>
          <w:szCs w:val="24"/>
        </w:rPr>
        <w:t xml:space="preserve"> análisis del </w:t>
      </w:r>
      <w:r>
        <w:rPr>
          <w:rFonts w:ascii="Times New Roman" w:hAnsi="Times New Roman" w:cs="Times New Roman"/>
          <w:sz w:val="24"/>
          <w:szCs w:val="24"/>
        </w:rPr>
        <w:t>impacto sobre el sector de infusiones se realizó mediante una encuesta a empresas del sector, con el complemento de entrevistas a expertos. Los resultados de la encuesta muestran que existe una correlación positiva entre el nivel de cumplimiento con las medidas no arancelarias y tres variables: la mejora de la capacidad productiva y exportaciones, la percepción sobre el impacto de estas medidas, y un compromiso al desarrollo de estrategias de desempeño ambiental. En otras palabras, las firmas que han cumplido con todos o la mayoría de los estándares de empaque, certificaciones técnicas y niveles máximos de requisitos de contaminantes/residuos tienden a ver una evolución positiva de sus exportaciones y una mejora de su capacidad productiva. Además, perciben la aplicación de MNA de una manera más positiva que las que cumplen menos, y muestran un mejor compromiso con el medio ambiente y la sostenibilidad</w:t>
      </w:r>
      <w:r w:rsidR="0021394C">
        <w:rPr>
          <w:rStyle w:val="Refdenotaalpie"/>
          <w:rFonts w:ascii="Times New Roman" w:hAnsi="Times New Roman"/>
          <w:sz w:val="24"/>
          <w:szCs w:val="24"/>
        </w:rPr>
        <w:footnoteReference w:id="5"/>
      </w:r>
      <w:r>
        <w:rPr>
          <w:rFonts w:ascii="Times New Roman" w:hAnsi="Times New Roman" w:cs="Times New Roman"/>
          <w:sz w:val="24"/>
          <w:szCs w:val="24"/>
        </w:rPr>
        <w:t xml:space="preserve">. </w:t>
      </w:r>
    </w:p>
    <w:p w:rsidR="006343BC" w:rsidRDefault="0021394C" w:rsidP="006343BC">
      <w:pPr>
        <w:pStyle w:val="Normal1"/>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resultados van en línea con la evidencia existente de que </w:t>
      </w:r>
      <w:r w:rsidR="006343BC">
        <w:rPr>
          <w:rFonts w:ascii="Times New Roman" w:hAnsi="Times New Roman" w:cs="Times New Roman"/>
          <w:sz w:val="24"/>
          <w:szCs w:val="24"/>
        </w:rPr>
        <w:t xml:space="preserve">aun cuando las medidas sean barreras al comercio, </w:t>
      </w:r>
      <w:r>
        <w:rPr>
          <w:rFonts w:ascii="Times New Roman" w:hAnsi="Times New Roman" w:cs="Times New Roman"/>
          <w:sz w:val="24"/>
          <w:szCs w:val="24"/>
        </w:rPr>
        <w:t>el superar</w:t>
      </w:r>
      <w:r w:rsidR="006343BC">
        <w:rPr>
          <w:rFonts w:ascii="Times New Roman" w:hAnsi="Times New Roman" w:cs="Times New Roman"/>
          <w:sz w:val="24"/>
          <w:szCs w:val="24"/>
        </w:rPr>
        <w:t>las</w:t>
      </w:r>
      <w:r>
        <w:rPr>
          <w:rFonts w:ascii="Times New Roman" w:hAnsi="Times New Roman" w:cs="Times New Roman"/>
          <w:sz w:val="24"/>
          <w:szCs w:val="24"/>
        </w:rPr>
        <w:t xml:space="preserve"> facilita un mayor acceso a los países desarrollados</w:t>
      </w:r>
      <w:r w:rsidR="006343BC">
        <w:rPr>
          <w:rFonts w:ascii="Times New Roman" w:hAnsi="Times New Roman" w:cs="Times New Roman"/>
          <w:sz w:val="24"/>
          <w:szCs w:val="24"/>
        </w:rPr>
        <w:t>. Pero para ello deben</w:t>
      </w:r>
      <w:r>
        <w:rPr>
          <w:rFonts w:ascii="Times New Roman" w:hAnsi="Times New Roman" w:cs="Times New Roman"/>
          <w:sz w:val="24"/>
          <w:szCs w:val="24"/>
        </w:rPr>
        <w:t xml:space="preserve"> incorporar mejoras en su proceso productivo </w:t>
      </w:r>
      <w:r w:rsidR="006343BC">
        <w:rPr>
          <w:rFonts w:ascii="Times New Roman" w:hAnsi="Times New Roman" w:cs="Times New Roman"/>
          <w:sz w:val="24"/>
          <w:szCs w:val="24"/>
        </w:rPr>
        <w:t xml:space="preserve">referidas a las cuestiones sanitarias y ambientales. </w:t>
      </w:r>
      <w:r w:rsidR="00DD3E4B">
        <w:rPr>
          <w:rFonts w:ascii="Times New Roman" w:hAnsi="Times New Roman" w:cs="Times New Roman"/>
          <w:sz w:val="24"/>
          <w:szCs w:val="24"/>
        </w:rPr>
        <w:t>También se verifica que</w:t>
      </w:r>
      <w:r w:rsidR="007E6FAC">
        <w:rPr>
          <w:rFonts w:ascii="Times New Roman" w:hAnsi="Times New Roman" w:cs="Times New Roman"/>
          <w:sz w:val="24"/>
          <w:szCs w:val="24"/>
        </w:rPr>
        <w:t xml:space="preserve"> importa</w:t>
      </w:r>
      <w:bookmarkStart w:id="0" w:name="_GoBack"/>
      <w:bookmarkEnd w:id="0"/>
      <w:r w:rsidR="00DD3E4B">
        <w:rPr>
          <w:rFonts w:ascii="Times New Roman" w:hAnsi="Times New Roman" w:cs="Times New Roman"/>
          <w:sz w:val="24"/>
          <w:szCs w:val="24"/>
        </w:rPr>
        <w:t xml:space="preserve"> el tamaño de la empresa.</w:t>
      </w:r>
    </w:p>
    <w:p w:rsidR="0021394C" w:rsidRDefault="0021394C" w:rsidP="00AC722C">
      <w:pPr>
        <w:pStyle w:val="Normal1"/>
        <w:spacing w:after="80"/>
        <w:jc w:val="both"/>
        <w:rPr>
          <w:rFonts w:ascii="Times New Roman" w:hAnsi="Times New Roman" w:cs="Times New Roman"/>
          <w:sz w:val="24"/>
          <w:szCs w:val="24"/>
        </w:rPr>
      </w:pPr>
    </w:p>
    <w:p w:rsidR="009813EA" w:rsidRPr="00C0417E" w:rsidRDefault="009813EA" w:rsidP="00AC722C">
      <w:pPr>
        <w:pStyle w:val="Normal1"/>
        <w:spacing w:after="80" w:line="360" w:lineRule="auto"/>
        <w:jc w:val="both"/>
        <w:rPr>
          <w:rFonts w:ascii="Times New Roman" w:hAnsi="Times New Roman" w:cs="Times New Roman"/>
          <w:b/>
          <w:sz w:val="24"/>
          <w:szCs w:val="24"/>
          <w:lang w:val="en-US"/>
        </w:rPr>
      </w:pPr>
      <w:r w:rsidRPr="00C0417E">
        <w:rPr>
          <w:rFonts w:ascii="Times New Roman" w:hAnsi="Times New Roman" w:cs="Times New Roman"/>
          <w:b/>
          <w:sz w:val="24"/>
          <w:szCs w:val="24"/>
          <w:lang w:val="en-US"/>
        </w:rPr>
        <w:t xml:space="preserve">VI. </w:t>
      </w:r>
      <w:proofErr w:type="spellStart"/>
      <w:r w:rsidRPr="00C0417E">
        <w:rPr>
          <w:rFonts w:ascii="Times New Roman" w:hAnsi="Times New Roman" w:cs="Times New Roman"/>
          <w:b/>
          <w:sz w:val="24"/>
          <w:szCs w:val="24"/>
          <w:lang w:val="en-US"/>
        </w:rPr>
        <w:t>Referencias</w:t>
      </w:r>
      <w:proofErr w:type="spellEnd"/>
      <w:r w:rsidRPr="00C0417E">
        <w:rPr>
          <w:rFonts w:ascii="Times New Roman" w:hAnsi="Times New Roman" w:cs="Times New Roman"/>
          <w:b/>
          <w:sz w:val="24"/>
          <w:szCs w:val="24"/>
          <w:lang w:val="en-US"/>
        </w:rPr>
        <w:t xml:space="preserve"> </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r w:rsidRPr="00C0417E">
        <w:rPr>
          <w:rFonts w:ascii="Times New Roman" w:hAnsi="Times New Roman" w:cs="Times New Roman"/>
          <w:sz w:val="24"/>
          <w:szCs w:val="24"/>
          <w:lang w:val="en-US"/>
        </w:rPr>
        <w:t>Ambec</w:t>
      </w:r>
      <w:proofErr w:type="spellEnd"/>
      <w:r w:rsidRPr="00C0417E">
        <w:rPr>
          <w:rFonts w:ascii="Times New Roman" w:hAnsi="Times New Roman" w:cs="Times New Roman"/>
          <w:sz w:val="24"/>
          <w:szCs w:val="24"/>
          <w:lang w:val="en-US"/>
        </w:rPr>
        <w:t xml:space="preserve">, Stefan, Mark Cohen, Stewart </w:t>
      </w:r>
      <w:proofErr w:type="spellStart"/>
      <w:r w:rsidRPr="00C0417E">
        <w:rPr>
          <w:rFonts w:ascii="Times New Roman" w:hAnsi="Times New Roman" w:cs="Times New Roman"/>
          <w:sz w:val="24"/>
          <w:szCs w:val="24"/>
          <w:lang w:val="en-US"/>
        </w:rPr>
        <w:t>Elgie</w:t>
      </w:r>
      <w:proofErr w:type="spellEnd"/>
      <w:r w:rsidRPr="00C0417E">
        <w:rPr>
          <w:rFonts w:ascii="Times New Roman" w:hAnsi="Times New Roman" w:cs="Times New Roman"/>
          <w:sz w:val="24"/>
          <w:szCs w:val="24"/>
          <w:lang w:val="en-US"/>
        </w:rPr>
        <w:t xml:space="preserve"> y Paul </w:t>
      </w:r>
      <w:proofErr w:type="spellStart"/>
      <w:r w:rsidRPr="00C0417E">
        <w:rPr>
          <w:rFonts w:ascii="Times New Roman" w:hAnsi="Times New Roman" w:cs="Times New Roman"/>
          <w:sz w:val="24"/>
          <w:szCs w:val="24"/>
          <w:lang w:val="en-US"/>
        </w:rPr>
        <w:t>Lanoie</w:t>
      </w:r>
      <w:proofErr w:type="spellEnd"/>
      <w:r w:rsidRPr="00C0417E">
        <w:rPr>
          <w:rFonts w:ascii="Times New Roman" w:hAnsi="Times New Roman" w:cs="Times New Roman"/>
          <w:sz w:val="24"/>
          <w:szCs w:val="24"/>
          <w:lang w:val="en-US"/>
        </w:rPr>
        <w:t xml:space="preserve"> (2011). “The Porter hypothesis at 20: Can environmental regulation enhance innovation and competitiveness?</w:t>
      </w:r>
      <w:proofErr w:type="gramStart"/>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Resources for the Future Discussion Paper 11-01.</w:t>
      </w:r>
      <w:proofErr w:type="gramEnd"/>
    </w:p>
    <w:p w:rsidR="009813EA" w:rsidRPr="00C0417E" w:rsidRDefault="009813EA" w:rsidP="00DF00EE">
      <w:pPr>
        <w:autoSpaceDE w:val="0"/>
        <w:autoSpaceDN w:val="0"/>
        <w:adjustRightInd w:val="0"/>
        <w:spacing w:line="240" w:lineRule="auto"/>
        <w:jc w:val="both"/>
        <w:rPr>
          <w:rFonts w:ascii="Times New Roman" w:hAnsi="Times New Roman" w:cs="Times New Roman"/>
          <w:sz w:val="24"/>
          <w:szCs w:val="24"/>
          <w:lang w:val="en-US"/>
        </w:rPr>
      </w:pPr>
      <w:proofErr w:type="spellStart"/>
      <w:proofErr w:type="gramStart"/>
      <w:r w:rsidRPr="00C0417E">
        <w:rPr>
          <w:rFonts w:ascii="Times New Roman" w:hAnsi="Times New Roman" w:cs="Times New Roman"/>
          <w:sz w:val="24"/>
          <w:szCs w:val="24"/>
          <w:lang w:val="en-US"/>
        </w:rPr>
        <w:lastRenderedPageBreak/>
        <w:t>BfR</w:t>
      </w:r>
      <w:proofErr w:type="spellEnd"/>
      <w:r w:rsidRPr="00C0417E">
        <w:rPr>
          <w:rFonts w:ascii="Times New Roman" w:hAnsi="Times New Roman" w:cs="Times New Roman"/>
          <w:sz w:val="24"/>
          <w:szCs w:val="24"/>
          <w:lang w:val="en-US"/>
        </w:rPr>
        <w:t xml:space="preserve"> (2013).</w:t>
      </w:r>
      <w:proofErr w:type="gramEnd"/>
      <w:r w:rsidRPr="00C0417E">
        <w:rPr>
          <w:rFonts w:ascii="Times New Roman" w:hAnsi="Times New Roman" w:cs="Times New Roman"/>
          <w:sz w:val="24"/>
          <w:szCs w:val="24"/>
          <w:lang w:val="en-US"/>
        </w:rPr>
        <w:t xml:space="preserve"> ¨BFR removes </w:t>
      </w:r>
      <w:proofErr w:type="spellStart"/>
      <w:r w:rsidRPr="00C0417E">
        <w:rPr>
          <w:rFonts w:ascii="Times New Roman" w:hAnsi="Times New Roman" w:cs="Times New Roman"/>
          <w:sz w:val="24"/>
          <w:szCs w:val="24"/>
          <w:lang w:val="en-US"/>
        </w:rPr>
        <w:t>anthraquinone</w:t>
      </w:r>
      <w:proofErr w:type="spellEnd"/>
      <w:r w:rsidRPr="00C0417E">
        <w:rPr>
          <w:rFonts w:ascii="Times New Roman" w:hAnsi="Times New Roman" w:cs="Times New Roman"/>
          <w:sz w:val="24"/>
          <w:szCs w:val="24"/>
          <w:lang w:val="en-US"/>
        </w:rPr>
        <w:t xml:space="preserve"> from its list of recommendations for food packaging¨. </w:t>
      </w:r>
      <w:proofErr w:type="spellStart"/>
      <w:proofErr w:type="gramStart"/>
      <w:r w:rsidRPr="00C0417E">
        <w:rPr>
          <w:rFonts w:ascii="Times New Roman" w:hAnsi="Times New Roman" w:cs="Times New Roman"/>
          <w:sz w:val="24"/>
          <w:szCs w:val="24"/>
          <w:lang w:val="en-US"/>
        </w:rPr>
        <w:t>BfR</w:t>
      </w:r>
      <w:proofErr w:type="spellEnd"/>
      <w:r w:rsidRPr="00C0417E">
        <w:rPr>
          <w:rFonts w:ascii="Times New Roman" w:hAnsi="Times New Roman" w:cs="Times New Roman"/>
          <w:sz w:val="24"/>
          <w:szCs w:val="24"/>
          <w:lang w:val="en-US"/>
        </w:rPr>
        <w:t xml:space="preserve"> opinion No. 005/2013.</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German Federal Institute for Risk Assessment (</w:t>
      </w:r>
      <w:proofErr w:type="spellStart"/>
      <w:r w:rsidRPr="00C0417E">
        <w:rPr>
          <w:rFonts w:ascii="Times New Roman" w:hAnsi="Times New Roman" w:cs="Times New Roman"/>
          <w:sz w:val="24"/>
          <w:szCs w:val="24"/>
          <w:lang w:val="en-US"/>
        </w:rPr>
        <w:t>Bundesinstitut</w:t>
      </w:r>
      <w:proofErr w:type="spellEnd"/>
      <w:r w:rsidRPr="00C0417E">
        <w:rPr>
          <w:rFonts w:ascii="Times New Roman" w:hAnsi="Times New Roman" w:cs="Times New Roman"/>
          <w:sz w:val="24"/>
          <w:szCs w:val="24"/>
          <w:lang w:val="en-US"/>
        </w:rPr>
        <w:t xml:space="preserve"> fur </w:t>
      </w:r>
      <w:proofErr w:type="spellStart"/>
      <w:r w:rsidRPr="00C0417E">
        <w:rPr>
          <w:rFonts w:ascii="Times New Roman" w:hAnsi="Times New Roman" w:cs="Times New Roman"/>
          <w:sz w:val="24"/>
          <w:szCs w:val="24"/>
          <w:lang w:val="en-US"/>
        </w:rPr>
        <w:t>Risikobewertung</w:t>
      </w:r>
      <w:proofErr w:type="spellEnd"/>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 xml:space="preserve">12 de </w:t>
      </w:r>
      <w:proofErr w:type="spellStart"/>
      <w:r w:rsidRPr="00C0417E">
        <w:rPr>
          <w:rFonts w:ascii="Times New Roman" w:hAnsi="Times New Roman" w:cs="Times New Roman"/>
          <w:sz w:val="24"/>
          <w:szCs w:val="24"/>
          <w:lang w:val="en-US"/>
        </w:rPr>
        <w:t>febrero</w:t>
      </w:r>
      <w:proofErr w:type="spellEnd"/>
      <w:r w:rsidRPr="00C0417E">
        <w:rPr>
          <w:rFonts w:ascii="Times New Roman" w:hAnsi="Times New Roman" w:cs="Times New Roman"/>
          <w:sz w:val="24"/>
          <w:szCs w:val="24"/>
          <w:lang w:val="en-US"/>
        </w:rPr>
        <w:t xml:space="preserve"> de 2013.</w:t>
      </w:r>
      <w:proofErr w:type="gramEnd"/>
    </w:p>
    <w:p w:rsidR="009813EA" w:rsidRPr="00C0417E" w:rsidRDefault="009813EA" w:rsidP="00DF00EE">
      <w:pPr>
        <w:autoSpaceDE w:val="0"/>
        <w:autoSpaceDN w:val="0"/>
        <w:adjustRightInd w:val="0"/>
        <w:spacing w:line="240" w:lineRule="auto"/>
        <w:jc w:val="both"/>
        <w:rPr>
          <w:rFonts w:ascii="Times New Roman" w:hAnsi="Times New Roman" w:cs="Times New Roman"/>
          <w:sz w:val="24"/>
          <w:szCs w:val="24"/>
          <w:lang w:val="en-US"/>
        </w:rPr>
      </w:pPr>
    </w:p>
    <w:p w:rsidR="009813EA" w:rsidRPr="00D438F8" w:rsidRDefault="009813EA" w:rsidP="008A06BE">
      <w:pPr>
        <w:autoSpaceDE w:val="0"/>
        <w:autoSpaceDN w:val="0"/>
        <w:adjustRightInd w:val="0"/>
        <w:spacing w:after="80" w:line="240" w:lineRule="auto"/>
        <w:jc w:val="both"/>
        <w:rPr>
          <w:rFonts w:ascii="Times New Roman" w:hAnsi="Times New Roman" w:cs="Times New Roman"/>
          <w:sz w:val="24"/>
          <w:szCs w:val="24"/>
        </w:rPr>
      </w:pPr>
      <w:proofErr w:type="gramStart"/>
      <w:r w:rsidRPr="00C0417E">
        <w:rPr>
          <w:rFonts w:ascii="Times New Roman" w:hAnsi="Times New Roman" w:cs="Times New Roman"/>
          <w:sz w:val="24"/>
          <w:szCs w:val="24"/>
          <w:lang w:val="en-US"/>
        </w:rPr>
        <w:t>CBI (2016).</w:t>
      </w:r>
      <w:proofErr w:type="gramEnd"/>
      <w:r w:rsidRPr="00C0417E">
        <w:rPr>
          <w:rFonts w:ascii="Times New Roman" w:hAnsi="Times New Roman" w:cs="Times New Roman"/>
          <w:sz w:val="24"/>
          <w:szCs w:val="24"/>
          <w:lang w:val="en-US"/>
        </w:rPr>
        <w:t xml:space="preserve"> ¨What requirements should tea meet to be allowed on the European market</w:t>
      </w:r>
      <w:proofErr w:type="gramStart"/>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r w:rsidRPr="00D438F8">
        <w:rPr>
          <w:rFonts w:ascii="Times New Roman" w:hAnsi="Times New Roman" w:cs="Times New Roman"/>
          <w:sz w:val="24"/>
          <w:szCs w:val="24"/>
        </w:rPr>
        <w:t>Países Bajos, Centro de Promoción de Importaciones desde los Países</w:t>
      </w:r>
      <w:r>
        <w:rPr>
          <w:rFonts w:ascii="Times New Roman" w:hAnsi="Times New Roman" w:cs="Times New Roman"/>
          <w:sz w:val="24"/>
          <w:szCs w:val="24"/>
        </w:rPr>
        <w:t xml:space="preserve"> </w:t>
      </w:r>
      <w:r w:rsidRPr="00D438F8">
        <w:rPr>
          <w:rFonts w:ascii="Times New Roman" w:hAnsi="Times New Roman" w:cs="Times New Roman"/>
          <w:sz w:val="24"/>
          <w:szCs w:val="24"/>
        </w:rPr>
        <w:t>en Vías de Desarrollo, Ministerio de Relaciones Exteriores. 13 de diciembre de</w:t>
      </w:r>
      <w:r>
        <w:rPr>
          <w:rFonts w:ascii="Times New Roman" w:hAnsi="Times New Roman" w:cs="Times New Roman"/>
          <w:sz w:val="24"/>
          <w:szCs w:val="24"/>
        </w:rPr>
        <w:t xml:space="preserve"> </w:t>
      </w:r>
      <w:r w:rsidRPr="00D438F8">
        <w:rPr>
          <w:rFonts w:ascii="Times New Roman" w:hAnsi="Times New Roman" w:cs="Times New Roman"/>
          <w:sz w:val="24"/>
          <w:szCs w:val="24"/>
        </w:rPr>
        <w:t>2016.</w:t>
      </w:r>
    </w:p>
    <w:p w:rsidR="009813EA" w:rsidRDefault="009813EA" w:rsidP="008A06BE">
      <w:pPr>
        <w:pStyle w:val="Normal1"/>
        <w:spacing w:after="8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Chudnovsky</w:t>
      </w:r>
      <w:proofErr w:type="spellEnd"/>
      <w:r>
        <w:rPr>
          <w:rFonts w:ascii="Times New Roman" w:hAnsi="Times New Roman" w:cs="Times New Roman"/>
          <w:sz w:val="24"/>
          <w:szCs w:val="24"/>
        </w:rPr>
        <w:t xml:space="preserve">, Daniel, Andrés López y Valeria </w:t>
      </w:r>
      <w:proofErr w:type="spellStart"/>
      <w:r>
        <w:rPr>
          <w:rFonts w:ascii="Times New Roman" w:hAnsi="Times New Roman" w:cs="Times New Roman"/>
          <w:sz w:val="24"/>
          <w:szCs w:val="24"/>
        </w:rPr>
        <w:t>Freylejer</w:t>
      </w:r>
      <w:proofErr w:type="spellEnd"/>
      <w:r>
        <w:rPr>
          <w:rFonts w:ascii="Times New Roman" w:hAnsi="Times New Roman" w:cs="Times New Roman"/>
          <w:sz w:val="24"/>
          <w:szCs w:val="24"/>
        </w:rPr>
        <w:t xml:space="preserve"> (1997). “La prevención de la contaminación en la gestión ambiental de la industria argentina”. CENIT, Documento de Trabajo 24.</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gramStart"/>
      <w:r w:rsidRPr="00C0417E">
        <w:rPr>
          <w:rFonts w:ascii="Times New Roman" w:hAnsi="Times New Roman" w:cs="Times New Roman"/>
          <w:sz w:val="24"/>
          <w:szCs w:val="24"/>
          <w:lang w:val="en-US"/>
        </w:rPr>
        <w:t xml:space="preserve">Cohen, Mark y Adeline </w:t>
      </w:r>
      <w:proofErr w:type="spellStart"/>
      <w:r w:rsidRPr="00C0417E">
        <w:rPr>
          <w:rFonts w:ascii="Times New Roman" w:hAnsi="Times New Roman" w:cs="Times New Roman"/>
          <w:sz w:val="24"/>
          <w:szCs w:val="24"/>
          <w:lang w:val="en-US"/>
        </w:rPr>
        <w:t>Tubb</w:t>
      </w:r>
      <w:proofErr w:type="spellEnd"/>
      <w:r w:rsidRPr="00C0417E">
        <w:rPr>
          <w:rFonts w:ascii="Times New Roman" w:hAnsi="Times New Roman" w:cs="Times New Roman"/>
          <w:sz w:val="24"/>
          <w:szCs w:val="24"/>
          <w:lang w:val="en-US"/>
        </w:rPr>
        <w:t xml:space="preserve"> (2017).</w:t>
      </w:r>
      <w:proofErr w:type="gramEnd"/>
      <w:r w:rsidRPr="00C0417E">
        <w:rPr>
          <w:rFonts w:ascii="Times New Roman" w:hAnsi="Times New Roman" w:cs="Times New Roman"/>
          <w:sz w:val="24"/>
          <w:szCs w:val="24"/>
          <w:lang w:val="en-US"/>
        </w:rPr>
        <w:t xml:space="preserve"> “The impact of environmental regulation on firm and country competitiveness: a meta-analysis of the Porter hypothesis”. </w:t>
      </w:r>
      <w:r w:rsidRPr="00C0417E">
        <w:rPr>
          <w:rFonts w:ascii="Times New Roman" w:hAnsi="Times New Roman" w:cs="Times New Roman"/>
          <w:i/>
          <w:sz w:val="24"/>
          <w:szCs w:val="24"/>
          <w:lang w:val="en-US"/>
        </w:rPr>
        <w:t>Journal of the Association of Environmental and Resource Economists</w:t>
      </w:r>
      <w:r w:rsidRPr="00C0417E">
        <w:rPr>
          <w:rFonts w:ascii="Times New Roman" w:hAnsi="Times New Roman" w:cs="Times New Roman"/>
          <w:sz w:val="24"/>
          <w:szCs w:val="24"/>
          <w:lang w:val="en-US"/>
        </w:rPr>
        <w:t>, 5 (2): 371-399.</w:t>
      </w:r>
    </w:p>
    <w:p w:rsidR="009813EA" w:rsidRDefault="009813EA" w:rsidP="00DF00EE">
      <w:pPr>
        <w:pStyle w:val="Normal1"/>
        <w:spacing w:after="120" w:line="240" w:lineRule="auto"/>
        <w:jc w:val="both"/>
        <w:rPr>
          <w:rFonts w:ascii="Times New Roman" w:hAnsi="Times New Roman" w:cs="Times New Roman"/>
          <w:sz w:val="24"/>
          <w:szCs w:val="24"/>
        </w:rPr>
      </w:pPr>
      <w:proofErr w:type="spellStart"/>
      <w:r w:rsidRPr="00C0417E">
        <w:rPr>
          <w:rFonts w:ascii="Times New Roman" w:hAnsi="Times New Roman" w:cs="Times New Roman"/>
          <w:sz w:val="24"/>
          <w:szCs w:val="24"/>
          <w:lang w:val="en-US"/>
        </w:rPr>
        <w:t>Cornejo</w:t>
      </w:r>
      <w:proofErr w:type="spellEnd"/>
      <w:r w:rsidRPr="00C0417E">
        <w:rPr>
          <w:rFonts w:ascii="Times New Roman" w:hAnsi="Times New Roman" w:cs="Times New Roman"/>
          <w:sz w:val="24"/>
          <w:szCs w:val="24"/>
          <w:lang w:val="en-US"/>
        </w:rPr>
        <w:t xml:space="preserve"> Mayra Daniela Ruiz, Rodríguez </w:t>
      </w:r>
      <w:proofErr w:type="spellStart"/>
      <w:r w:rsidRPr="00C0417E">
        <w:rPr>
          <w:rFonts w:ascii="Times New Roman" w:hAnsi="Times New Roman" w:cs="Times New Roman"/>
          <w:sz w:val="24"/>
          <w:szCs w:val="24"/>
          <w:lang w:val="en-US"/>
        </w:rPr>
        <w:t>Heyling</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Jolibeth</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López</w:t>
      </w:r>
      <w:proofErr w:type="spellEnd"/>
      <w:r w:rsidRPr="00C0417E">
        <w:rPr>
          <w:rFonts w:ascii="Times New Roman" w:hAnsi="Times New Roman" w:cs="Times New Roman"/>
          <w:sz w:val="24"/>
          <w:szCs w:val="24"/>
          <w:lang w:val="en-US"/>
        </w:rPr>
        <w:t xml:space="preserve">, Ochoa </w:t>
      </w:r>
      <w:proofErr w:type="spellStart"/>
      <w:r w:rsidRPr="00C0417E">
        <w:rPr>
          <w:rFonts w:ascii="Times New Roman" w:hAnsi="Times New Roman" w:cs="Times New Roman"/>
          <w:sz w:val="24"/>
          <w:szCs w:val="24"/>
          <w:lang w:val="en-US"/>
        </w:rPr>
        <w:t>Yeslin</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Yohenia</w:t>
      </w:r>
      <w:proofErr w:type="spellEnd"/>
      <w:r w:rsidRPr="00C0417E">
        <w:rPr>
          <w:rFonts w:ascii="Times New Roman" w:hAnsi="Times New Roman" w:cs="Times New Roman"/>
          <w:sz w:val="24"/>
          <w:szCs w:val="24"/>
          <w:lang w:val="en-US"/>
        </w:rPr>
        <w:t xml:space="preserve"> Pérez (2013). </w:t>
      </w:r>
      <w:r w:rsidRPr="00DF00EE">
        <w:rPr>
          <w:rFonts w:ascii="Times New Roman" w:hAnsi="Times New Roman" w:cs="Times New Roman"/>
          <w:sz w:val="24"/>
          <w:szCs w:val="24"/>
        </w:rPr>
        <w:t>¨Proceso de certificación de calidad y exportación del café</w:t>
      </w:r>
      <w:r>
        <w:rPr>
          <w:rFonts w:ascii="Times New Roman" w:hAnsi="Times New Roman" w:cs="Times New Roman"/>
          <w:sz w:val="24"/>
          <w:szCs w:val="24"/>
        </w:rPr>
        <w:t xml:space="preserve"> </w:t>
      </w:r>
      <w:r w:rsidRPr="00DF00EE">
        <w:rPr>
          <w:rFonts w:ascii="Times New Roman" w:hAnsi="Times New Roman" w:cs="Times New Roman"/>
          <w:sz w:val="24"/>
          <w:szCs w:val="24"/>
        </w:rPr>
        <w:t>en exportadora ATLANTIC S.A. Periodo 2012-2013¨. Revista Científica de</w:t>
      </w:r>
      <w:r>
        <w:rPr>
          <w:rFonts w:ascii="Times New Roman" w:hAnsi="Times New Roman" w:cs="Times New Roman"/>
          <w:sz w:val="24"/>
          <w:szCs w:val="24"/>
        </w:rPr>
        <w:t xml:space="preserve"> </w:t>
      </w:r>
      <w:r w:rsidRPr="00DF00EE">
        <w:rPr>
          <w:rFonts w:ascii="Times New Roman" w:hAnsi="Times New Roman" w:cs="Times New Roman"/>
          <w:sz w:val="24"/>
          <w:szCs w:val="24"/>
        </w:rPr>
        <w:t>FAREM-Estelí. Medio ambiente, tecnología y desarrollo humano. No 8, Año 2,</w:t>
      </w:r>
      <w:r>
        <w:rPr>
          <w:rFonts w:ascii="Times New Roman" w:hAnsi="Times New Roman" w:cs="Times New Roman"/>
          <w:sz w:val="24"/>
          <w:szCs w:val="24"/>
        </w:rPr>
        <w:t xml:space="preserve"> </w:t>
      </w:r>
      <w:r w:rsidRPr="00DF00EE">
        <w:rPr>
          <w:rFonts w:ascii="Times New Roman" w:hAnsi="Times New Roman" w:cs="Times New Roman"/>
          <w:sz w:val="24"/>
          <w:szCs w:val="24"/>
        </w:rPr>
        <w:t>octubre-diciembre 2013. Pág. 13-28</w:t>
      </w:r>
      <w:r>
        <w:rPr>
          <w:rFonts w:ascii="Times New Roman" w:hAnsi="Times New Roman" w:cs="Times New Roman"/>
          <w:sz w:val="24"/>
          <w:szCs w:val="24"/>
        </w:rPr>
        <w:t>.</w:t>
      </w:r>
    </w:p>
    <w:p w:rsidR="009813EA" w:rsidRPr="00C0417E" w:rsidRDefault="009813EA" w:rsidP="00DF00EE">
      <w:pPr>
        <w:pStyle w:val="Normal1"/>
        <w:spacing w:after="120" w:line="240" w:lineRule="auto"/>
        <w:jc w:val="both"/>
        <w:rPr>
          <w:rFonts w:ascii="Times New Roman" w:hAnsi="Times New Roman" w:cs="Times New Roman"/>
          <w:sz w:val="24"/>
          <w:szCs w:val="24"/>
          <w:lang w:val="en-US"/>
        </w:rPr>
      </w:pPr>
      <w:proofErr w:type="spellStart"/>
      <w:r w:rsidRPr="00D438F8">
        <w:rPr>
          <w:rFonts w:ascii="Times New Roman" w:hAnsi="Times New Roman" w:cs="Times New Roman"/>
          <w:sz w:val="24"/>
          <w:szCs w:val="24"/>
        </w:rPr>
        <w:t>Costantini</w:t>
      </w:r>
      <w:proofErr w:type="spellEnd"/>
      <w:r w:rsidRPr="00D438F8">
        <w:rPr>
          <w:rFonts w:ascii="Times New Roman" w:hAnsi="Times New Roman" w:cs="Times New Roman"/>
          <w:sz w:val="24"/>
          <w:szCs w:val="24"/>
        </w:rPr>
        <w:t>, V</w:t>
      </w:r>
      <w:r>
        <w:rPr>
          <w:rFonts w:ascii="Times New Roman" w:hAnsi="Times New Roman" w:cs="Times New Roman"/>
          <w:sz w:val="24"/>
          <w:szCs w:val="24"/>
        </w:rPr>
        <w:t>aleria</w:t>
      </w:r>
      <w:r w:rsidRPr="00D438F8">
        <w:rPr>
          <w:rFonts w:ascii="Times New Roman" w:hAnsi="Times New Roman" w:cs="Times New Roman"/>
          <w:sz w:val="24"/>
          <w:szCs w:val="24"/>
        </w:rPr>
        <w:t xml:space="preserve"> </w:t>
      </w:r>
      <w:r>
        <w:rPr>
          <w:rFonts w:ascii="Times New Roman" w:hAnsi="Times New Roman" w:cs="Times New Roman"/>
          <w:sz w:val="24"/>
          <w:szCs w:val="24"/>
        </w:rPr>
        <w:t>y</w:t>
      </w:r>
      <w:r w:rsidRPr="00D438F8">
        <w:rPr>
          <w:rFonts w:ascii="Times New Roman" w:hAnsi="Times New Roman" w:cs="Times New Roman"/>
          <w:sz w:val="24"/>
          <w:szCs w:val="24"/>
        </w:rPr>
        <w:t xml:space="preserve"> </w:t>
      </w:r>
      <w:proofErr w:type="spellStart"/>
      <w:r>
        <w:rPr>
          <w:rFonts w:ascii="Times New Roman" w:hAnsi="Times New Roman" w:cs="Times New Roman"/>
          <w:sz w:val="24"/>
          <w:szCs w:val="24"/>
        </w:rPr>
        <w:t>Massimiliano</w:t>
      </w:r>
      <w:proofErr w:type="spellEnd"/>
      <w:r>
        <w:rPr>
          <w:rFonts w:ascii="Times New Roman" w:hAnsi="Times New Roman" w:cs="Times New Roman"/>
          <w:sz w:val="24"/>
          <w:szCs w:val="24"/>
        </w:rPr>
        <w:t xml:space="preserve"> </w:t>
      </w:r>
      <w:proofErr w:type="spellStart"/>
      <w:r w:rsidRPr="00D438F8">
        <w:rPr>
          <w:rFonts w:ascii="Times New Roman" w:hAnsi="Times New Roman" w:cs="Times New Roman"/>
          <w:sz w:val="24"/>
          <w:szCs w:val="24"/>
        </w:rPr>
        <w:t>Mazzanti</w:t>
      </w:r>
      <w:proofErr w:type="spellEnd"/>
      <w:r w:rsidRPr="00D438F8">
        <w:rPr>
          <w:rFonts w:ascii="Times New Roman" w:hAnsi="Times New Roman" w:cs="Times New Roman"/>
          <w:sz w:val="24"/>
          <w:szCs w:val="24"/>
        </w:rPr>
        <w:t xml:space="preserve"> (2012). </w:t>
      </w:r>
      <w:proofErr w:type="gramStart"/>
      <w:r w:rsidRPr="00C0417E">
        <w:rPr>
          <w:rFonts w:ascii="Times New Roman" w:hAnsi="Times New Roman" w:cs="Times New Roman"/>
          <w:sz w:val="24"/>
          <w:szCs w:val="24"/>
          <w:lang w:val="en-US"/>
        </w:rPr>
        <w:t>“On the green and innovative side of trade competitiveness?</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The impact of environmental policies and innovation on EU exports”.</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sz w:val="24"/>
          <w:szCs w:val="24"/>
          <w:lang w:val="en-US"/>
        </w:rPr>
        <w:t>Research Policy</w:t>
      </w:r>
      <w:r w:rsidRPr="00C0417E">
        <w:rPr>
          <w:rFonts w:ascii="Times New Roman" w:hAnsi="Times New Roman" w:cs="Times New Roman"/>
          <w:sz w:val="24"/>
          <w:szCs w:val="24"/>
          <w:lang w:val="en-US"/>
        </w:rPr>
        <w:t>, 41 (1): 132-153.</w:t>
      </w:r>
    </w:p>
    <w:p w:rsidR="009813EA" w:rsidRDefault="009813EA" w:rsidP="00AC722C">
      <w:pPr>
        <w:pStyle w:val="Normal1"/>
        <w:spacing w:after="120" w:line="240" w:lineRule="auto"/>
        <w:jc w:val="both"/>
        <w:rPr>
          <w:rFonts w:ascii="Times New Roman" w:hAnsi="Times New Roman" w:cs="Times New Roman"/>
          <w:sz w:val="24"/>
          <w:szCs w:val="24"/>
        </w:rPr>
      </w:pPr>
      <w:proofErr w:type="spellStart"/>
      <w:r w:rsidRPr="00CF1B84">
        <w:rPr>
          <w:rFonts w:ascii="Times New Roman" w:hAnsi="Times New Roman" w:cs="Times New Roman"/>
          <w:sz w:val="24"/>
          <w:szCs w:val="24"/>
          <w:lang w:val="es-AR"/>
        </w:rPr>
        <w:t>Dechezleprêtre</w:t>
      </w:r>
      <w:proofErr w:type="spellEnd"/>
      <w:r w:rsidRPr="00CF1B84">
        <w:rPr>
          <w:rFonts w:ascii="Times New Roman" w:hAnsi="Times New Roman" w:cs="Times New Roman"/>
          <w:sz w:val="24"/>
          <w:szCs w:val="24"/>
          <w:lang w:val="es-AR"/>
        </w:rPr>
        <w:t xml:space="preserve">, </w:t>
      </w:r>
      <w:proofErr w:type="spellStart"/>
      <w:r w:rsidRPr="00CF1B84">
        <w:rPr>
          <w:rFonts w:ascii="Times New Roman" w:hAnsi="Times New Roman" w:cs="Times New Roman"/>
          <w:sz w:val="24"/>
          <w:szCs w:val="24"/>
          <w:lang w:val="es-AR"/>
        </w:rPr>
        <w:t>Antoine</w:t>
      </w:r>
      <w:proofErr w:type="spellEnd"/>
      <w:r w:rsidRPr="00CF1B84">
        <w:rPr>
          <w:rFonts w:ascii="Times New Roman" w:hAnsi="Times New Roman" w:cs="Times New Roman"/>
          <w:sz w:val="24"/>
          <w:szCs w:val="24"/>
          <w:lang w:val="es-AR"/>
        </w:rPr>
        <w:t xml:space="preserve"> y </w:t>
      </w:r>
      <w:proofErr w:type="spellStart"/>
      <w:r w:rsidRPr="00CF1B84">
        <w:rPr>
          <w:rFonts w:ascii="Times New Roman" w:hAnsi="Times New Roman" w:cs="Times New Roman"/>
          <w:sz w:val="24"/>
          <w:szCs w:val="24"/>
          <w:lang w:val="es-AR"/>
        </w:rPr>
        <w:t>Misato</w:t>
      </w:r>
      <w:proofErr w:type="spellEnd"/>
      <w:r w:rsidRPr="00CF1B84">
        <w:rPr>
          <w:rFonts w:ascii="Times New Roman" w:hAnsi="Times New Roman" w:cs="Times New Roman"/>
          <w:sz w:val="24"/>
          <w:szCs w:val="24"/>
          <w:lang w:val="es-AR"/>
        </w:rPr>
        <w:t xml:space="preserve"> Sato (2017). </w:t>
      </w:r>
      <w:proofErr w:type="gramStart"/>
      <w:r w:rsidRPr="00C0417E">
        <w:rPr>
          <w:rFonts w:ascii="Times New Roman" w:hAnsi="Times New Roman" w:cs="Times New Roman"/>
          <w:sz w:val="24"/>
          <w:szCs w:val="24"/>
          <w:lang w:val="en-US"/>
        </w:rPr>
        <w:t xml:space="preserve">“The impacts of environmental regulations on </w:t>
      </w:r>
      <w:proofErr w:type="spellStart"/>
      <w:r w:rsidRPr="00C0417E">
        <w:rPr>
          <w:rFonts w:ascii="Times New Roman" w:hAnsi="Times New Roman" w:cs="Times New Roman"/>
          <w:sz w:val="24"/>
          <w:szCs w:val="24"/>
          <w:lang w:val="en-US"/>
        </w:rPr>
        <w:t>compettiveness</w:t>
      </w:r>
      <w:proofErr w:type="spellEnd"/>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rPr>
        <w:t>Review</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Environmental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Economics</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Policy</w:t>
      </w:r>
      <w:proofErr w:type="spellEnd"/>
      <w:r>
        <w:rPr>
          <w:rFonts w:ascii="Times New Roman" w:hAnsi="Times New Roman" w:cs="Times New Roman"/>
          <w:sz w:val="24"/>
          <w:szCs w:val="24"/>
        </w:rPr>
        <w:t>, 11 (2): 183-206.</w:t>
      </w:r>
    </w:p>
    <w:p w:rsidR="009813EA" w:rsidRDefault="009813EA" w:rsidP="00AC722C">
      <w:pPr>
        <w:pStyle w:val="Normal1"/>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FAO (2004). ¨Reglamentos a nivel mundial para las </w:t>
      </w:r>
      <w:proofErr w:type="spellStart"/>
      <w:r>
        <w:rPr>
          <w:rFonts w:ascii="Times New Roman" w:hAnsi="Times New Roman" w:cs="Times New Roman"/>
          <w:sz w:val="24"/>
          <w:szCs w:val="24"/>
        </w:rPr>
        <w:t>micotoxinas</w:t>
      </w:r>
      <w:proofErr w:type="spellEnd"/>
      <w:r>
        <w:rPr>
          <w:rFonts w:ascii="Times New Roman" w:hAnsi="Times New Roman" w:cs="Times New Roman"/>
          <w:sz w:val="24"/>
          <w:szCs w:val="24"/>
        </w:rPr>
        <w:t xml:space="preserve"> en los alimentos y en las raciones en el año 2003¨ Informe de la Organización de las Naciones Unidas para la Alimentación y la Agricultura. Estudio FAO: Alimentación y Nutrición.</w:t>
      </w:r>
    </w:p>
    <w:p w:rsidR="009813EA" w:rsidRDefault="009813EA" w:rsidP="00AC722C">
      <w:pPr>
        <w:pStyle w:val="Normal1"/>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FAO (2006). ¨Un café más sano¨. Revista Enfoques. </w:t>
      </w:r>
      <w:r w:rsidR="00DD3E4B">
        <w:rPr>
          <w:rFonts w:ascii="Times New Roman" w:hAnsi="Times New Roman" w:cs="Times New Roman"/>
          <w:sz w:val="24"/>
          <w:szCs w:val="24"/>
        </w:rPr>
        <w:t>J</w:t>
      </w:r>
      <w:r>
        <w:rPr>
          <w:rFonts w:ascii="Times New Roman" w:hAnsi="Times New Roman" w:cs="Times New Roman"/>
          <w:sz w:val="24"/>
          <w:szCs w:val="24"/>
        </w:rPr>
        <w:t>ulio</w:t>
      </w:r>
      <w:r w:rsidR="00DD3E4B">
        <w:rPr>
          <w:rFonts w:ascii="Times New Roman" w:hAnsi="Times New Roman" w:cs="Times New Roman"/>
          <w:sz w:val="24"/>
          <w:szCs w:val="24"/>
        </w:rPr>
        <w:t>.</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r w:rsidRPr="00C0417E">
        <w:rPr>
          <w:rFonts w:ascii="Times New Roman" w:hAnsi="Times New Roman" w:cs="Times New Roman"/>
          <w:color w:val="222222"/>
          <w:sz w:val="24"/>
          <w:szCs w:val="24"/>
          <w:shd w:val="clear" w:color="auto" w:fill="FFFFFF"/>
          <w:lang w:val="en-US"/>
        </w:rPr>
        <w:t>Ferjani</w:t>
      </w:r>
      <w:proofErr w:type="spellEnd"/>
      <w:r w:rsidRPr="00C0417E">
        <w:rPr>
          <w:rFonts w:ascii="Times New Roman" w:hAnsi="Times New Roman" w:cs="Times New Roman"/>
          <w:color w:val="222222"/>
          <w:sz w:val="24"/>
          <w:szCs w:val="24"/>
          <w:shd w:val="clear" w:color="auto" w:fill="FFFFFF"/>
          <w:lang w:val="en-US"/>
        </w:rPr>
        <w:t xml:space="preserve">, Ali (2011). “Environmental regulation and productivity: A data envelopment analysis for Swiss dairy </w:t>
      </w:r>
      <w:proofErr w:type="spellStart"/>
      <w:r w:rsidRPr="00C0417E">
        <w:rPr>
          <w:rFonts w:ascii="Times New Roman" w:hAnsi="Times New Roman" w:cs="Times New Roman"/>
          <w:color w:val="222222"/>
          <w:sz w:val="24"/>
          <w:szCs w:val="24"/>
          <w:shd w:val="clear" w:color="auto" w:fill="FFFFFF"/>
          <w:lang w:val="en-US"/>
        </w:rPr>
        <w:t>faros”.</w:t>
      </w:r>
      <w:r w:rsidRPr="00C0417E">
        <w:rPr>
          <w:rFonts w:ascii="Times New Roman" w:hAnsi="Times New Roman" w:cs="Times New Roman"/>
          <w:i/>
          <w:iCs/>
          <w:color w:val="222222"/>
          <w:sz w:val="24"/>
          <w:szCs w:val="24"/>
          <w:shd w:val="clear" w:color="auto" w:fill="FFFFFF"/>
          <w:lang w:val="en-US"/>
        </w:rPr>
        <w:t>Agricultural</w:t>
      </w:r>
      <w:proofErr w:type="spellEnd"/>
      <w:r w:rsidRPr="00C0417E">
        <w:rPr>
          <w:rFonts w:ascii="Times New Roman" w:hAnsi="Times New Roman" w:cs="Times New Roman"/>
          <w:i/>
          <w:iCs/>
          <w:color w:val="222222"/>
          <w:sz w:val="24"/>
          <w:szCs w:val="24"/>
          <w:shd w:val="clear" w:color="auto" w:fill="FFFFFF"/>
          <w:lang w:val="en-US"/>
        </w:rPr>
        <w:t xml:space="preserve"> Economics Review</w:t>
      </w:r>
      <w:r w:rsidR="007E6FAC">
        <w:rPr>
          <w:rFonts w:ascii="Times New Roman" w:hAnsi="Times New Roman" w:cs="Times New Roman"/>
          <w:i/>
          <w:iCs/>
          <w:color w:val="222222"/>
          <w:sz w:val="24"/>
          <w:szCs w:val="24"/>
          <w:shd w:val="clear" w:color="auto" w:fill="FFFFFF"/>
          <w:lang w:val="en-US"/>
        </w:rPr>
        <w:t xml:space="preserve">, </w:t>
      </w:r>
      <w:r w:rsidRPr="00C0417E">
        <w:rPr>
          <w:rFonts w:ascii="Times New Roman" w:hAnsi="Times New Roman" w:cs="Times New Roman"/>
          <w:iCs/>
          <w:color w:val="222222"/>
          <w:sz w:val="24"/>
          <w:szCs w:val="24"/>
          <w:shd w:val="clear" w:color="auto" w:fill="FFFFFF"/>
          <w:lang w:val="en-US"/>
        </w:rPr>
        <w:t>12 (1): 45-55.</w:t>
      </w:r>
    </w:p>
    <w:p w:rsidR="009813EA" w:rsidRDefault="009813EA" w:rsidP="00AC722C">
      <w:pPr>
        <w:pStyle w:val="Normal1"/>
        <w:spacing w:after="120" w:line="240" w:lineRule="auto"/>
        <w:jc w:val="both"/>
        <w:rPr>
          <w:rFonts w:ascii="Times New Roman" w:hAnsi="Times New Roman" w:cs="Times New Roman"/>
          <w:sz w:val="24"/>
          <w:szCs w:val="24"/>
        </w:rPr>
      </w:pPr>
      <w:proofErr w:type="spellStart"/>
      <w:r w:rsidRPr="00C0417E">
        <w:rPr>
          <w:rFonts w:ascii="Times New Roman" w:hAnsi="Times New Roman" w:cs="Times New Roman"/>
          <w:sz w:val="24"/>
          <w:szCs w:val="24"/>
          <w:lang w:val="en-US"/>
        </w:rPr>
        <w:t>Fikru</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Mahelet</w:t>
      </w:r>
      <w:proofErr w:type="spellEnd"/>
      <w:r w:rsidRPr="00C0417E">
        <w:rPr>
          <w:rFonts w:ascii="Times New Roman" w:hAnsi="Times New Roman" w:cs="Times New Roman"/>
          <w:sz w:val="24"/>
          <w:szCs w:val="24"/>
          <w:lang w:val="en-US"/>
        </w:rPr>
        <w:t xml:space="preserve"> (2014). “International certification in developing countries: The role of internal and external institutional pressure”. </w:t>
      </w:r>
      <w:proofErr w:type="spellStart"/>
      <w:r w:rsidRPr="0070168D">
        <w:rPr>
          <w:rFonts w:ascii="Times New Roman" w:hAnsi="Times New Roman" w:cs="Times New Roman"/>
          <w:i/>
          <w:sz w:val="24"/>
          <w:szCs w:val="24"/>
        </w:rPr>
        <w:t>Journal</w:t>
      </w:r>
      <w:proofErr w:type="spellEnd"/>
      <w:r w:rsidRPr="0070168D">
        <w:rPr>
          <w:rFonts w:ascii="Times New Roman" w:hAnsi="Times New Roman" w:cs="Times New Roman"/>
          <w:i/>
          <w:sz w:val="24"/>
          <w:szCs w:val="24"/>
        </w:rPr>
        <w:t xml:space="preserve"> of </w:t>
      </w:r>
      <w:proofErr w:type="spellStart"/>
      <w:r w:rsidRPr="0070168D">
        <w:rPr>
          <w:rFonts w:ascii="Times New Roman" w:hAnsi="Times New Roman" w:cs="Times New Roman"/>
          <w:i/>
          <w:sz w:val="24"/>
          <w:szCs w:val="24"/>
        </w:rPr>
        <w:t>Environmental</w:t>
      </w:r>
      <w:proofErr w:type="spellEnd"/>
      <w:r w:rsidRPr="0070168D">
        <w:rPr>
          <w:rFonts w:ascii="Times New Roman" w:hAnsi="Times New Roman" w:cs="Times New Roman"/>
          <w:i/>
          <w:sz w:val="24"/>
          <w:szCs w:val="24"/>
        </w:rPr>
        <w:t xml:space="preserve"> Management</w:t>
      </w:r>
      <w:r w:rsidRPr="00D438F8">
        <w:rPr>
          <w:rFonts w:ascii="Times New Roman" w:hAnsi="Times New Roman" w:cs="Times New Roman"/>
          <w:sz w:val="24"/>
          <w:szCs w:val="24"/>
        </w:rPr>
        <w:t>, 144</w:t>
      </w:r>
      <w:r>
        <w:rPr>
          <w:rFonts w:ascii="Times New Roman" w:hAnsi="Times New Roman" w:cs="Times New Roman"/>
          <w:sz w:val="24"/>
          <w:szCs w:val="24"/>
        </w:rPr>
        <w:t>:</w:t>
      </w:r>
      <w:r w:rsidRPr="00D438F8">
        <w:rPr>
          <w:rFonts w:ascii="Times New Roman" w:hAnsi="Times New Roman" w:cs="Times New Roman"/>
          <w:sz w:val="24"/>
          <w:szCs w:val="24"/>
        </w:rPr>
        <w:t xml:space="preserve"> 286-296.</w:t>
      </w:r>
      <w:r>
        <w:rPr>
          <w:rFonts w:ascii="Times New Roman" w:hAnsi="Times New Roman" w:cs="Times New Roman"/>
          <w:sz w:val="24"/>
          <w:szCs w:val="24"/>
        </w:rPr>
        <w:t xml:space="preserve"> </w:t>
      </w:r>
    </w:p>
    <w:p w:rsidR="009813EA" w:rsidRDefault="009813EA" w:rsidP="00AC722C">
      <w:pPr>
        <w:pStyle w:val="Normal1"/>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Galperín</w:t>
      </w:r>
      <w:proofErr w:type="spellEnd"/>
      <w:r>
        <w:rPr>
          <w:rFonts w:ascii="Times New Roman" w:hAnsi="Times New Roman" w:cs="Times New Roman"/>
          <w:sz w:val="24"/>
          <w:szCs w:val="24"/>
        </w:rPr>
        <w:t xml:space="preserve">, Carlos (2013). “El impacto de las medidas sanitarias y fitosanitarias y de los </w:t>
      </w:r>
      <w:proofErr w:type="spellStart"/>
      <w:r>
        <w:rPr>
          <w:rFonts w:ascii="Times New Roman" w:hAnsi="Times New Roman" w:cs="Times New Roman"/>
          <w:sz w:val="24"/>
          <w:szCs w:val="24"/>
        </w:rPr>
        <w:t>reglametnos</w:t>
      </w:r>
      <w:proofErr w:type="spellEnd"/>
      <w:r>
        <w:rPr>
          <w:rFonts w:ascii="Times New Roman" w:hAnsi="Times New Roman" w:cs="Times New Roman"/>
          <w:sz w:val="24"/>
          <w:szCs w:val="24"/>
        </w:rPr>
        <w:t xml:space="preserve"> técnicos sobre las </w:t>
      </w:r>
      <w:proofErr w:type="spellStart"/>
      <w:r>
        <w:rPr>
          <w:rFonts w:ascii="Times New Roman" w:hAnsi="Times New Roman" w:cs="Times New Roman"/>
          <w:sz w:val="24"/>
          <w:szCs w:val="24"/>
        </w:rPr>
        <w:t>exportacioines</w:t>
      </w:r>
      <w:proofErr w:type="spellEnd"/>
      <w:r>
        <w:rPr>
          <w:rFonts w:ascii="Times New Roman" w:hAnsi="Times New Roman" w:cs="Times New Roman"/>
          <w:sz w:val="24"/>
          <w:szCs w:val="24"/>
        </w:rPr>
        <w:t xml:space="preserve"> agrícolas: una revisión de los estudios cuantitativos”. </w:t>
      </w:r>
      <w:r>
        <w:rPr>
          <w:rFonts w:ascii="Times New Roman" w:hAnsi="Times New Roman" w:cs="Times New Roman"/>
          <w:i/>
          <w:sz w:val="24"/>
          <w:szCs w:val="24"/>
        </w:rPr>
        <w:t>Notas del CEI</w:t>
      </w:r>
      <w:r>
        <w:rPr>
          <w:rFonts w:ascii="Times New Roman" w:hAnsi="Times New Roman" w:cs="Times New Roman"/>
          <w:sz w:val="24"/>
          <w:szCs w:val="24"/>
        </w:rPr>
        <w:t>, 32.</w:t>
      </w:r>
    </w:p>
    <w:p w:rsidR="009813EA" w:rsidRPr="00DF00EE" w:rsidRDefault="009813EA" w:rsidP="00AC722C">
      <w:pPr>
        <w:pStyle w:val="Normal1"/>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Galperín</w:t>
      </w:r>
      <w:proofErr w:type="spellEnd"/>
      <w:r>
        <w:rPr>
          <w:rFonts w:ascii="Times New Roman" w:hAnsi="Times New Roman" w:cs="Times New Roman"/>
          <w:sz w:val="24"/>
          <w:szCs w:val="24"/>
        </w:rPr>
        <w:t>, Carlos</w:t>
      </w:r>
      <w:r w:rsidRPr="00DF00EE">
        <w:rPr>
          <w:rFonts w:ascii="Times New Roman" w:hAnsi="Times New Roman" w:cs="Times New Roman"/>
          <w:sz w:val="24"/>
          <w:szCs w:val="24"/>
        </w:rPr>
        <w:t xml:space="preserve"> </w:t>
      </w:r>
      <w:r>
        <w:rPr>
          <w:rFonts w:ascii="Times New Roman" w:hAnsi="Times New Roman" w:cs="Times New Roman"/>
          <w:sz w:val="24"/>
          <w:szCs w:val="24"/>
        </w:rPr>
        <w:t>y Guillermo</w:t>
      </w:r>
      <w:r w:rsidRPr="00DF00EE">
        <w:rPr>
          <w:rFonts w:ascii="Times New Roman" w:hAnsi="Times New Roman" w:cs="Times New Roman"/>
          <w:sz w:val="24"/>
          <w:szCs w:val="24"/>
        </w:rPr>
        <w:t xml:space="preserve"> </w:t>
      </w:r>
      <w:proofErr w:type="spellStart"/>
      <w:r w:rsidRPr="00DF00EE">
        <w:rPr>
          <w:rFonts w:ascii="Times New Roman" w:hAnsi="Times New Roman" w:cs="Times New Roman"/>
          <w:sz w:val="24"/>
          <w:szCs w:val="24"/>
        </w:rPr>
        <w:t>Perez</w:t>
      </w:r>
      <w:proofErr w:type="spellEnd"/>
      <w:r w:rsidRPr="00DF00EE">
        <w:rPr>
          <w:rFonts w:ascii="Times New Roman" w:hAnsi="Times New Roman" w:cs="Times New Roman"/>
          <w:sz w:val="24"/>
          <w:szCs w:val="24"/>
        </w:rPr>
        <w:t xml:space="preserve"> (2004). </w:t>
      </w:r>
      <w:r>
        <w:rPr>
          <w:rFonts w:ascii="Times New Roman" w:hAnsi="Times New Roman" w:cs="Times New Roman"/>
          <w:sz w:val="24"/>
          <w:szCs w:val="24"/>
        </w:rPr>
        <w:t>“</w:t>
      </w:r>
      <w:r w:rsidRPr="00DF00EE">
        <w:rPr>
          <w:rFonts w:ascii="Times New Roman" w:hAnsi="Times New Roman" w:cs="Times New Roman"/>
          <w:sz w:val="24"/>
          <w:szCs w:val="24"/>
        </w:rPr>
        <w:t>Los complejos de manzanas y peras de la Argentina y los requisitos sanitarios y ambientales: un análisis de fragilidad</w:t>
      </w:r>
      <w:r>
        <w:rPr>
          <w:rFonts w:ascii="Times New Roman" w:hAnsi="Times New Roman" w:cs="Times New Roman"/>
          <w:sz w:val="24"/>
          <w:szCs w:val="24"/>
        </w:rPr>
        <w:t>”</w:t>
      </w:r>
      <w:r w:rsidRPr="00DF00EE">
        <w:rPr>
          <w:rFonts w:ascii="Times New Roman" w:hAnsi="Times New Roman" w:cs="Times New Roman"/>
          <w:sz w:val="24"/>
          <w:szCs w:val="24"/>
        </w:rPr>
        <w:t>.</w:t>
      </w:r>
      <w:r>
        <w:rPr>
          <w:rFonts w:ascii="Times New Roman" w:hAnsi="Times New Roman" w:cs="Times New Roman"/>
          <w:sz w:val="24"/>
          <w:szCs w:val="24"/>
        </w:rPr>
        <w:t xml:space="preserve"> DT UB 118.</w:t>
      </w:r>
    </w:p>
    <w:p w:rsidR="009813EA" w:rsidRDefault="009813EA" w:rsidP="00AC722C">
      <w:pPr>
        <w:pStyle w:val="Normal1"/>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GlobalG:A:P</w:t>
      </w:r>
      <w:proofErr w:type="spellEnd"/>
      <w:r>
        <w:rPr>
          <w:rFonts w:ascii="Times New Roman" w:hAnsi="Times New Roman" w:cs="Times New Roman"/>
          <w:sz w:val="24"/>
          <w:szCs w:val="24"/>
        </w:rPr>
        <w:t>: (2019). “</w:t>
      </w:r>
      <w:r w:rsidRPr="000D60F1">
        <w:rPr>
          <w:rFonts w:ascii="Times New Roman" w:hAnsi="Times New Roman" w:cs="Times New Roman"/>
          <w:sz w:val="24"/>
          <w:szCs w:val="24"/>
        </w:rPr>
        <w:t>Cultivando el futuro del planeta</w:t>
      </w:r>
      <w:r>
        <w:rPr>
          <w:rFonts w:ascii="Times New Roman" w:hAnsi="Times New Roman" w:cs="Times New Roman"/>
          <w:sz w:val="24"/>
          <w:szCs w:val="24"/>
        </w:rPr>
        <w:t xml:space="preserve">”. En: </w:t>
      </w:r>
      <w:hyperlink r:id="rId19" w:history="1">
        <w:r w:rsidRPr="00BF781D">
          <w:rPr>
            <w:rStyle w:val="Hipervnculo"/>
            <w:rFonts w:ascii="Times New Roman" w:hAnsi="Times New Roman"/>
            <w:sz w:val="24"/>
            <w:szCs w:val="24"/>
          </w:rPr>
          <w:t>https://www.globalgap.org/es/what-we-do/globalg.a.p.-certification/globalg.a.p./</w:t>
        </w:r>
      </w:hyperlink>
      <w:r>
        <w:rPr>
          <w:rFonts w:ascii="Times New Roman" w:hAnsi="Times New Roman" w:cs="Times New Roman"/>
          <w:sz w:val="24"/>
          <w:szCs w:val="24"/>
        </w:rPr>
        <w:t xml:space="preserve"> (24 de agosto de 2019).</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r w:rsidRPr="00B62C10">
        <w:rPr>
          <w:rFonts w:ascii="Times New Roman" w:hAnsi="Times New Roman" w:cs="Times New Roman"/>
          <w:color w:val="222222"/>
          <w:sz w:val="24"/>
          <w:szCs w:val="24"/>
          <w:shd w:val="clear" w:color="auto" w:fill="FFFFFF"/>
        </w:rPr>
        <w:t>Huiban</w:t>
      </w:r>
      <w:proofErr w:type="spellEnd"/>
      <w:r w:rsidRPr="00B62C10">
        <w:rPr>
          <w:rFonts w:ascii="Times New Roman" w:hAnsi="Times New Roman" w:cs="Times New Roman"/>
          <w:color w:val="222222"/>
          <w:sz w:val="24"/>
          <w:szCs w:val="24"/>
          <w:shd w:val="clear" w:color="auto" w:fill="FFFFFF"/>
        </w:rPr>
        <w:t xml:space="preserve">, Jean-Pierre y Antonio </w:t>
      </w:r>
      <w:proofErr w:type="spellStart"/>
      <w:r w:rsidRPr="00B62C10">
        <w:rPr>
          <w:rFonts w:ascii="Times New Roman" w:hAnsi="Times New Roman" w:cs="Times New Roman"/>
          <w:color w:val="222222"/>
          <w:sz w:val="24"/>
          <w:szCs w:val="24"/>
          <w:shd w:val="clear" w:color="auto" w:fill="FFFFFF"/>
        </w:rPr>
        <w:t>Musolesi</w:t>
      </w:r>
      <w:proofErr w:type="spellEnd"/>
      <w:r w:rsidRPr="00B62C10">
        <w:rPr>
          <w:rFonts w:ascii="Times New Roman" w:hAnsi="Times New Roman" w:cs="Times New Roman"/>
          <w:color w:val="222222"/>
          <w:sz w:val="24"/>
          <w:szCs w:val="24"/>
          <w:shd w:val="clear" w:color="auto" w:fill="FFFFFF"/>
        </w:rPr>
        <w:t xml:space="preserve"> (2012). </w:t>
      </w:r>
      <w:r w:rsidRPr="00B62C10">
        <w:rPr>
          <w:rFonts w:ascii="Times New Roman" w:hAnsi="Times New Roman" w:cs="Times New Roman"/>
          <w:color w:val="222222"/>
          <w:sz w:val="24"/>
          <w:szCs w:val="24"/>
        </w:rPr>
        <w:t> </w:t>
      </w:r>
      <w:r w:rsidRPr="00C0417E">
        <w:rPr>
          <w:rFonts w:ascii="Times New Roman" w:hAnsi="Times New Roman" w:cs="Times New Roman"/>
          <w:i/>
          <w:iCs/>
          <w:color w:val="222222"/>
          <w:sz w:val="24"/>
          <w:szCs w:val="24"/>
          <w:shd w:val="clear" w:color="auto" w:fill="FFFFFF"/>
          <w:lang w:val="en-US"/>
        </w:rPr>
        <w:t xml:space="preserve">Augmenting the production function with knowledge capital to test the Porter hypothesis: the case of French food </w:t>
      </w:r>
      <w:proofErr w:type="gramStart"/>
      <w:r w:rsidRPr="00C0417E">
        <w:rPr>
          <w:rFonts w:ascii="Times New Roman" w:hAnsi="Times New Roman" w:cs="Times New Roman"/>
          <w:i/>
          <w:iCs/>
          <w:color w:val="222222"/>
          <w:sz w:val="24"/>
          <w:szCs w:val="24"/>
          <w:shd w:val="clear" w:color="auto" w:fill="FFFFFF"/>
          <w:lang w:val="en-US"/>
        </w:rPr>
        <w:t>industries</w:t>
      </w:r>
      <w:r w:rsidRPr="00C0417E">
        <w:rPr>
          <w:rFonts w:ascii="Times New Roman" w:hAnsi="Times New Roman" w:cs="Times New Roman"/>
          <w:color w:val="222222"/>
          <w:sz w:val="24"/>
          <w:szCs w:val="24"/>
          <w:lang w:val="en-US"/>
        </w:rPr>
        <w:t> .</w:t>
      </w:r>
      <w:proofErr w:type="gramEnd"/>
      <w:r w:rsidRPr="00C0417E">
        <w:rPr>
          <w:rFonts w:ascii="Times New Roman" w:hAnsi="Times New Roman" w:cs="Times New Roman"/>
          <w:color w:val="222222"/>
          <w:sz w:val="24"/>
          <w:szCs w:val="24"/>
          <w:lang w:val="en-US"/>
        </w:rPr>
        <w:t xml:space="preserve"> Working Paper ALISS 2012-08. </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r w:rsidRPr="00C0417E">
        <w:rPr>
          <w:rFonts w:ascii="Times New Roman" w:hAnsi="Times New Roman" w:cs="Times New Roman"/>
          <w:sz w:val="24"/>
          <w:szCs w:val="24"/>
          <w:lang w:val="en-US"/>
        </w:rPr>
        <w:t xml:space="preserve">Jaffe, Adam, Steven Peterson, Paul </w:t>
      </w:r>
      <w:proofErr w:type="spellStart"/>
      <w:r w:rsidRPr="00C0417E">
        <w:rPr>
          <w:rFonts w:ascii="Times New Roman" w:hAnsi="Times New Roman" w:cs="Times New Roman"/>
          <w:sz w:val="24"/>
          <w:szCs w:val="24"/>
          <w:lang w:val="en-US"/>
        </w:rPr>
        <w:t>Portney</w:t>
      </w:r>
      <w:proofErr w:type="spellEnd"/>
      <w:r w:rsidRPr="00C0417E">
        <w:rPr>
          <w:rFonts w:ascii="Times New Roman" w:hAnsi="Times New Roman" w:cs="Times New Roman"/>
          <w:sz w:val="24"/>
          <w:szCs w:val="24"/>
          <w:lang w:val="en-US"/>
        </w:rPr>
        <w:t xml:space="preserve"> y Robert </w:t>
      </w:r>
      <w:proofErr w:type="spellStart"/>
      <w:r w:rsidRPr="00C0417E">
        <w:rPr>
          <w:rFonts w:ascii="Times New Roman" w:hAnsi="Times New Roman" w:cs="Times New Roman"/>
          <w:sz w:val="24"/>
          <w:szCs w:val="24"/>
          <w:lang w:val="en-US"/>
        </w:rPr>
        <w:t>Stavins</w:t>
      </w:r>
      <w:proofErr w:type="spellEnd"/>
      <w:r w:rsidRPr="00C0417E">
        <w:rPr>
          <w:rFonts w:ascii="Times New Roman" w:hAnsi="Times New Roman" w:cs="Times New Roman"/>
          <w:sz w:val="24"/>
          <w:szCs w:val="24"/>
          <w:lang w:val="en-US"/>
        </w:rPr>
        <w:t xml:space="preserve"> (1995). “Environmental regulation and the competitiveness of U.S. manufacturing: What does the evidence tell us?</w:t>
      </w:r>
      <w:proofErr w:type="gramStart"/>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sz w:val="24"/>
          <w:szCs w:val="24"/>
          <w:lang w:val="en-US"/>
        </w:rPr>
        <w:t>Journal of Economic Literature</w:t>
      </w:r>
      <w:r w:rsidRPr="00C0417E">
        <w:rPr>
          <w:rFonts w:ascii="Times New Roman" w:hAnsi="Times New Roman" w:cs="Times New Roman"/>
          <w:sz w:val="24"/>
          <w:szCs w:val="24"/>
          <w:lang w:val="en-US"/>
        </w:rPr>
        <w:t>, 33: 132-163.</w:t>
      </w:r>
    </w:p>
    <w:p w:rsidR="009813EA" w:rsidRDefault="009813EA" w:rsidP="00AC722C">
      <w:pPr>
        <w:pStyle w:val="Normal1"/>
        <w:spacing w:after="120" w:line="240" w:lineRule="auto"/>
        <w:jc w:val="both"/>
        <w:rPr>
          <w:rFonts w:ascii="Times New Roman" w:hAnsi="Times New Roman" w:cs="Times New Roman"/>
          <w:sz w:val="24"/>
          <w:szCs w:val="24"/>
        </w:rPr>
      </w:pPr>
      <w:proofErr w:type="spellStart"/>
      <w:r w:rsidRPr="00C0417E">
        <w:rPr>
          <w:rFonts w:ascii="Times New Roman" w:hAnsi="Times New Roman" w:cs="Times New Roman"/>
          <w:sz w:val="24"/>
          <w:szCs w:val="24"/>
          <w:lang w:val="en-US"/>
        </w:rPr>
        <w:lastRenderedPageBreak/>
        <w:t>Josling</w:t>
      </w:r>
      <w:proofErr w:type="spellEnd"/>
      <w:r w:rsidRPr="00C0417E">
        <w:rPr>
          <w:rFonts w:ascii="Times New Roman" w:hAnsi="Times New Roman" w:cs="Times New Roman"/>
          <w:sz w:val="24"/>
          <w:szCs w:val="24"/>
          <w:lang w:val="en-US"/>
        </w:rPr>
        <w:t xml:space="preserve">, Timothy, Donna Roberts y David </w:t>
      </w:r>
      <w:proofErr w:type="spellStart"/>
      <w:r w:rsidRPr="00C0417E">
        <w:rPr>
          <w:rFonts w:ascii="Times New Roman" w:hAnsi="Times New Roman" w:cs="Times New Roman"/>
          <w:sz w:val="24"/>
          <w:szCs w:val="24"/>
          <w:lang w:val="en-US"/>
        </w:rPr>
        <w:t>Orden</w:t>
      </w:r>
      <w:proofErr w:type="spellEnd"/>
      <w:r w:rsidRPr="00C0417E">
        <w:rPr>
          <w:rFonts w:ascii="Times New Roman" w:hAnsi="Times New Roman" w:cs="Times New Roman"/>
          <w:sz w:val="24"/>
          <w:szCs w:val="24"/>
          <w:lang w:val="en-US"/>
        </w:rPr>
        <w:t xml:space="preserve"> (2004). </w:t>
      </w:r>
      <w:proofErr w:type="gramStart"/>
      <w:r w:rsidRPr="00C0417E">
        <w:rPr>
          <w:rFonts w:ascii="Times New Roman" w:hAnsi="Times New Roman" w:cs="Times New Roman"/>
          <w:sz w:val="24"/>
          <w:szCs w:val="24"/>
          <w:lang w:val="en-US"/>
        </w:rPr>
        <w:t>"Food regulation and trade: toward a safe and open global system - an overview and synopsis".</w:t>
      </w:r>
      <w:proofErr w:type="gramEnd"/>
      <w:r w:rsidRPr="00C0417E">
        <w:rPr>
          <w:rFonts w:ascii="Times New Roman" w:hAnsi="Times New Roman" w:cs="Times New Roman"/>
          <w:sz w:val="24"/>
          <w:szCs w:val="24"/>
          <w:lang w:val="en-US"/>
        </w:rPr>
        <w:t xml:space="preserve"> </w:t>
      </w:r>
      <w:r>
        <w:rPr>
          <w:rFonts w:ascii="Times New Roman" w:hAnsi="Times New Roman" w:cs="Times New Roman"/>
          <w:sz w:val="24"/>
          <w:szCs w:val="24"/>
        </w:rPr>
        <w:t xml:space="preserve">Trabajo presentado en la Reunión Anual 2004 de la American </w:t>
      </w:r>
      <w:proofErr w:type="spellStart"/>
      <w:r>
        <w:rPr>
          <w:rFonts w:ascii="Times New Roman" w:hAnsi="Times New Roman" w:cs="Times New Roman"/>
          <w:sz w:val="24"/>
          <w:szCs w:val="24"/>
        </w:rPr>
        <w:t>Agricultural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1 - 4 de Agosto, Denver, Estados Unidos. </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r w:rsidRPr="000333C1">
        <w:rPr>
          <w:rFonts w:ascii="Times New Roman" w:hAnsi="Times New Roman" w:cs="Times New Roman"/>
          <w:sz w:val="24"/>
          <w:szCs w:val="24"/>
        </w:rPr>
        <w:t>Kemp</w:t>
      </w:r>
      <w:proofErr w:type="spellEnd"/>
      <w:r w:rsidRPr="000333C1">
        <w:rPr>
          <w:rFonts w:ascii="Times New Roman" w:hAnsi="Times New Roman" w:cs="Times New Roman"/>
          <w:sz w:val="24"/>
          <w:szCs w:val="24"/>
        </w:rPr>
        <w:t>, R</w:t>
      </w:r>
      <w:r>
        <w:rPr>
          <w:rFonts w:ascii="Times New Roman" w:hAnsi="Times New Roman" w:cs="Times New Roman"/>
          <w:sz w:val="24"/>
          <w:szCs w:val="24"/>
        </w:rPr>
        <w:t>ené</w:t>
      </w:r>
      <w:r w:rsidRPr="000333C1">
        <w:rPr>
          <w:rFonts w:ascii="Times New Roman" w:hAnsi="Times New Roman" w:cs="Times New Roman"/>
          <w:sz w:val="24"/>
          <w:szCs w:val="24"/>
        </w:rPr>
        <w:t xml:space="preserve"> </w:t>
      </w:r>
      <w:r>
        <w:rPr>
          <w:rFonts w:ascii="Times New Roman" w:hAnsi="Times New Roman" w:cs="Times New Roman"/>
          <w:sz w:val="24"/>
          <w:szCs w:val="24"/>
        </w:rPr>
        <w:t>y Serena</w:t>
      </w:r>
      <w:r w:rsidRPr="000333C1">
        <w:rPr>
          <w:rFonts w:ascii="Times New Roman" w:hAnsi="Times New Roman" w:cs="Times New Roman"/>
          <w:sz w:val="24"/>
          <w:szCs w:val="24"/>
        </w:rPr>
        <w:t xml:space="preserve"> </w:t>
      </w:r>
      <w:proofErr w:type="spellStart"/>
      <w:r w:rsidRPr="000333C1">
        <w:rPr>
          <w:rFonts w:ascii="Times New Roman" w:hAnsi="Times New Roman" w:cs="Times New Roman"/>
          <w:sz w:val="24"/>
          <w:szCs w:val="24"/>
        </w:rPr>
        <w:t>Pontoglio</w:t>
      </w:r>
      <w:proofErr w:type="spellEnd"/>
      <w:r w:rsidRPr="000333C1">
        <w:rPr>
          <w:rFonts w:ascii="Times New Roman" w:hAnsi="Times New Roman" w:cs="Times New Roman"/>
          <w:sz w:val="24"/>
          <w:szCs w:val="24"/>
        </w:rPr>
        <w:t xml:space="preserve"> (2011). </w:t>
      </w:r>
      <w:r w:rsidRPr="00C0417E">
        <w:rPr>
          <w:rFonts w:ascii="Times New Roman" w:hAnsi="Times New Roman" w:cs="Times New Roman"/>
          <w:sz w:val="24"/>
          <w:szCs w:val="24"/>
          <w:lang w:val="en-US"/>
        </w:rPr>
        <w:t>“The innovation effects of environmental policy instruments—A typical case of the blind men and the elephant?</w:t>
      </w:r>
      <w:proofErr w:type="gramStart"/>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sz w:val="24"/>
          <w:szCs w:val="24"/>
          <w:lang w:val="en-US"/>
        </w:rPr>
        <w:t>Ecological Economics</w:t>
      </w:r>
      <w:r w:rsidRPr="00C0417E">
        <w:rPr>
          <w:rFonts w:ascii="Times New Roman" w:hAnsi="Times New Roman" w:cs="Times New Roman"/>
          <w:sz w:val="24"/>
          <w:szCs w:val="24"/>
          <w:lang w:val="en-US"/>
        </w:rPr>
        <w:t>, 72: 28-36.</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r w:rsidRPr="00C0417E">
        <w:rPr>
          <w:rFonts w:ascii="Times New Roman" w:hAnsi="Times New Roman" w:cs="Times New Roman"/>
          <w:sz w:val="24"/>
          <w:szCs w:val="24"/>
          <w:lang w:val="en-US"/>
        </w:rPr>
        <w:t>Kirzner</w:t>
      </w:r>
      <w:proofErr w:type="spellEnd"/>
      <w:r w:rsidRPr="00C0417E">
        <w:rPr>
          <w:rFonts w:ascii="Times New Roman" w:hAnsi="Times New Roman" w:cs="Times New Roman"/>
          <w:sz w:val="24"/>
          <w:szCs w:val="24"/>
          <w:lang w:val="en-US"/>
        </w:rPr>
        <w:t xml:space="preserve">, Israel (1978). </w:t>
      </w:r>
      <w:proofErr w:type="gramStart"/>
      <w:r w:rsidRPr="00C0417E">
        <w:rPr>
          <w:rFonts w:ascii="Times New Roman" w:hAnsi="Times New Roman" w:cs="Times New Roman"/>
          <w:sz w:val="24"/>
          <w:szCs w:val="24"/>
          <w:lang w:val="en-US"/>
        </w:rPr>
        <w:t>“Economics and error”.</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 xml:space="preserve">En Louis M. </w:t>
      </w:r>
      <w:proofErr w:type="spellStart"/>
      <w:r w:rsidRPr="00C0417E">
        <w:rPr>
          <w:rFonts w:ascii="Times New Roman" w:hAnsi="Times New Roman" w:cs="Times New Roman"/>
          <w:sz w:val="24"/>
          <w:szCs w:val="24"/>
          <w:lang w:val="en-US"/>
        </w:rPr>
        <w:t>Spadaro</w:t>
      </w:r>
      <w:proofErr w:type="spellEnd"/>
      <w:r w:rsidRPr="00C0417E">
        <w:rPr>
          <w:rFonts w:ascii="Times New Roman" w:hAnsi="Times New Roman" w:cs="Times New Roman"/>
          <w:sz w:val="24"/>
          <w:szCs w:val="24"/>
          <w:lang w:val="en-US"/>
        </w:rPr>
        <w:t xml:space="preserve"> (editor), </w:t>
      </w:r>
      <w:r w:rsidRPr="00C0417E">
        <w:rPr>
          <w:rFonts w:ascii="Times New Roman" w:hAnsi="Times New Roman" w:cs="Times New Roman"/>
          <w:i/>
          <w:sz w:val="24"/>
          <w:szCs w:val="24"/>
          <w:lang w:val="en-US"/>
        </w:rPr>
        <w:t>New Directions in Austrian Economics</w:t>
      </w:r>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Kansas City: </w:t>
      </w:r>
      <w:proofErr w:type="spellStart"/>
      <w:r w:rsidRPr="00C0417E">
        <w:rPr>
          <w:rFonts w:ascii="Times New Roman" w:hAnsi="Times New Roman" w:cs="Times New Roman"/>
          <w:sz w:val="24"/>
          <w:szCs w:val="24"/>
          <w:lang w:val="en-US"/>
        </w:rPr>
        <w:t>Sheed</w:t>
      </w:r>
      <w:proofErr w:type="spellEnd"/>
      <w:r w:rsidRPr="00C0417E">
        <w:rPr>
          <w:rFonts w:ascii="Times New Roman" w:hAnsi="Times New Roman" w:cs="Times New Roman"/>
          <w:sz w:val="24"/>
          <w:szCs w:val="24"/>
          <w:lang w:val="en-US"/>
        </w:rPr>
        <w:t xml:space="preserve"> Andrews and </w:t>
      </w:r>
      <w:proofErr w:type="spellStart"/>
      <w:r w:rsidRPr="00C0417E">
        <w:rPr>
          <w:rFonts w:ascii="Times New Roman" w:hAnsi="Times New Roman" w:cs="Times New Roman"/>
          <w:sz w:val="24"/>
          <w:szCs w:val="24"/>
          <w:lang w:val="en-US"/>
        </w:rPr>
        <w:t>McMeel</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Capítulo</w:t>
      </w:r>
      <w:proofErr w:type="spellEnd"/>
      <w:r w:rsidRPr="00C0417E">
        <w:rPr>
          <w:rFonts w:ascii="Times New Roman" w:hAnsi="Times New Roman" w:cs="Times New Roman"/>
          <w:sz w:val="24"/>
          <w:szCs w:val="24"/>
          <w:lang w:val="en-US"/>
        </w:rPr>
        <w:t xml:space="preserve"> 4.</w:t>
      </w:r>
    </w:p>
    <w:p w:rsidR="009813EA" w:rsidRDefault="009813EA" w:rsidP="00AC722C">
      <w:pPr>
        <w:pStyle w:val="Normal1"/>
        <w:spacing w:after="120" w:line="240" w:lineRule="auto"/>
        <w:jc w:val="both"/>
        <w:rPr>
          <w:rFonts w:ascii="Times New Roman" w:hAnsi="Times New Roman" w:cs="Times New Roman"/>
          <w:sz w:val="24"/>
          <w:szCs w:val="24"/>
        </w:rPr>
      </w:pPr>
      <w:proofErr w:type="spellStart"/>
      <w:r w:rsidRPr="00B31098">
        <w:rPr>
          <w:rFonts w:ascii="Times New Roman" w:hAnsi="Times New Roman" w:cs="Times New Roman"/>
          <w:sz w:val="24"/>
          <w:szCs w:val="24"/>
        </w:rPr>
        <w:t>Koźluk</w:t>
      </w:r>
      <w:proofErr w:type="spellEnd"/>
      <w:r w:rsidRPr="000333C1">
        <w:rPr>
          <w:rFonts w:ascii="Times New Roman" w:hAnsi="Times New Roman" w:cs="Times New Roman"/>
          <w:sz w:val="24"/>
          <w:szCs w:val="24"/>
        </w:rPr>
        <w:t xml:space="preserve">, </w:t>
      </w:r>
      <w:proofErr w:type="spellStart"/>
      <w:r w:rsidRPr="000333C1">
        <w:rPr>
          <w:rFonts w:ascii="Times New Roman" w:hAnsi="Times New Roman" w:cs="Times New Roman"/>
          <w:sz w:val="24"/>
          <w:szCs w:val="24"/>
        </w:rPr>
        <w:t>T</w:t>
      </w:r>
      <w:r>
        <w:rPr>
          <w:rFonts w:ascii="Times New Roman" w:hAnsi="Times New Roman" w:cs="Times New Roman"/>
          <w:sz w:val="24"/>
          <w:szCs w:val="24"/>
        </w:rPr>
        <w:t>omasz</w:t>
      </w:r>
      <w:proofErr w:type="spellEnd"/>
      <w:r>
        <w:rPr>
          <w:rFonts w:ascii="Times New Roman" w:hAnsi="Times New Roman" w:cs="Times New Roman"/>
          <w:sz w:val="24"/>
          <w:szCs w:val="24"/>
        </w:rPr>
        <w:t xml:space="preserve"> y Vera </w:t>
      </w:r>
      <w:proofErr w:type="spellStart"/>
      <w:r>
        <w:rPr>
          <w:rFonts w:ascii="Times New Roman" w:hAnsi="Times New Roman" w:cs="Times New Roman"/>
          <w:sz w:val="24"/>
          <w:szCs w:val="24"/>
        </w:rPr>
        <w:t>Zipperer</w:t>
      </w:r>
      <w:proofErr w:type="spellEnd"/>
      <w:r w:rsidRPr="000333C1">
        <w:rPr>
          <w:rFonts w:ascii="Times New Roman" w:hAnsi="Times New Roman" w:cs="Times New Roman"/>
          <w:sz w:val="24"/>
          <w:szCs w:val="24"/>
        </w:rPr>
        <w:t xml:space="preserve"> (2015). </w:t>
      </w:r>
      <w:proofErr w:type="gramStart"/>
      <w:r w:rsidRPr="00C0417E">
        <w:rPr>
          <w:rFonts w:ascii="Times New Roman" w:hAnsi="Times New Roman" w:cs="Times New Roman"/>
          <w:sz w:val="24"/>
          <w:szCs w:val="24"/>
          <w:lang w:val="en-US"/>
        </w:rPr>
        <w:t>“Environmental policies and productivity growth”.</w:t>
      </w:r>
      <w:proofErr w:type="gramEnd"/>
      <w:r w:rsidRPr="00C0417E">
        <w:rPr>
          <w:rFonts w:ascii="Times New Roman" w:hAnsi="Times New Roman" w:cs="Times New Roman"/>
          <w:sz w:val="24"/>
          <w:szCs w:val="24"/>
          <w:lang w:val="en-US"/>
        </w:rPr>
        <w:t xml:space="preserve"> </w:t>
      </w:r>
      <w:r w:rsidRPr="000333C1">
        <w:rPr>
          <w:rFonts w:ascii="Times New Roman" w:hAnsi="Times New Roman" w:cs="Times New Roman"/>
          <w:i/>
          <w:sz w:val="24"/>
          <w:szCs w:val="24"/>
        </w:rPr>
        <w:t xml:space="preserve">OECD </w:t>
      </w:r>
      <w:proofErr w:type="spellStart"/>
      <w:r w:rsidRPr="000333C1">
        <w:rPr>
          <w:rFonts w:ascii="Times New Roman" w:hAnsi="Times New Roman" w:cs="Times New Roman"/>
          <w:i/>
          <w:sz w:val="24"/>
          <w:szCs w:val="24"/>
        </w:rPr>
        <w:t>Journal</w:t>
      </w:r>
      <w:proofErr w:type="spellEnd"/>
      <w:r w:rsidRPr="000333C1">
        <w:rPr>
          <w:rFonts w:ascii="Times New Roman" w:hAnsi="Times New Roman" w:cs="Times New Roman"/>
          <w:i/>
          <w:sz w:val="24"/>
          <w:szCs w:val="24"/>
        </w:rPr>
        <w:t xml:space="preserve">: </w:t>
      </w:r>
      <w:proofErr w:type="spellStart"/>
      <w:r w:rsidRPr="000333C1">
        <w:rPr>
          <w:rFonts w:ascii="Times New Roman" w:hAnsi="Times New Roman" w:cs="Times New Roman"/>
          <w:i/>
          <w:sz w:val="24"/>
          <w:szCs w:val="24"/>
        </w:rPr>
        <w:t>Economic</w:t>
      </w:r>
      <w:proofErr w:type="spellEnd"/>
      <w:r w:rsidRPr="000333C1">
        <w:rPr>
          <w:rFonts w:ascii="Times New Roman" w:hAnsi="Times New Roman" w:cs="Times New Roman"/>
          <w:i/>
          <w:sz w:val="24"/>
          <w:szCs w:val="24"/>
        </w:rPr>
        <w:t xml:space="preserve"> </w:t>
      </w:r>
      <w:proofErr w:type="spellStart"/>
      <w:r w:rsidRPr="000333C1">
        <w:rPr>
          <w:rFonts w:ascii="Times New Roman" w:hAnsi="Times New Roman" w:cs="Times New Roman"/>
          <w:i/>
          <w:sz w:val="24"/>
          <w:szCs w:val="24"/>
        </w:rPr>
        <w:t>Studies</w:t>
      </w:r>
      <w:proofErr w:type="spellEnd"/>
      <w:r w:rsidRPr="000333C1">
        <w:rPr>
          <w:rFonts w:ascii="Times New Roman" w:hAnsi="Times New Roman" w:cs="Times New Roman"/>
          <w:sz w:val="24"/>
          <w:szCs w:val="24"/>
        </w:rPr>
        <w:t>, 2014</w:t>
      </w:r>
      <w:r>
        <w:rPr>
          <w:rFonts w:ascii="Times New Roman" w:hAnsi="Times New Roman" w:cs="Times New Roman"/>
          <w:sz w:val="24"/>
          <w:szCs w:val="24"/>
        </w:rPr>
        <w:t xml:space="preserve"> </w:t>
      </w:r>
      <w:r w:rsidRPr="000333C1">
        <w:rPr>
          <w:rFonts w:ascii="Times New Roman" w:hAnsi="Times New Roman" w:cs="Times New Roman"/>
          <w:sz w:val="24"/>
          <w:szCs w:val="24"/>
        </w:rPr>
        <w:t>(1), 155-185.</w:t>
      </w:r>
    </w:p>
    <w:p w:rsidR="009813EA" w:rsidRPr="00C0417E" w:rsidRDefault="009813EA" w:rsidP="00AC722C">
      <w:pPr>
        <w:pStyle w:val="Normal1"/>
        <w:spacing w:after="120" w:line="240" w:lineRule="auto"/>
        <w:jc w:val="both"/>
        <w:rPr>
          <w:rFonts w:ascii="Times New Roman" w:hAnsi="Times New Roman" w:cs="Times New Roman"/>
          <w:color w:val="222222"/>
          <w:sz w:val="24"/>
          <w:szCs w:val="24"/>
          <w:shd w:val="clear" w:color="auto" w:fill="FFFFFF"/>
          <w:lang w:val="en-US"/>
        </w:rPr>
      </w:pPr>
      <w:proofErr w:type="spellStart"/>
      <w:r w:rsidRPr="004534C4">
        <w:rPr>
          <w:rFonts w:ascii="Times New Roman" w:hAnsi="Times New Roman" w:cs="Times New Roman"/>
          <w:color w:val="222222"/>
          <w:sz w:val="24"/>
          <w:szCs w:val="24"/>
          <w:shd w:val="clear" w:color="auto" w:fill="FFFFFF"/>
        </w:rPr>
        <w:t>Leibenstein</w:t>
      </w:r>
      <w:proofErr w:type="spellEnd"/>
      <w:r w:rsidRPr="004534C4">
        <w:rPr>
          <w:rFonts w:ascii="Times New Roman" w:hAnsi="Times New Roman" w:cs="Times New Roman"/>
          <w:color w:val="222222"/>
          <w:sz w:val="24"/>
          <w:szCs w:val="24"/>
          <w:shd w:val="clear" w:color="auto" w:fill="FFFFFF"/>
        </w:rPr>
        <w:t xml:space="preserve">, Harvey (1980). “Microeconomía y teoría de la eficiencia X; sino hay crisis, debería haberla”. En Daniel Bell e Irving </w:t>
      </w:r>
      <w:proofErr w:type="spellStart"/>
      <w:r w:rsidRPr="004534C4">
        <w:rPr>
          <w:rFonts w:ascii="Times New Roman" w:hAnsi="Times New Roman" w:cs="Times New Roman"/>
          <w:color w:val="222222"/>
          <w:sz w:val="24"/>
          <w:szCs w:val="24"/>
          <w:shd w:val="clear" w:color="auto" w:fill="FFFFFF"/>
        </w:rPr>
        <w:t>Kristol</w:t>
      </w:r>
      <w:proofErr w:type="spellEnd"/>
      <w:r w:rsidRPr="004534C4">
        <w:rPr>
          <w:rFonts w:ascii="Times New Roman" w:hAnsi="Times New Roman" w:cs="Times New Roman"/>
          <w:color w:val="222222"/>
          <w:sz w:val="24"/>
          <w:szCs w:val="24"/>
          <w:shd w:val="clear" w:color="auto" w:fill="FFFFFF"/>
        </w:rPr>
        <w:t xml:space="preserve"> (editores). </w:t>
      </w:r>
      <w:r w:rsidRPr="004534C4">
        <w:rPr>
          <w:rFonts w:ascii="Times New Roman" w:hAnsi="Times New Roman" w:cs="Times New Roman"/>
          <w:i/>
          <w:color w:val="222222"/>
          <w:sz w:val="24"/>
          <w:szCs w:val="24"/>
          <w:shd w:val="clear" w:color="auto" w:fill="FFFFFF"/>
        </w:rPr>
        <w:t>La crisis en la teoría econ</w:t>
      </w:r>
      <w:r w:rsidRPr="004534C4">
        <w:rPr>
          <w:rFonts w:ascii="Times New Roman" w:hAnsi="Times New Roman" w:cs="Times New Roman"/>
          <w:color w:val="222222"/>
          <w:sz w:val="24"/>
          <w:szCs w:val="24"/>
          <w:shd w:val="clear" w:color="auto" w:fill="FFFFFF"/>
        </w:rPr>
        <w:t xml:space="preserve">ómica. </w:t>
      </w:r>
      <w:r w:rsidRPr="00C0417E">
        <w:rPr>
          <w:rFonts w:ascii="Times New Roman" w:hAnsi="Times New Roman" w:cs="Times New Roman"/>
          <w:color w:val="222222"/>
          <w:sz w:val="24"/>
          <w:szCs w:val="24"/>
          <w:shd w:val="clear" w:color="auto" w:fill="FFFFFF"/>
          <w:lang w:val="en-US"/>
        </w:rPr>
        <w:t xml:space="preserve">Buenos Aires: El </w:t>
      </w:r>
      <w:proofErr w:type="spellStart"/>
      <w:r w:rsidRPr="00C0417E">
        <w:rPr>
          <w:rFonts w:ascii="Times New Roman" w:hAnsi="Times New Roman" w:cs="Times New Roman"/>
          <w:color w:val="222222"/>
          <w:sz w:val="24"/>
          <w:szCs w:val="24"/>
          <w:shd w:val="clear" w:color="auto" w:fill="FFFFFF"/>
          <w:lang w:val="en-US"/>
        </w:rPr>
        <w:t>Cronista</w:t>
      </w:r>
      <w:proofErr w:type="spellEnd"/>
      <w:r w:rsidRPr="00C0417E">
        <w:rPr>
          <w:rFonts w:ascii="Times New Roman" w:hAnsi="Times New Roman" w:cs="Times New Roman"/>
          <w:color w:val="222222"/>
          <w:sz w:val="24"/>
          <w:szCs w:val="24"/>
          <w:shd w:val="clear" w:color="auto" w:fill="FFFFFF"/>
          <w:lang w:val="en-US"/>
        </w:rPr>
        <w:t xml:space="preserve"> </w:t>
      </w:r>
      <w:proofErr w:type="spellStart"/>
      <w:r w:rsidRPr="00C0417E">
        <w:rPr>
          <w:rFonts w:ascii="Times New Roman" w:hAnsi="Times New Roman" w:cs="Times New Roman"/>
          <w:color w:val="222222"/>
          <w:sz w:val="24"/>
          <w:szCs w:val="24"/>
          <w:shd w:val="clear" w:color="auto" w:fill="FFFFFF"/>
          <w:lang w:val="en-US"/>
        </w:rPr>
        <w:t>Comercial</w:t>
      </w:r>
      <w:proofErr w:type="spellEnd"/>
      <w:r w:rsidRPr="00C0417E">
        <w:rPr>
          <w:rFonts w:ascii="Times New Roman" w:hAnsi="Times New Roman" w:cs="Times New Roman"/>
          <w:color w:val="222222"/>
          <w:sz w:val="24"/>
          <w:szCs w:val="24"/>
          <w:shd w:val="clear" w:color="auto" w:fill="FFFFFF"/>
          <w:lang w:val="en-US"/>
        </w:rPr>
        <w:t xml:space="preserve">. </w:t>
      </w:r>
      <w:proofErr w:type="spellStart"/>
      <w:r w:rsidRPr="00C0417E">
        <w:rPr>
          <w:rFonts w:ascii="Times New Roman" w:hAnsi="Times New Roman" w:cs="Times New Roman"/>
          <w:color w:val="222222"/>
          <w:sz w:val="24"/>
          <w:szCs w:val="24"/>
          <w:shd w:val="clear" w:color="auto" w:fill="FFFFFF"/>
          <w:lang w:val="en-US"/>
        </w:rPr>
        <w:t>Páginas</w:t>
      </w:r>
      <w:proofErr w:type="spellEnd"/>
      <w:r w:rsidRPr="00C0417E">
        <w:rPr>
          <w:rFonts w:ascii="Times New Roman" w:hAnsi="Times New Roman" w:cs="Times New Roman"/>
          <w:color w:val="222222"/>
          <w:sz w:val="24"/>
          <w:szCs w:val="24"/>
          <w:shd w:val="clear" w:color="auto" w:fill="FFFFFF"/>
          <w:lang w:val="en-US"/>
        </w:rPr>
        <w:t xml:space="preserve"> 142-159.</w:t>
      </w:r>
    </w:p>
    <w:p w:rsidR="009813EA" w:rsidRPr="00C0417E" w:rsidRDefault="009813EA" w:rsidP="009B124B">
      <w:pPr>
        <w:autoSpaceDE w:val="0"/>
        <w:autoSpaceDN w:val="0"/>
        <w:adjustRightInd w:val="0"/>
        <w:spacing w:after="80" w:line="240" w:lineRule="auto"/>
        <w:jc w:val="both"/>
        <w:rPr>
          <w:rFonts w:ascii="Times New Roman" w:hAnsi="Times New Roman" w:cs="Times New Roman"/>
          <w:color w:val="222222"/>
          <w:sz w:val="24"/>
          <w:szCs w:val="24"/>
          <w:shd w:val="clear" w:color="auto" w:fill="FFFFFF"/>
          <w:lang w:val="en-US"/>
        </w:rPr>
      </w:pPr>
      <w:proofErr w:type="spellStart"/>
      <w:r w:rsidRPr="00C0417E">
        <w:rPr>
          <w:rFonts w:ascii="Times New Roman" w:hAnsi="Times New Roman" w:cs="Times New Roman"/>
          <w:sz w:val="24"/>
          <w:szCs w:val="24"/>
          <w:lang w:val="en-US"/>
        </w:rPr>
        <w:t>Managi</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Shunsuke</w:t>
      </w:r>
      <w:proofErr w:type="spellEnd"/>
      <w:r w:rsidRPr="00C0417E">
        <w:rPr>
          <w:rFonts w:ascii="Times New Roman" w:hAnsi="Times New Roman" w:cs="Times New Roman"/>
          <w:sz w:val="24"/>
          <w:szCs w:val="24"/>
          <w:lang w:val="en-US"/>
        </w:rPr>
        <w:t xml:space="preserve"> (2004). ‘Competitiveness and environmental policies for agriculture: testing the Porter </w:t>
      </w:r>
      <w:proofErr w:type="gramStart"/>
      <w:r w:rsidRPr="00C0417E">
        <w:rPr>
          <w:rFonts w:ascii="Times New Roman" w:hAnsi="Times New Roman" w:cs="Times New Roman"/>
          <w:sz w:val="24"/>
          <w:szCs w:val="24"/>
          <w:lang w:val="en-US"/>
        </w:rPr>
        <w:t>hypothesis’</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iCs/>
          <w:sz w:val="24"/>
          <w:szCs w:val="24"/>
          <w:lang w:val="en-US"/>
        </w:rPr>
        <w:t>International Journal of Agricultural Resources, Governance and Ecology</w:t>
      </w:r>
      <w:r w:rsidRPr="00C0417E">
        <w:rPr>
          <w:rFonts w:ascii="Times New Roman" w:hAnsi="Times New Roman" w:cs="Times New Roman"/>
          <w:sz w:val="24"/>
          <w:szCs w:val="24"/>
          <w:lang w:val="en-US"/>
        </w:rPr>
        <w:t>, 3 (3-4): 310–324.</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proofErr w:type="gramStart"/>
      <w:r w:rsidRPr="00C0417E">
        <w:rPr>
          <w:color w:val="222222"/>
          <w:shd w:val="clear" w:color="auto" w:fill="FFFFFF"/>
          <w:lang w:val="en-US"/>
        </w:rPr>
        <w:t>M</w:t>
      </w:r>
      <w:r w:rsidRPr="00C0417E">
        <w:rPr>
          <w:rFonts w:ascii="Times New Roman" w:hAnsi="Times New Roman" w:cs="Times New Roman"/>
          <w:sz w:val="24"/>
          <w:szCs w:val="24"/>
          <w:lang w:val="en-US"/>
        </w:rPr>
        <w:t>aertens</w:t>
      </w:r>
      <w:proofErr w:type="spellEnd"/>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Miet</w:t>
      </w:r>
      <w:proofErr w:type="spellEnd"/>
      <w:r w:rsidRPr="00C0417E">
        <w:rPr>
          <w:rFonts w:ascii="Times New Roman" w:hAnsi="Times New Roman" w:cs="Times New Roman"/>
          <w:sz w:val="24"/>
          <w:szCs w:val="24"/>
          <w:lang w:val="en-US"/>
        </w:rPr>
        <w:t xml:space="preserve"> y Johan </w:t>
      </w:r>
      <w:proofErr w:type="spellStart"/>
      <w:r w:rsidRPr="00C0417E">
        <w:rPr>
          <w:rFonts w:ascii="Times New Roman" w:hAnsi="Times New Roman" w:cs="Times New Roman"/>
          <w:sz w:val="24"/>
          <w:szCs w:val="24"/>
          <w:lang w:val="en-US"/>
        </w:rPr>
        <w:t>Swinnen</w:t>
      </w:r>
      <w:proofErr w:type="spellEnd"/>
      <w:r w:rsidRPr="00C0417E">
        <w:rPr>
          <w:rFonts w:ascii="Times New Roman" w:hAnsi="Times New Roman" w:cs="Times New Roman"/>
          <w:sz w:val="24"/>
          <w:szCs w:val="24"/>
          <w:lang w:val="en-US"/>
        </w:rPr>
        <w:t xml:space="preserve"> (2008).</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“Standards as barriers and catalysts for trade, growth and poverty reduction”.</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sz w:val="24"/>
          <w:szCs w:val="24"/>
          <w:lang w:val="en-US"/>
        </w:rPr>
        <w:t>Journal of International Agricultural Trade and Development</w:t>
      </w:r>
      <w:r w:rsidRPr="00C0417E">
        <w:rPr>
          <w:rFonts w:ascii="Times New Roman" w:hAnsi="Times New Roman" w:cs="Times New Roman"/>
          <w:sz w:val="24"/>
          <w:szCs w:val="24"/>
          <w:lang w:val="en-US"/>
        </w:rPr>
        <w:t>, 4 (1): 47-61.</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proofErr w:type="gramStart"/>
      <w:r w:rsidRPr="00C0417E">
        <w:rPr>
          <w:rFonts w:ascii="Times New Roman" w:hAnsi="Times New Roman" w:cs="Times New Roman"/>
          <w:sz w:val="24"/>
          <w:szCs w:val="24"/>
          <w:lang w:val="en-US"/>
        </w:rPr>
        <w:t>Murina</w:t>
      </w:r>
      <w:proofErr w:type="spellEnd"/>
      <w:r w:rsidRPr="00C0417E">
        <w:rPr>
          <w:rFonts w:ascii="Times New Roman" w:hAnsi="Times New Roman" w:cs="Times New Roman"/>
          <w:sz w:val="24"/>
          <w:szCs w:val="24"/>
          <w:lang w:val="en-US"/>
        </w:rPr>
        <w:t xml:space="preserve">, Marina y Alessandro </w:t>
      </w:r>
      <w:proofErr w:type="spellStart"/>
      <w:r w:rsidRPr="00C0417E">
        <w:rPr>
          <w:rFonts w:ascii="Times New Roman" w:hAnsi="Times New Roman" w:cs="Times New Roman"/>
          <w:sz w:val="24"/>
          <w:szCs w:val="24"/>
          <w:lang w:val="en-US"/>
        </w:rPr>
        <w:t>Nicita</w:t>
      </w:r>
      <w:proofErr w:type="spellEnd"/>
      <w:r w:rsidRPr="00C0417E">
        <w:rPr>
          <w:rFonts w:ascii="Times New Roman" w:hAnsi="Times New Roman" w:cs="Times New Roman"/>
          <w:sz w:val="24"/>
          <w:szCs w:val="24"/>
          <w:lang w:val="en-US"/>
        </w:rPr>
        <w:t xml:space="preserve"> (2015).</w:t>
      </w:r>
      <w:proofErr w:type="gramEnd"/>
      <w:r w:rsidRPr="00C0417E">
        <w:rPr>
          <w:rFonts w:ascii="Times New Roman" w:hAnsi="Times New Roman" w:cs="Times New Roman"/>
          <w:sz w:val="24"/>
          <w:szCs w:val="24"/>
          <w:lang w:val="en-US"/>
        </w:rPr>
        <w:t xml:space="preserve"> “Trading with conditions: the effect of sanitary and </w:t>
      </w:r>
      <w:proofErr w:type="spellStart"/>
      <w:r w:rsidRPr="00C0417E">
        <w:rPr>
          <w:rFonts w:ascii="Times New Roman" w:hAnsi="Times New Roman" w:cs="Times New Roman"/>
          <w:sz w:val="24"/>
          <w:szCs w:val="24"/>
          <w:lang w:val="en-US"/>
        </w:rPr>
        <w:t>phytosanitary</w:t>
      </w:r>
      <w:proofErr w:type="spellEnd"/>
      <w:r w:rsidRPr="00C0417E">
        <w:rPr>
          <w:rFonts w:ascii="Times New Roman" w:hAnsi="Times New Roman" w:cs="Times New Roman"/>
          <w:sz w:val="24"/>
          <w:szCs w:val="24"/>
          <w:lang w:val="en-US"/>
        </w:rPr>
        <w:t xml:space="preserve"> measures on lower income countries´ agricultural exports”. </w:t>
      </w:r>
      <w:proofErr w:type="gramStart"/>
      <w:r w:rsidRPr="00C0417E">
        <w:rPr>
          <w:rFonts w:ascii="Times New Roman" w:hAnsi="Times New Roman" w:cs="Times New Roman"/>
          <w:i/>
          <w:sz w:val="24"/>
          <w:szCs w:val="24"/>
          <w:lang w:val="en-US"/>
        </w:rPr>
        <w:t>UNCTAD Blue Series Papers</w:t>
      </w:r>
      <w:r w:rsidRPr="00C0417E">
        <w:rPr>
          <w:rFonts w:ascii="Times New Roman" w:hAnsi="Times New Roman" w:cs="Times New Roman"/>
          <w:sz w:val="24"/>
          <w:szCs w:val="24"/>
          <w:lang w:val="en-US"/>
        </w:rPr>
        <w:t>, 68.</w:t>
      </w:r>
      <w:proofErr w:type="gramEnd"/>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gramStart"/>
      <w:r w:rsidRPr="00C0417E">
        <w:rPr>
          <w:rFonts w:ascii="Times New Roman" w:hAnsi="Times New Roman" w:cs="Times New Roman"/>
          <w:sz w:val="24"/>
          <w:szCs w:val="24"/>
          <w:lang w:val="en-US"/>
        </w:rPr>
        <w:t>OECD (2003).</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i/>
          <w:sz w:val="24"/>
          <w:szCs w:val="24"/>
          <w:lang w:val="en-US"/>
        </w:rPr>
        <w:t>The impact of regulations on agro-food trade.</w:t>
      </w:r>
      <w:proofErr w:type="gramEnd"/>
      <w:r w:rsidRPr="00C0417E">
        <w:rPr>
          <w:rFonts w:ascii="Times New Roman" w:hAnsi="Times New Roman" w:cs="Times New Roman"/>
          <w:i/>
          <w:sz w:val="24"/>
          <w:szCs w:val="24"/>
          <w:lang w:val="en-US"/>
        </w:rPr>
        <w:t xml:space="preserve"> The technical barriers to trade (TBT) and sanitary and </w:t>
      </w:r>
      <w:proofErr w:type="spellStart"/>
      <w:r w:rsidRPr="00C0417E">
        <w:rPr>
          <w:rFonts w:ascii="Times New Roman" w:hAnsi="Times New Roman" w:cs="Times New Roman"/>
          <w:i/>
          <w:sz w:val="24"/>
          <w:szCs w:val="24"/>
          <w:lang w:val="en-US"/>
        </w:rPr>
        <w:t>phytosanitary</w:t>
      </w:r>
      <w:proofErr w:type="spellEnd"/>
      <w:r w:rsidRPr="00C0417E">
        <w:rPr>
          <w:rFonts w:ascii="Times New Roman" w:hAnsi="Times New Roman" w:cs="Times New Roman"/>
          <w:i/>
          <w:sz w:val="24"/>
          <w:szCs w:val="24"/>
          <w:lang w:val="en-US"/>
        </w:rPr>
        <w:t xml:space="preserve"> measures (SPS) agreements</w:t>
      </w:r>
      <w:r w:rsidRPr="00C0417E">
        <w:rPr>
          <w:rFonts w:ascii="Times New Roman" w:hAnsi="Times New Roman" w:cs="Times New Roman"/>
          <w:sz w:val="24"/>
          <w:szCs w:val="24"/>
          <w:lang w:val="en-US"/>
        </w:rPr>
        <w:t xml:space="preserve">. </w:t>
      </w:r>
      <w:proofErr w:type="spellStart"/>
      <w:r w:rsidRPr="00C0417E">
        <w:rPr>
          <w:rFonts w:ascii="Times New Roman" w:hAnsi="Times New Roman" w:cs="Times New Roman"/>
          <w:sz w:val="24"/>
          <w:szCs w:val="24"/>
          <w:lang w:val="en-US"/>
        </w:rPr>
        <w:t>París</w:t>
      </w:r>
      <w:proofErr w:type="spellEnd"/>
      <w:r w:rsidRPr="00C0417E">
        <w:rPr>
          <w:rFonts w:ascii="Times New Roman" w:hAnsi="Times New Roman" w:cs="Times New Roman"/>
          <w:sz w:val="24"/>
          <w:szCs w:val="24"/>
          <w:lang w:val="en-US"/>
        </w:rPr>
        <w:t>: OECD.</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r w:rsidRPr="00C0417E">
        <w:rPr>
          <w:rFonts w:ascii="Times New Roman" w:hAnsi="Times New Roman" w:cs="Times New Roman"/>
          <w:sz w:val="24"/>
          <w:szCs w:val="24"/>
          <w:lang w:val="en-US"/>
        </w:rPr>
        <w:t xml:space="preserve">Palmer, Karen, Wallace </w:t>
      </w:r>
      <w:r w:rsidR="00DD3E4B">
        <w:rPr>
          <w:rFonts w:ascii="Times New Roman" w:hAnsi="Times New Roman" w:cs="Times New Roman"/>
          <w:sz w:val="24"/>
          <w:szCs w:val="24"/>
          <w:lang w:val="en-US"/>
        </w:rPr>
        <w:t>O</w:t>
      </w:r>
      <w:r w:rsidRPr="00C0417E">
        <w:rPr>
          <w:rFonts w:ascii="Times New Roman" w:hAnsi="Times New Roman" w:cs="Times New Roman"/>
          <w:sz w:val="24"/>
          <w:szCs w:val="24"/>
          <w:lang w:val="en-US"/>
        </w:rPr>
        <w:t xml:space="preserve">ates y Paul </w:t>
      </w:r>
      <w:proofErr w:type="spellStart"/>
      <w:r w:rsidRPr="00C0417E">
        <w:rPr>
          <w:rFonts w:ascii="Times New Roman" w:hAnsi="Times New Roman" w:cs="Times New Roman"/>
          <w:sz w:val="24"/>
          <w:szCs w:val="24"/>
          <w:lang w:val="en-US"/>
        </w:rPr>
        <w:t>Por</w:t>
      </w:r>
      <w:r w:rsidR="00DD3E4B">
        <w:rPr>
          <w:rFonts w:ascii="Times New Roman" w:hAnsi="Times New Roman" w:cs="Times New Roman"/>
          <w:sz w:val="24"/>
          <w:szCs w:val="24"/>
          <w:lang w:val="en-US"/>
        </w:rPr>
        <w:t>t</w:t>
      </w:r>
      <w:r w:rsidRPr="00C0417E">
        <w:rPr>
          <w:rFonts w:ascii="Times New Roman" w:hAnsi="Times New Roman" w:cs="Times New Roman"/>
          <w:sz w:val="24"/>
          <w:szCs w:val="24"/>
          <w:lang w:val="en-US"/>
        </w:rPr>
        <w:t>ney</w:t>
      </w:r>
      <w:proofErr w:type="spellEnd"/>
      <w:r w:rsidRPr="00C0417E">
        <w:rPr>
          <w:rFonts w:ascii="Times New Roman" w:hAnsi="Times New Roman" w:cs="Times New Roman"/>
          <w:sz w:val="24"/>
          <w:szCs w:val="24"/>
          <w:lang w:val="en-US"/>
        </w:rPr>
        <w:t xml:space="preserve"> (1995). “Tightening environmental standards: the benefit-cost or the no-cost paradigm?</w:t>
      </w:r>
      <w:proofErr w:type="gramStart"/>
      <w:r w:rsidRPr="00C0417E">
        <w:rPr>
          <w:rFonts w:ascii="Times New Roman" w:hAnsi="Times New Roman" w:cs="Times New Roman"/>
          <w:sz w:val="24"/>
          <w:szCs w:val="24"/>
          <w:lang w:val="en-US"/>
        </w:rPr>
        <w:t>”.</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sz w:val="24"/>
          <w:szCs w:val="24"/>
          <w:lang w:val="en-US"/>
        </w:rPr>
        <w:t>Journal of Economic Perspectives</w:t>
      </w:r>
      <w:r w:rsidRPr="00C0417E">
        <w:rPr>
          <w:rFonts w:ascii="Times New Roman" w:hAnsi="Times New Roman" w:cs="Times New Roman"/>
          <w:sz w:val="24"/>
          <w:szCs w:val="24"/>
          <w:lang w:val="en-US"/>
        </w:rPr>
        <w:t>, 9 (4): 119-132.</w:t>
      </w:r>
    </w:p>
    <w:p w:rsidR="009813EA" w:rsidRDefault="009813EA" w:rsidP="00AC722C">
      <w:pPr>
        <w:pStyle w:val="Normal1"/>
        <w:spacing w:after="120" w:line="240" w:lineRule="auto"/>
        <w:jc w:val="both"/>
        <w:rPr>
          <w:rFonts w:ascii="Times New Roman" w:hAnsi="Times New Roman" w:cs="Times New Roman"/>
          <w:sz w:val="24"/>
          <w:szCs w:val="24"/>
        </w:rPr>
      </w:pPr>
      <w:proofErr w:type="gramStart"/>
      <w:r w:rsidRPr="00C0417E">
        <w:rPr>
          <w:rFonts w:ascii="Times New Roman" w:hAnsi="Times New Roman" w:cs="Times New Roman"/>
          <w:sz w:val="24"/>
          <w:szCs w:val="24"/>
          <w:lang w:val="en-US"/>
        </w:rPr>
        <w:t xml:space="preserve">Porter, Michael y </w:t>
      </w:r>
      <w:proofErr w:type="spellStart"/>
      <w:r w:rsidRPr="00C0417E">
        <w:rPr>
          <w:rFonts w:ascii="Times New Roman" w:hAnsi="Times New Roman" w:cs="Times New Roman"/>
          <w:sz w:val="24"/>
          <w:szCs w:val="24"/>
          <w:lang w:val="en-US"/>
        </w:rPr>
        <w:t>Claas</w:t>
      </w:r>
      <w:proofErr w:type="spellEnd"/>
      <w:r w:rsidRPr="00C0417E">
        <w:rPr>
          <w:rFonts w:ascii="Times New Roman" w:hAnsi="Times New Roman" w:cs="Times New Roman"/>
          <w:sz w:val="24"/>
          <w:szCs w:val="24"/>
          <w:lang w:val="en-US"/>
        </w:rPr>
        <w:t xml:space="preserve"> van der </w:t>
      </w:r>
      <w:proofErr w:type="spellStart"/>
      <w:r w:rsidRPr="00C0417E">
        <w:rPr>
          <w:rFonts w:ascii="Times New Roman" w:hAnsi="Times New Roman" w:cs="Times New Roman"/>
          <w:sz w:val="24"/>
          <w:szCs w:val="24"/>
          <w:lang w:val="en-US"/>
        </w:rPr>
        <w:t>Linde</w:t>
      </w:r>
      <w:proofErr w:type="spellEnd"/>
      <w:r w:rsidRPr="00C0417E">
        <w:rPr>
          <w:rFonts w:ascii="Times New Roman" w:hAnsi="Times New Roman" w:cs="Times New Roman"/>
          <w:sz w:val="24"/>
          <w:szCs w:val="24"/>
          <w:lang w:val="en-US"/>
        </w:rPr>
        <w:t xml:space="preserve"> (1995).</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“Towards a new conception of the environment-competitiveness relationship”.</w:t>
      </w:r>
      <w:proofErr w:type="gramEnd"/>
      <w:r w:rsidRPr="00C0417E">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Economic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Perspectives</w:t>
      </w:r>
      <w:proofErr w:type="spellEnd"/>
      <w:r>
        <w:rPr>
          <w:rFonts w:ascii="Times New Roman" w:hAnsi="Times New Roman" w:cs="Times New Roman"/>
          <w:sz w:val="24"/>
          <w:szCs w:val="24"/>
        </w:rPr>
        <w:t>, 9 (4): 97-118.</w:t>
      </w:r>
    </w:p>
    <w:p w:rsidR="009813EA" w:rsidRDefault="009813EA" w:rsidP="00AC722C">
      <w:pPr>
        <w:pStyle w:val="Normal1"/>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Rodríguez Jerez, José Juan (2012). ¨Café y </w:t>
      </w:r>
      <w:proofErr w:type="spellStart"/>
      <w:r>
        <w:rPr>
          <w:rFonts w:ascii="Times New Roman" w:hAnsi="Times New Roman" w:cs="Times New Roman"/>
          <w:sz w:val="24"/>
          <w:szCs w:val="24"/>
        </w:rPr>
        <w:t>micotoxinas</w:t>
      </w:r>
      <w:proofErr w:type="spellEnd"/>
      <w:r>
        <w:rPr>
          <w:rFonts w:ascii="Times New Roman" w:hAnsi="Times New Roman" w:cs="Times New Roman"/>
          <w:sz w:val="24"/>
          <w:szCs w:val="24"/>
        </w:rPr>
        <w:t xml:space="preserve">¨. Fundación </w:t>
      </w:r>
      <w:proofErr w:type="spellStart"/>
      <w:r>
        <w:rPr>
          <w:rFonts w:ascii="Times New Roman" w:hAnsi="Times New Roman" w:cs="Times New Roman"/>
          <w:sz w:val="24"/>
          <w:szCs w:val="24"/>
        </w:rPr>
        <w:t>Eorski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Consumer</w:t>
      </w:r>
      <w:proofErr w:type="spellEnd"/>
      <w:r>
        <w:rPr>
          <w:rFonts w:ascii="Times New Roman" w:hAnsi="Times New Roman" w:cs="Times New Roman"/>
          <w:sz w:val="24"/>
          <w:szCs w:val="24"/>
        </w:rPr>
        <w:t xml:space="preserve">. 25 de octubre de 2012. Disponible en: </w:t>
      </w:r>
      <w:hyperlink r:id="rId20" w:history="1">
        <w:r w:rsidRPr="00BF781D">
          <w:rPr>
            <w:rStyle w:val="Hipervnculo"/>
            <w:rFonts w:ascii="Times New Roman" w:hAnsi="Times New Roman"/>
            <w:sz w:val="24"/>
            <w:szCs w:val="24"/>
          </w:rPr>
          <w:t>http://www.consumer.es/seguridad-alimentaria/ciencia-y-tecnologia/2006/10/11/25267.php</w:t>
        </w:r>
      </w:hyperlink>
      <w:r w:rsidRPr="00840DB8">
        <w:rPr>
          <w:rFonts w:ascii="Times New Roman" w:hAnsi="Times New Roman" w:cs="Times New Roman"/>
          <w:color w:val="222222"/>
          <w:shd w:val="clear" w:color="auto" w:fill="FFFFFF"/>
        </w:rPr>
        <w:t xml:space="preserve"> </w:t>
      </w:r>
    </w:p>
    <w:p w:rsidR="009813EA" w:rsidRPr="00C0417E" w:rsidRDefault="009813EA" w:rsidP="00AC722C">
      <w:pPr>
        <w:pStyle w:val="Normal1"/>
        <w:spacing w:after="120" w:line="240" w:lineRule="auto"/>
        <w:jc w:val="both"/>
        <w:rPr>
          <w:rFonts w:ascii="Times New Roman" w:hAnsi="Times New Roman" w:cs="Times New Roman"/>
          <w:lang w:val="en-US"/>
        </w:rPr>
      </w:pPr>
      <w:proofErr w:type="spellStart"/>
      <w:r w:rsidRPr="00B31098">
        <w:rPr>
          <w:rFonts w:ascii="Times New Roman" w:hAnsi="Times New Roman" w:cs="Times New Roman"/>
          <w:color w:val="222222"/>
          <w:shd w:val="clear" w:color="auto" w:fill="FFFFFF"/>
        </w:rPr>
        <w:t>Santeramo</w:t>
      </w:r>
      <w:proofErr w:type="spellEnd"/>
      <w:r w:rsidRPr="00B31098">
        <w:rPr>
          <w:rFonts w:ascii="Times New Roman" w:hAnsi="Times New Roman" w:cs="Times New Roman"/>
          <w:color w:val="222222"/>
          <w:shd w:val="clear" w:color="auto" w:fill="FFFFFF"/>
        </w:rPr>
        <w:t>, F</w:t>
      </w:r>
      <w:r>
        <w:rPr>
          <w:rFonts w:ascii="Times New Roman" w:hAnsi="Times New Roman" w:cs="Times New Roman"/>
          <w:color w:val="222222"/>
          <w:shd w:val="clear" w:color="auto" w:fill="FFFFFF"/>
        </w:rPr>
        <w:t xml:space="preserve">abio </w:t>
      </w:r>
      <w:r w:rsidRPr="00B31098">
        <w:rPr>
          <w:rFonts w:ascii="Times New Roman" w:hAnsi="Times New Roman" w:cs="Times New Roman"/>
          <w:color w:val="222222"/>
          <w:shd w:val="clear" w:color="auto" w:fill="FFFFFF"/>
        </w:rPr>
        <w:t xml:space="preserve">G. </w:t>
      </w:r>
      <w:r>
        <w:rPr>
          <w:rFonts w:ascii="Times New Roman" w:hAnsi="Times New Roman" w:cs="Times New Roman"/>
          <w:color w:val="222222"/>
          <w:shd w:val="clear" w:color="auto" w:fill="FFFFFF"/>
        </w:rPr>
        <w:t xml:space="preserve">y </w:t>
      </w:r>
      <w:r w:rsidRPr="00B31098">
        <w:rPr>
          <w:rFonts w:ascii="Times New Roman" w:hAnsi="Times New Roman" w:cs="Times New Roman"/>
          <w:color w:val="222222"/>
          <w:shd w:val="clear" w:color="auto" w:fill="FFFFFF"/>
        </w:rPr>
        <w:t>E</w:t>
      </w:r>
      <w:r>
        <w:rPr>
          <w:rFonts w:ascii="Times New Roman" w:hAnsi="Times New Roman" w:cs="Times New Roman"/>
          <w:color w:val="222222"/>
          <w:shd w:val="clear" w:color="auto" w:fill="FFFFFF"/>
        </w:rPr>
        <w:t xml:space="preserve">milia </w:t>
      </w:r>
      <w:proofErr w:type="spellStart"/>
      <w:r>
        <w:rPr>
          <w:rFonts w:ascii="Times New Roman" w:hAnsi="Times New Roman" w:cs="Times New Roman"/>
          <w:color w:val="222222"/>
          <w:shd w:val="clear" w:color="auto" w:fill="FFFFFF"/>
        </w:rPr>
        <w:t>Lamonaca</w:t>
      </w:r>
      <w:proofErr w:type="spellEnd"/>
      <w:r w:rsidRPr="00B31098">
        <w:rPr>
          <w:rFonts w:ascii="Times New Roman" w:hAnsi="Times New Roman" w:cs="Times New Roman"/>
          <w:color w:val="222222"/>
          <w:shd w:val="clear" w:color="auto" w:fill="FFFFFF"/>
        </w:rPr>
        <w:t xml:space="preserve">. </w:t>
      </w:r>
      <w:r w:rsidRPr="00C0417E">
        <w:rPr>
          <w:rFonts w:ascii="Times New Roman" w:hAnsi="Times New Roman" w:cs="Times New Roman"/>
          <w:color w:val="222222"/>
          <w:shd w:val="clear" w:color="auto" w:fill="FFFFFF"/>
          <w:lang w:val="en-US"/>
        </w:rPr>
        <w:t xml:space="preserve">“The Effects of Non-tariff Measures on </w:t>
      </w:r>
      <w:proofErr w:type="spellStart"/>
      <w:r w:rsidRPr="00C0417E">
        <w:rPr>
          <w:rFonts w:ascii="Times New Roman" w:hAnsi="Times New Roman" w:cs="Times New Roman"/>
          <w:color w:val="222222"/>
          <w:shd w:val="clear" w:color="auto" w:fill="FFFFFF"/>
          <w:lang w:val="en-US"/>
        </w:rPr>
        <w:t>Agri</w:t>
      </w:r>
      <w:proofErr w:type="spellEnd"/>
      <w:r w:rsidRPr="00C0417E">
        <w:rPr>
          <w:rFonts w:ascii="Times New Roman" w:hAnsi="Times New Roman" w:cs="Times New Roman"/>
          <w:color w:val="222222"/>
          <w:shd w:val="clear" w:color="auto" w:fill="FFFFFF"/>
          <w:lang w:val="en-US"/>
        </w:rPr>
        <w:t xml:space="preserve">-food Trade: A Review and Meta-analysis of Empirical Evidence. </w:t>
      </w:r>
      <w:proofErr w:type="gramStart"/>
      <w:r w:rsidRPr="00C0417E">
        <w:rPr>
          <w:rFonts w:ascii="Times New Roman" w:hAnsi="Times New Roman" w:cs="Times New Roman"/>
          <w:i/>
          <w:iCs/>
          <w:color w:val="222222"/>
          <w:shd w:val="clear" w:color="auto" w:fill="FFFFFF"/>
          <w:lang w:val="en-US"/>
        </w:rPr>
        <w:t>Journal of Agricultural Economics</w:t>
      </w:r>
      <w:r w:rsidRPr="00C0417E">
        <w:rPr>
          <w:rFonts w:ascii="Times New Roman" w:hAnsi="Times New Roman" w:cs="Times New Roman"/>
          <w:color w:val="222222"/>
          <w:shd w:val="clear" w:color="auto" w:fill="FFFFFF"/>
          <w:lang w:val="en-US"/>
        </w:rPr>
        <w:t>.</w:t>
      </w:r>
      <w:proofErr w:type="gramEnd"/>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spellStart"/>
      <w:r w:rsidRPr="00C0417E">
        <w:rPr>
          <w:rFonts w:ascii="Times New Roman" w:hAnsi="Times New Roman" w:cs="Times New Roman"/>
          <w:sz w:val="24"/>
          <w:szCs w:val="24"/>
          <w:lang w:val="en-US"/>
        </w:rPr>
        <w:t>Swinnen</w:t>
      </w:r>
      <w:proofErr w:type="spellEnd"/>
      <w:r w:rsidRPr="00C0417E">
        <w:rPr>
          <w:rFonts w:ascii="Times New Roman" w:hAnsi="Times New Roman" w:cs="Times New Roman"/>
          <w:sz w:val="24"/>
          <w:szCs w:val="24"/>
          <w:lang w:val="en-US"/>
        </w:rPr>
        <w:t xml:space="preserve">, Johann (2017). </w:t>
      </w:r>
      <w:proofErr w:type="gramStart"/>
      <w:r w:rsidRPr="00C0417E">
        <w:rPr>
          <w:rFonts w:ascii="Times New Roman" w:hAnsi="Times New Roman" w:cs="Times New Roman"/>
          <w:sz w:val="24"/>
          <w:szCs w:val="24"/>
          <w:lang w:val="en-US"/>
        </w:rPr>
        <w:t>“Some dynamic aspects of food standards”.</w:t>
      </w:r>
      <w:proofErr w:type="gramEnd"/>
      <w:r w:rsidRPr="00C0417E">
        <w:rPr>
          <w:rFonts w:ascii="Times New Roman" w:hAnsi="Times New Roman" w:cs="Times New Roman"/>
          <w:sz w:val="24"/>
          <w:szCs w:val="24"/>
          <w:lang w:val="en-US"/>
        </w:rPr>
        <w:t xml:space="preserve"> </w:t>
      </w:r>
      <w:r w:rsidRPr="00C0417E">
        <w:rPr>
          <w:rFonts w:ascii="Times New Roman" w:hAnsi="Times New Roman" w:cs="Times New Roman"/>
          <w:i/>
          <w:sz w:val="24"/>
          <w:szCs w:val="24"/>
          <w:lang w:val="en-US"/>
        </w:rPr>
        <w:t>American Journal of Agricultural Economics</w:t>
      </w:r>
      <w:r w:rsidRPr="00C0417E">
        <w:rPr>
          <w:rFonts w:ascii="Times New Roman" w:hAnsi="Times New Roman" w:cs="Times New Roman"/>
          <w:sz w:val="24"/>
          <w:szCs w:val="24"/>
          <w:lang w:val="en-US"/>
        </w:rPr>
        <w:t>, 99 (2): 321-338.</w:t>
      </w:r>
    </w:p>
    <w:p w:rsidR="009813EA" w:rsidRPr="00C0417E" w:rsidRDefault="009813EA" w:rsidP="00AC722C">
      <w:pPr>
        <w:pStyle w:val="Normal1"/>
        <w:spacing w:after="120" w:line="240" w:lineRule="auto"/>
        <w:jc w:val="both"/>
        <w:rPr>
          <w:rFonts w:ascii="Times New Roman" w:hAnsi="Times New Roman" w:cs="Times New Roman"/>
          <w:sz w:val="24"/>
          <w:szCs w:val="24"/>
          <w:lang w:val="en-US"/>
        </w:rPr>
      </w:pPr>
      <w:proofErr w:type="gramStart"/>
      <w:r w:rsidRPr="00C0417E">
        <w:rPr>
          <w:rFonts w:ascii="Times New Roman" w:hAnsi="Times New Roman" w:cs="Times New Roman"/>
          <w:sz w:val="24"/>
          <w:szCs w:val="24"/>
          <w:lang w:val="en-US"/>
        </w:rPr>
        <w:t>World Bank (2005).</w:t>
      </w:r>
      <w:proofErr w:type="gramEnd"/>
      <w:r w:rsidRPr="00C0417E">
        <w:rPr>
          <w:rFonts w:ascii="Times New Roman" w:hAnsi="Times New Roman" w:cs="Times New Roman"/>
          <w:sz w:val="24"/>
          <w:szCs w:val="24"/>
          <w:lang w:val="en-US"/>
        </w:rPr>
        <w:t xml:space="preserve"> “Food safety and agricultural health standards: challenges and opportunities for developing country exports”. </w:t>
      </w:r>
      <w:proofErr w:type="gramStart"/>
      <w:r w:rsidRPr="00C0417E">
        <w:rPr>
          <w:rFonts w:ascii="Times New Roman" w:hAnsi="Times New Roman" w:cs="Times New Roman"/>
          <w:sz w:val="24"/>
          <w:szCs w:val="24"/>
          <w:lang w:val="en-US"/>
        </w:rPr>
        <w:t>Poverty Reduction and Economic Management Trade Unit and Agricultural and Rural Development Department.</w:t>
      </w:r>
      <w:proofErr w:type="gramEnd"/>
      <w:r w:rsidRPr="00C0417E">
        <w:rPr>
          <w:rFonts w:ascii="Times New Roman" w:hAnsi="Times New Roman" w:cs="Times New Roman"/>
          <w:sz w:val="24"/>
          <w:szCs w:val="24"/>
          <w:lang w:val="en-US"/>
        </w:rPr>
        <w:t xml:space="preserve"> </w:t>
      </w:r>
      <w:proofErr w:type="gramStart"/>
      <w:r w:rsidRPr="00C0417E">
        <w:rPr>
          <w:rFonts w:ascii="Times New Roman" w:hAnsi="Times New Roman" w:cs="Times New Roman"/>
          <w:sz w:val="24"/>
          <w:szCs w:val="24"/>
          <w:lang w:val="en-US"/>
        </w:rPr>
        <w:t>Report 31207.</w:t>
      </w:r>
      <w:proofErr w:type="gramEnd"/>
      <w:r w:rsidRPr="00C0417E">
        <w:rPr>
          <w:rFonts w:ascii="Times New Roman" w:hAnsi="Times New Roman" w:cs="Times New Roman"/>
          <w:sz w:val="24"/>
          <w:szCs w:val="24"/>
          <w:lang w:val="en-US"/>
        </w:rPr>
        <w:t xml:space="preserve"> </w:t>
      </w:r>
    </w:p>
    <w:p w:rsidR="009813EA" w:rsidRDefault="009813EA" w:rsidP="00AC722C">
      <w:pPr>
        <w:pStyle w:val="Normal1"/>
        <w:spacing w:after="80" w:line="240" w:lineRule="auto"/>
        <w:rPr>
          <w:rFonts w:ascii="Times New Roman" w:hAnsi="Times New Roman" w:cs="Times New Roman"/>
          <w:sz w:val="24"/>
          <w:szCs w:val="24"/>
        </w:rPr>
      </w:pPr>
    </w:p>
    <w:p w:rsidR="009813EA" w:rsidRDefault="009813EA" w:rsidP="00AC722C">
      <w:pPr>
        <w:pStyle w:val="Normal1"/>
        <w:spacing w:after="80" w:line="360" w:lineRule="auto"/>
        <w:rPr>
          <w:rFonts w:ascii="Times New Roman" w:hAnsi="Times New Roman" w:cs="Times New Roman"/>
          <w:sz w:val="24"/>
          <w:szCs w:val="24"/>
        </w:rPr>
      </w:pPr>
    </w:p>
    <w:sectPr w:rsidR="009813EA" w:rsidSect="00C0417E">
      <w:footerReference w:type="default" r:id="rId21"/>
      <w:pgSz w:w="11909" w:h="16834" w:code="9"/>
      <w:pgMar w:top="1361" w:right="1361" w:bottom="1361" w:left="136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E2" w:rsidRDefault="00FB1CE2" w:rsidP="00C901B0">
      <w:pPr>
        <w:spacing w:line="240" w:lineRule="auto"/>
      </w:pPr>
      <w:r>
        <w:separator/>
      </w:r>
    </w:p>
  </w:endnote>
  <w:endnote w:type="continuationSeparator" w:id="0">
    <w:p w:rsidR="00FB1CE2" w:rsidRDefault="00FB1CE2" w:rsidP="00C90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7E" w:rsidRDefault="00C0417E">
    <w:pPr>
      <w:pStyle w:val="Piedepgina"/>
      <w:jc w:val="right"/>
    </w:pPr>
    <w:r>
      <w:fldChar w:fldCharType="begin"/>
    </w:r>
    <w:r>
      <w:instrText>PAGE   \* MERGEFORMAT</w:instrText>
    </w:r>
    <w:r>
      <w:fldChar w:fldCharType="separate"/>
    </w:r>
    <w:r w:rsidR="007E6FAC" w:rsidRPr="007E6FAC">
      <w:rPr>
        <w:noProof/>
        <w:lang w:val="es-ES"/>
      </w:rPr>
      <w:t>20</w:t>
    </w:r>
    <w:r>
      <w:fldChar w:fldCharType="end"/>
    </w:r>
  </w:p>
  <w:p w:rsidR="009813EA" w:rsidRDefault="009813EA">
    <w:pPr>
      <w:pStyle w:val="Normal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E2" w:rsidRDefault="00FB1CE2" w:rsidP="00C901B0">
      <w:pPr>
        <w:spacing w:line="240" w:lineRule="auto"/>
      </w:pPr>
      <w:r>
        <w:separator/>
      </w:r>
    </w:p>
  </w:footnote>
  <w:footnote w:type="continuationSeparator" w:id="0">
    <w:p w:rsidR="00FB1CE2" w:rsidRDefault="00FB1CE2" w:rsidP="00C901B0">
      <w:pPr>
        <w:spacing w:line="240" w:lineRule="auto"/>
      </w:pPr>
      <w:r>
        <w:continuationSeparator/>
      </w:r>
    </w:p>
  </w:footnote>
  <w:footnote w:id="1">
    <w:p w:rsidR="009813EA" w:rsidRDefault="009813EA">
      <w:pPr>
        <w:pStyle w:val="Normal1"/>
        <w:spacing w:line="240" w:lineRule="auto"/>
      </w:pPr>
      <w:r>
        <w:rPr>
          <w:vertAlign w:val="superscript"/>
        </w:rPr>
        <w:footnoteRef/>
      </w:r>
      <w:r>
        <w:rPr>
          <w:sz w:val="20"/>
          <w:szCs w:val="20"/>
        </w:rPr>
        <w:t xml:space="preserve"> </w:t>
      </w:r>
      <w:r>
        <w:rPr>
          <w:rFonts w:ascii="Times New Roman" w:hAnsi="Times New Roman" w:cs="Times New Roman"/>
          <w:sz w:val="16"/>
          <w:szCs w:val="16"/>
        </w:rPr>
        <w:t xml:space="preserve">El </w:t>
      </w:r>
      <w:proofErr w:type="spellStart"/>
      <w:r>
        <w:rPr>
          <w:rFonts w:ascii="Times New Roman" w:hAnsi="Times New Roman" w:cs="Times New Roman"/>
          <w:sz w:val="16"/>
          <w:szCs w:val="16"/>
        </w:rPr>
        <w:t>BfR</w:t>
      </w:r>
      <w:proofErr w:type="spellEnd"/>
      <w:r>
        <w:rPr>
          <w:rFonts w:ascii="Times New Roman" w:hAnsi="Times New Roman" w:cs="Times New Roman"/>
          <w:sz w:val="16"/>
          <w:szCs w:val="16"/>
        </w:rPr>
        <w:t xml:space="preserve"> es el Instituto Federal Alemán de Evaluación de Riesgos que tiene como finalidad asesorar a </w:t>
      </w:r>
      <w:smartTag w:uri="urn:schemas-microsoft-com:office:smarttags" w:element="PersonName">
        <w:smartTagPr>
          <w:attr w:name="ProductID" w:val="la Rep￺blica Federal"/>
        </w:smartTagPr>
        <w:r>
          <w:rPr>
            <w:rFonts w:ascii="Times New Roman" w:hAnsi="Times New Roman" w:cs="Times New Roman"/>
            <w:sz w:val="16"/>
            <w:szCs w:val="16"/>
          </w:rPr>
          <w:t>la República Federal</w:t>
        </w:r>
      </w:smartTag>
      <w:r>
        <w:rPr>
          <w:rFonts w:ascii="Times New Roman" w:hAnsi="Times New Roman" w:cs="Times New Roman"/>
          <w:sz w:val="16"/>
          <w:szCs w:val="16"/>
        </w:rPr>
        <w:t xml:space="preserve"> de Alemania sobre cuestiones de seguridad de alimentos basándose en comprobaciones científicas.</w:t>
      </w:r>
    </w:p>
  </w:footnote>
  <w:footnote w:id="2">
    <w:p w:rsidR="009813EA" w:rsidRDefault="009813EA" w:rsidP="00F75BE9">
      <w:pPr>
        <w:pStyle w:val="Normal1"/>
        <w:spacing w:line="240" w:lineRule="auto"/>
        <w:jc w:val="both"/>
      </w:pPr>
      <w:r>
        <w:rPr>
          <w:vertAlign w:val="superscript"/>
        </w:rPr>
        <w:footnoteRef/>
      </w:r>
      <w:r>
        <w:rPr>
          <w:sz w:val="20"/>
          <w:szCs w:val="20"/>
        </w:rPr>
        <w:t xml:space="preserve"> </w:t>
      </w:r>
      <w:r>
        <w:rPr>
          <w:rFonts w:ascii="Times New Roman" w:hAnsi="Times New Roman" w:cs="Times New Roman"/>
          <w:sz w:val="16"/>
          <w:szCs w:val="16"/>
        </w:rPr>
        <w:t xml:space="preserve">Entrevista realizada a </w:t>
      </w:r>
      <w:proofErr w:type="spellStart"/>
      <w:r>
        <w:rPr>
          <w:rFonts w:ascii="Times New Roman" w:hAnsi="Times New Roman" w:cs="Times New Roman"/>
          <w:sz w:val="16"/>
          <w:szCs w:val="16"/>
        </w:rPr>
        <w:t>Heroldo</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Secco</w:t>
      </w:r>
      <w:proofErr w:type="spellEnd"/>
      <w:r>
        <w:rPr>
          <w:rFonts w:ascii="Times New Roman" w:hAnsi="Times New Roman" w:cs="Times New Roman"/>
          <w:sz w:val="16"/>
          <w:szCs w:val="16"/>
        </w:rPr>
        <w:t xml:space="preserve"> Jr. el 4 de mayo de 2018 vía online. </w:t>
      </w:r>
      <w:proofErr w:type="spellStart"/>
      <w:r>
        <w:rPr>
          <w:rFonts w:ascii="Times New Roman" w:hAnsi="Times New Roman" w:cs="Times New Roman"/>
          <w:sz w:val="16"/>
          <w:szCs w:val="16"/>
        </w:rPr>
        <w:t>Heroldo</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Secco</w:t>
      </w:r>
      <w:proofErr w:type="spellEnd"/>
      <w:r>
        <w:rPr>
          <w:rFonts w:ascii="Times New Roman" w:hAnsi="Times New Roman" w:cs="Times New Roman"/>
          <w:sz w:val="16"/>
          <w:szCs w:val="16"/>
        </w:rPr>
        <w:t xml:space="preserve"> Jr. es un especialista en yerba mate y maneja las exportaciones de este producto desde 1999. </w:t>
      </w:r>
    </w:p>
  </w:footnote>
  <w:footnote w:id="3">
    <w:p w:rsidR="009813EA" w:rsidRDefault="009813EA" w:rsidP="000A53D3">
      <w:pPr>
        <w:pStyle w:val="Normal1"/>
        <w:spacing w:line="240" w:lineRule="auto"/>
        <w:jc w:val="both"/>
      </w:pPr>
      <w:r>
        <w:rPr>
          <w:vertAlign w:val="superscript"/>
        </w:rPr>
        <w:footnoteRef/>
      </w:r>
      <w:r>
        <w:rPr>
          <w:rFonts w:ascii="Times New Roman" w:hAnsi="Times New Roman" w:cs="Times New Roman"/>
          <w:sz w:val="16"/>
          <w:szCs w:val="16"/>
        </w:rPr>
        <w:t xml:space="preserve"> </w:t>
      </w:r>
      <w:proofErr w:type="spellStart"/>
      <w:r>
        <w:rPr>
          <w:rFonts w:ascii="Times New Roman" w:hAnsi="Times New Roman" w:cs="Times New Roman"/>
          <w:sz w:val="16"/>
          <w:szCs w:val="16"/>
        </w:rPr>
        <w:t>Tharic</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Galuchi</w:t>
      </w:r>
      <w:proofErr w:type="spellEnd"/>
      <w:r>
        <w:rPr>
          <w:rFonts w:ascii="Times New Roman" w:hAnsi="Times New Roman" w:cs="Times New Roman"/>
          <w:sz w:val="16"/>
          <w:szCs w:val="16"/>
        </w:rPr>
        <w:t xml:space="preserve"> es coordinador de certificación agrícola en IMAFLORA (Instituto de Manejo y Certificación Forestal y Agrícola) en Brasil.</w:t>
      </w:r>
    </w:p>
  </w:footnote>
  <w:footnote w:id="4">
    <w:p w:rsidR="009813EA" w:rsidRDefault="009813EA" w:rsidP="001B285F">
      <w:pPr>
        <w:pStyle w:val="NormalWeb"/>
      </w:pPr>
      <w:r w:rsidRPr="00DC7DD2">
        <w:rPr>
          <w:rStyle w:val="Refdenotaalpie"/>
          <w:sz w:val="16"/>
          <w:szCs w:val="16"/>
        </w:rPr>
        <w:footnoteRef/>
      </w:r>
      <w:r w:rsidRPr="00DC7DD2">
        <w:rPr>
          <w:sz w:val="16"/>
          <w:szCs w:val="16"/>
        </w:rPr>
        <w:t xml:space="preserve"> </w:t>
      </w:r>
      <w:r>
        <w:rPr>
          <w:sz w:val="16"/>
          <w:szCs w:val="16"/>
        </w:rPr>
        <w:t xml:space="preserve">Entrevista realizada a </w:t>
      </w:r>
      <w:r w:rsidRPr="00DC7DD2">
        <w:rPr>
          <w:sz w:val="16"/>
          <w:szCs w:val="16"/>
        </w:rPr>
        <w:t xml:space="preserve">Pablo </w:t>
      </w:r>
      <w:proofErr w:type="spellStart"/>
      <w:r w:rsidRPr="00DC7DD2">
        <w:rPr>
          <w:sz w:val="16"/>
          <w:szCs w:val="16"/>
        </w:rPr>
        <w:t>Andrés</w:t>
      </w:r>
      <w:proofErr w:type="spellEnd"/>
      <w:r w:rsidRPr="00DC7DD2">
        <w:rPr>
          <w:sz w:val="16"/>
          <w:szCs w:val="16"/>
        </w:rPr>
        <w:t xml:space="preserve"> Ruiz</w:t>
      </w:r>
      <w:r>
        <w:rPr>
          <w:sz w:val="16"/>
          <w:szCs w:val="16"/>
        </w:rPr>
        <w:t>,</w:t>
      </w:r>
      <w:r w:rsidRPr="00DC7DD2">
        <w:rPr>
          <w:sz w:val="16"/>
          <w:szCs w:val="16"/>
        </w:rPr>
        <w:t xml:space="preserve"> actual </w:t>
      </w:r>
      <w:proofErr w:type="spellStart"/>
      <w:r w:rsidRPr="00DC7DD2">
        <w:rPr>
          <w:sz w:val="16"/>
          <w:szCs w:val="16"/>
        </w:rPr>
        <w:t>co</w:t>
      </w:r>
      <w:proofErr w:type="spellEnd"/>
      <w:r w:rsidRPr="00DC7DD2">
        <w:rPr>
          <w:sz w:val="16"/>
          <w:szCs w:val="16"/>
        </w:rPr>
        <w:t xml:space="preserve">-gerente para </w:t>
      </w:r>
      <w:proofErr w:type="spellStart"/>
      <w:r w:rsidRPr="00DC7DD2">
        <w:rPr>
          <w:sz w:val="16"/>
          <w:szCs w:val="16"/>
        </w:rPr>
        <w:t>Latinoamérica</w:t>
      </w:r>
      <w:proofErr w:type="spellEnd"/>
      <w:r w:rsidRPr="00DC7DD2">
        <w:rPr>
          <w:sz w:val="16"/>
          <w:szCs w:val="16"/>
        </w:rPr>
        <w:t xml:space="preserve"> en </w:t>
      </w:r>
      <w:proofErr w:type="spellStart"/>
      <w:r w:rsidRPr="00DC7DD2">
        <w:rPr>
          <w:sz w:val="16"/>
          <w:szCs w:val="16"/>
        </w:rPr>
        <w:t>Fundación</w:t>
      </w:r>
      <w:proofErr w:type="spellEnd"/>
      <w:r w:rsidRPr="00DC7DD2">
        <w:rPr>
          <w:sz w:val="16"/>
          <w:szCs w:val="16"/>
        </w:rPr>
        <w:t xml:space="preserve"> Hanns R. Neumann </w:t>
      </w:r>
      <w:proofErr w:type="spellStart"/>
      <w:r w:rsidRPr="00DC7DD2">
        <w:rPr>
          <w:sz w:val="16"/>
          <w:szCs w:val="16"/>
        </w:rPr>
        <w:t>Stiftung</w:t>
      </w:r>
      <w:proofErr w:type="spellEnd"/>
      <w:r w:rsidRPr="00DC7DD2">
        <w:rPr>
          <w:sz w:val="16"/>
          <w:szCs w:val="16"/>
        </w:rPr>
        <w:t>.</w:t>
      </w:r>
    </w:p>
  </w:footnote>
  <w:footnote w:id="5">
    <w:p w:rsidR="0021394C" w:rsidRPr="0021394C" w:rsidRDefault="0021394C" w:rsidP="0021394C">
      <w:pPr>
        <w:pStyle w:val="Textonotapie"/>
        <w:jc w:val="both"/>
        <w:rPr>
          <w:rFonts w:ascii="Times New Roman" w:hAnsi="Times New Roman" w:cs="Times New Roman"/>
          <w:lang w:val="es-AR"/>
        </w:rPr>
      </w:pPr>
      <w:r w:rsidRPr="0021394C">
        <w:rPr>
          <w:rStyle w:val="Refdenotaalpie"/>
          <w:rFonts w:ascii="Times New Roman" w:hAnsi="Times New Roman"/>
        </w:rPr>
        <w:footnoteRef/>
      </w:r>
      <w:r w:rsidRPr="0021394C">
        <w:rPr>
          <w:rFonts w:ascii="Times New Roman" w:hAnsi="Times New Roman" w:cs="Times New Roman"/>
        </w:rPr>
        <w:t xml:space="preserve"> Es importante resaltar que hemos tenido una cantidad muy pequeña de empresas que dicen haber tenido un bajo cumplimiento o no haber cumplido en absoluto con estas medidas. Por lo tanto, algunos de los indicadores no muestran un patrón claro, lo que podría significar que este tipo de empresas pueden tener un rendimiento diferente dependiendo de cada caso, o que los resultados obtenidos son simplemente valores atípicos.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454"/>
    <w:multiLevelType w:val="hybridMultilevel"/>
    <w:tmpl w:val="7794C9EA"/>
    <w:lvl w:ilvl="0" w:tplc="D7B6DB0C">
      <w:start w:val="1"/>
      <w:numFmt w:val="bullet"/>
      <w:lvlText w:val=""/>
      <w:lvlJc w:val="left"/>
      <w:pPr>
        <w:tabs>
          <w:tab w:val="num" w:pos="0"/>
        </w:tabs>
        <w:ind w:left="794" w:hanging="794"/>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A6F1E33"/>
    <w:multiLevelType w:val="hybridMultilevel"/>
    <w:tmpl w:val="7A6E3B52"/>
    <w:lvl w:ilvl="0" w:tplc="D7B6DB0C">
      <w:start w:val="1"/>
      <w:numFmt w:val="bullet"/>
      <w:lvlText w:val=""/>
      <w:lvlJc w:val="left"/>
      <w:pPr>
        <w:tabs>
          <w:tab w:val="num" w:pos="0"/>
        </w:tabs>
        <w:ind w:left="794" w:hanging="794"/>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6A0C0D91"/>
    <w:multiLevelType w:val="multilevel"/>
    <w:tmpl w:val="7C425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4CD3346"/>
    <w:multiLevelType w:val="hybridMultilevel"/>
    <w:tmpl w:val="7C4258B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B0"/>
    <w:rsid w:val="000333C1"/>
    <w:rsid w:val="00040874"/>
    <w:rsid w:val="00042E81"/>
    <w:rsid w:val="0007269B"/>
    <w:rsid w:val="000825B0"/>
    <w:rsid w:val="0008484F"/>
    <w:rsid w:val="000A53D3"/>
    <w:rsid w:val="000B1AB3"/>
    <w:rsid w:val="000D60F1"/>
    <w:rsid w:val="000F0002"/>
    <w:rsid w:val="000F311F"/>
    <w:rsid w:val="001049C7"/>
    <w:rsid w:val="0011223D"/>
    <w:rsid w:val="00141DE9"/>
    <w:rsid w:val="00142F4C"/>
    <w:rsid w:val="00143DC0"/>
    <w:rsid w:val="0017198F"/>
    <w:rsid w:val="00180F54"/>
    <w:rsid w:val="001A07FD"/>
    <w:rsid w:val="001A60CF"/>
    <w:rsid w:val="001B285F"/>
    <w:rsid w:val="001F5FAF"/>
    <w:rsid w:val="00210A27"/>
    <w:rsid w:val="0021394C"/>
    <w:rsid w:val="002168A4"/>
    <w:rsid w:val="0023699C"/>
    <w:rsid w:val="0029454B"/>
    <w:rsid w:val="002A4A90"/>
    <w:rsid w:val="002C4DCA"/>
    <w:rsid w:val="002D2EAA"/>
    <w:rsid w:val="002D417B"/>
    <w:rsid w:val="002F193A"/>
    <w:rsid w:val="002F2FD0"/>
    <w:rsid w:val="002F6F20"/>
    <w:rsid w:val="00332107"/>
    <w:rsid w:val="00357B4C"/>
    <w:rsid w:val="00372137"/>
    <w:rsid w:val="003734C1"/>
    <w:rsid w:val="003A1B5F"/>
    <w:rsid w:val="00414804"/>
    <w:rsid w:val="00431516"/>
    <w:rsid w:val="004318ED"/>
    <w:rsid w:val="0043248C"/>
    <w:rsid w:val="00435416"/>
    <w:rsid w:val="00437ED8"/>
    <w:rsid w:val="00447BC6"/>
    <w:rsid w:val="004534C4"/>
    <w:rsid w:val="00486C1F"/>
    <w:rsid w:val="00490426"/>
    <w:rsid w:val="004B5EC8"/>
    <w:rsid w:val="004C09CE"/>
    <w:rsid w:val="004D211E"/>
    <w:rsid w:val="004D2442"/>
    <w:rsid w:val="004E028C"/>
    <w:rsid w:val="00501960"/>
    <w:rsid w:val="00542FF5"/>
    <w:rsid w:val="00556CE6"/>
    <w:rsid w:val="005618EE"/>
    <w:rsid w:val="00574CF8"/>
    <w:rsid w:val="00587264"/>
    <w:rsid w:val="00596FBA"/>
    <w:rsid w:val="005C5103"/>
    <w:rsid w:val="005E09E5"/>
    <w:rsid w:val="005F46C7"/>
    <w:rsid w:val="005F5763"/>
    <w:rsid w:val="00620E47"/>
    <w:rsid w:val="006343BC"/>
    <w:rsid w:val="00641259"/>
    <w:rsid w:val="0065488D"/>
    <w:rsid w:val="00692864"/>
    <w:rsid w:val="006D3C59"/>
    <w:rsid w:val="006D4364"/>
    <w:rsid w:val="006F32FF"/>
    <w:rsid w:val="0070168D"/>
    <w:rsid w:val="00711450"/>
    <w:rsid w:val="007349B7"/>
    <w:rsid w:val="00761C17"/>
    <w:rsid w:val="00766941"/>
    <w:rsid w:val="00786B46"/>
    <w:rsid w:val="007E0DA9"/>
    <w:rsid w:val="007E6FAC"/>
    <w:rsid w:val="0082101C"/>
    <w:rsid w:val="00824359"/>
    <w:rsid w:val="00840DB8"/>
    <w:rsid w:val="00852565"/>
    <w:rsid w:val="008570FC"/>
    <w:rsid w:val="00880652"/>
    <w:rsid w:val="00894C6A"/>
    <w:rsid w:val="00897D32"/>
    <w:rsid w:val="008A06BE"/>
    <w:rsid w:val="008C30CD"/>
    <w:rsid w:val="008E62D2"/>
    <w:rsid w:val="008F6755"/>
    <w:rsid w:val="00915D2F"/>
    <w:rsid w:val="00975445"/>
    <w:rsid w:val="009800F0"/>
    <w:rsid w:val="009813EA"/>
    <w:rsid w:val="00990923"/>
    <w:rsid w:val="009B124B"/>
    <w:rsid w:val="009B6938"/>
    <w:rsid w:val="009C36FF"/>
    <w:rsid w:val="009F6FA8"/>
    <w:rsid w:val="00A016A5"/>
    <w:rsid w:val="00A05A69"/>
    <w:rsid w:val="00A21319"/>
    <w:rsid w:val="00A24A65"/>
    <w:rsid w:val="00A42788"/>
    <w:rsid w:val="00A43EEE"/>
    <w:rsid w:val="00A937A7"/>
    <w:rsid w:val="00AC4B54"/>
    <w:rsid w:val="00AC722C"/>
    <w:rsid w:val="00AD1EB6"/>
    <w:rsid w:val="00AD26C3"/>
    <w:rsid w:val="00AF62A9"/>
    <w:rsid w:val="00B16D63"/>
    <w:rsid w:val="00B31098"/>
    <w:rsid w:val="00B3326E"/>
    <w:rsid w:val="00B3329B"/>
    <w:rsid w:val="00B524FD"/>
    <w:rsid w:val="00B62C10"/>
    <w:rsid w:val="00B77E03"/>
    <w:rsid w:val="00B93182"/>
    <w:rsid w:val="00B96D3A"/>
    <w:rsid w:val="00BA2B16"/>
    <w:rsid w:val="00BA3B75"/>
    <w:rsid w:val="00BC036A"/>
    <w:rsid w:val="00BF4E52"/>
    <w:rsid w:val="00BF781D"/>
    <w:rsid w:val="00BF798A"/>
    <w:rsid w:val="00C0417E"/>
    <w:rsid w:val="00C11EE0"/>
    <w:rsid w:val="00C47C72"/>
    <w:rsid w:val="00C67A2E"/>
    <w:rsid w:val="00C8136D"/>
    <w:rsid w:val="00C81708"/>
    <w:rsid w:val="00C901B0"/>
    <w:rsid w:val="00CA47FA"/>
    <w:rsid w:val="00CD1A01"/>
    <w:rsid w:val="00CD2E2C"/>
    <w:rsid w:val="00CF1B84"/>
    <w:rsid w:val="00CF556F"/>
    <w:rsid w:val="00D02CA7"/>
    <w:rsid w:val="00D126AB"/>
    <w:rsid w:val="00D37A8F"/>
    <w:rsid w:val="00D438F8"/>
    <w:rsid w:val="00D52A3E"/>
    <w:rsid w:val="00D73ECB"/>
    <w:rsid w:val="00D86FCC"/>
    <w:rsid w:val="00DB78A9"/>
    <w:rsid w:val="00DC7DD2"/>
    <w:rsid w:val="00DD3E4B"/>
    <w:rsid w:val="00DF00EE"/>
    <w:rsid w:val="00E13186"/>
    <w:rsid w:val="00E94F66"/>
    <w:rsid w:val="00EA715B"/>
    <w:rsid w:val="00EB6913"/>
    <w:rsid w:val="00ED399B"/>
    <w:rsid w:val="00F04EE4"/>
    <w:rsid w:val="00F248D0"/>
    <w:rsid w:val="00F617CD"/>
    <w:rsid w:val="00F644C7"/>
    <w:rsid w:val="00F75BE9"/>
    <w:rsid w:val="00F77E86"/>
    <w:rsid w:val="00FB1CE2"/>
    <w:rsid w:val="00FC2275"/>
    <w:rsid w:val="00FC697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64"/>
    <w:pPr>
      <w:spacing w:line="276" w:lineRule="auto"/>
    </w:pPr>
  </w:style>
  <w:style w:type="paragraph" w:styleId="Ttulo1">
    <w:name w:val="heading 1"/>
    <w:basedOn w:val="Normal1"/>
    <w:next w:val="Normal1"/>
    <w:link w:val="Ttulo1Car"/>
    <w:uiPriority w:val="99"/>
    <w:qFormat/>
    <w:rsid w:val="00C901B0"/>
    <w:pPr>
      <w:keepNext/>
      <w:keepLines/>
      <w:spacing w:before="400" w:after="120"/>
      <w:outlineLvl w:val="0"/>
    </w:pPr>
    <w:rPr>
      <w:sz w:val="40"/>
      <w:szCs w:val="40"/>
    </w:rPr>
  </w:style>
  <w:style w:type="paragraph" w:styleId="Ttulo2">
    <w:name w:val="heading 2"/>
    <w:basedOn w:val="Normal1"/>
    <w:next w:val="Normal1"/>
    <w:link w:val="Ttulo2Car"/>
    <w:uiPriority w:val="99"/>
    <w:qFormat/>
    <w:rsid w:val="00C901B0"/>
    <w:pPr>
      <w:keepNext/>
      <w:keepLines/>
      <w:spacing w:before="360" w:after="120"/>
      <w:outlineLvl w:val="1"/>
    </w:pPr>
    <w:rPr>
      <w:sz w:val="32"/>
      <w:szCs w:val="32"/>
    </w:rPr>
  </w:style>
  <w:style w:type="paragraph" w:styleId="Ttulo3">
    <w:name w:val="heading 3"/>
    <w:basedOn w:val="Normal1"/>
    <w:next w:val="Normal1"/>
    <w:link w:val="Ttulo3Car"/>
    <w:uiPriority w:val="99"/>
    <w:qFormat/>
    <w:rsid w:val="00C901B0"/>
    <w:pPr>
      <w:keepNext/>
      <w:keepLines/>
      <w:spacing w:before="320" w:after="80"/>
      <w:outlineLvl w:val="2"/>
    </w:pPr>
    <w:rPr>
      <w:color w:val="434343"/>
      <w:sz w:val="28"/>
      <w:szCs w:val="28"/>
    </w:rPr>
  </w:style>
  <w:style w:type="paragraph" w:styleId="Ttulo4">
    <w:name w:val="heading 4"/>
    <w:basedOn w:val="Normal1"/>
    <w:next w:val="Normal1"/>
    <w:link w:val="Ttulo4Car"/>
    <w:uiPriority w:val="99"/>
    <w:qFormat/>
    <w:rsid w:val="00C901B0"/>
    <w:pPr>
      <w:keepNext/>
      <w:keepLines/>
      <w:spacing w:before="280" w:after="80"/>
      <w:outlineLvl w:val="3"/>
    </w:pPr>
    <w:rPr>
      <w:color w:val="666666"/>
      <w:sz w:val="24"/>
      <w:szCs w:val="24"/>
    </w:rPr>
  </w:style>
  <w:style w:type="paragraph" w:styleId="Ttulo5">
    <w:name w:val="heading 5"/>
    <w:basedOn w:val="Normal1"/>
    <w:next w:val="Normal1"/>
    <w:link w:val="Ttulo5Car"/>
    <w:uiPriority w:val="99"/>
    <w:qFormat/>
    <w:rsid w:val="00C901B0"/>
    <w:pPr>
      <w:keepNext/>
      <w:keepLines/>
      <w:spacing w:before="240" w:after="80"/>
      <w:outlineLvl w:val="4"/>
    </w:pPr>
    <w:rPr>
      <w:color w:val="666666"/>
    </w:rPr>
  </w:style>
  <w:style w:type="paragraph" w:styleId="Ttulo6">
    <w:name w:val="heading 6"/>
    <w:basedOn w:val="Normal1"/>
    <w:next w:val="Normal1"/>
    <w:link w:val="Ttulo6Car"/>
    <w:uiPriority w:val="99"/>
    <w:qFormat/>
    <w:rsid w:val="00C901B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F6FA8"/>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9F6FA8"/>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9F6FA8"/>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9F6FA8"/>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9F6FA8"/>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9F6FA8"/>
    <w:rPr>
      <w:rFonts w:ascii="Calibri" w:hAnsi="Calibri" w:cs="Times New Roman"/>
      <w:b/>
      <w:bCs/>
    </w:rPr>
  </w:style>
  <w:style w:type="paragraph" w:customStyle="1" w:styleId="Normal1">
    <w:name w:val="Normal1"/>
    <w:uiPriority w:val="99"/>
    <w:rsid w:val="00C901B0"/>
    <w:pPr>
      <w:spacing w:line="276" w:lineRule="auto"/>
    </w:pPr>
  </w:style>
  <w:style w:type="paragraph" w:styleId="Ttulo">
    <w:name w:val="Title"/>
    <w:basedOn w:val="Normal1"/>
    <w:next w:val="Normal1"/>
    <w:link w:val="TtuloCar"/>
    <w:uiPriority w:val="99"/>
    <w:qFormat/>
    <w:rsid w:val="00C901B0"/>
    <w:pPr>
      <w:keepNext/>
      <w:keepLines/>
      <w:spacing w:after="60"/>
    </w:pPr>
    <w:rPr>
      <w:sz w:val="52"/>
      <w:szCs w:val="52"/>
    </w:rPr>
  </w:style>
  <w:style w:type="character" w:customStyle="1" w:styleId="TtuloCar">
    <w:name w:val="Título Car"/>
    <w:basedOn w:val="Fuentedeprrafopredeter"/>
    <w:link w:val="Ttulo"/>
    <w:uiPriority w:val="99"/>
    <w:locked/>
    <w:rsid w:val="009F6FA8"/>
    <w:rPr>
      <w:rFonts w:ascii="Cambria" w:hAnsi="Cambria" w:cs="Times New Roman"/>
      <w:b/>
      <w:bCs/>
      <w:kern w:val="28"/>
      <w:sz w:val="32"/>
      <w:szCs w:val="32"/>
    </w:rPr>
  </w:style>
  <w:style w:type="paragraph" w:styleId="Subttulo">
    <w:name w:val="Subtitle"/>
    <w:basedOn w:val="Normal1"/>
    <w:next w:val="Normal1"/>
    <w:link w:val="SubttuloCar"/>
    <w:uiPriority w:val="99"/>
    <w:qFormat/>
    <w:rsid w:val="00C901B0"/>
    <w:pPr>
      <w:keepNext/>
      <w:keepLines/>
      <w:spacing w:after="320"/>
    </w:pPr>
    <w:rPr>
      <w:color w:val="666666"/>
      <w:sz w:val="30"/>
      <w:szCs w:val="30"/>
    </w:rPr>
  </w:style>
  <w:style w:type="character" w:customStyle="1" w:styleId="SubttuloCar">
    <w:name w:val="Subtítulo Car"/>
    <w:basedOn w:val="Fuentedeprrafopredeter"/>
    <w:link w:val="Subttulo"/>
    <w:uiPriority w:val="99"/>
    <w:locked/>
    <w:rsid w:val="009F6FA8"/>
    <w:rPr>
      <w:rFonts w:ascii="Cambria" w:hAnsi="Cambria" w:cs="Times New Roman"/>
      <w:sz w:val="24"/>
      <w:szCs w:val="24"/>
    </w:rPr>
  </w:style>
  <w:style w:type="paragraph" w:styleId="Textodeglobo">
    <w:name w:val="Balloon Text"/>
    <w:basedOn w:val="Normal"/>
    <w:link w:val="TextodegloboCar"/>
    <w:uiPriority w:val="99"/>
    <w:semiHidden/>
    <w:rsid w:val="004318E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F6FA8"/>
    <w:rPr>
      <w:rFonts w:ascii="Times New Roman" w:hAnsi="Times New Roman" w:cs="Times New Roman"/>
      <w:sz w:val="2"/>
    </w:rPr>
  </w:style>
  <w:style w:type="table" w:styleId="Tablaconcuadrcula">
    <w:name w:val="Table Grid"/>
    <w:basedOn w:val="Tablanormal"/>
    <w:uiPriority w:val="99"/>
    <w:locked/>
    <w:rsid w:val="0007269B"/>
    <w:pPr>
      <w:spacing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5F5763"/>
    <w:rPr>
      <w:rFonts w:cs="Times New Roman"/>
    </w:rPr>
  </w:style>
  <w:style w:type="character" w:styleId="Hipervnculo">
    <w:name w:val="Hyperlink"/>
    <w:basedOn w:val="Fuentedeprrafopredeter"/>
    <w:uiPriority w:val="99"/>
    <w:rsid w:val="000D60F1"/>
    <w:rPr>
      <w:rFonts w:cs="Times New Roman"/>
      <w:color w:val="0000FF"/>
      <w:u w:val="single"/>
    </w:rPr>
  </w:style>
  <w:style w:type="paragraph" w:styleId="Textonotapie">
    <w:name w:val="footnote text"/>
    <w:basedOn w:val="Normal"/>
    <w:link w:val="TextonotapieCar"/>
    <w:uiPriority w:val="99"/>
    <w:semiHidden/>
    <w:rsid w:val="0008484F"/>
    <w:rPr>
      <w:sz w:val="20"/>
      <w:szCs w:val="20"/>
    </w:rPr>
  </w:style>
  <w:style w:type="character" w:customStyle="1" w:styleId="TextonotapieCar">
    <w:name w:val="Texto nota pie Car"/>
    <w:basedOn w:val="Fuentedeprrafopredeter"/>
    <w:link w:val="Textonotapie"/>
    <w:uiPriority w:val="99"/>
    <w:semiHidden/>
    <w:locked/>
    <w:rsid w:val="0008484F"/>
    <w:rPr>
      <w:rFonts w:ascii="Arial" w:hAnsi="Arial" w:cs="Arial"/>
      <w:lang w:val="es-ES_tradnl" w:eastAsia="es-ES_tradnl" w:bidi="ar-SA"/>
    </w:rPr>
  </w:style>
  <w:style w:type="character" w:styleId="Refdenotaalpie">
    <w:name w:val="footnote reference"/>
    <w:basedOn w:val="Fuentedeprrafopredeter"/>
    <w:uiPriority w:val="99"/>
    <w:semiHidden/>
    <w:rsid w:val="0008484F"/>
    <w:rPr>
      <w:rFonts w:cs="Times New Roman"/>
      <w:vertAlign w:val="superscript"/>
    </w:rPr>
  </w:style>
  <w:style w:type="paragraph" w:styleId="Epgrafe">
    <w:name w:val="caption"/>
    <w:basedOn w:val="Normal"/>
    <w:next w:val="Normal"/>
    <w:uiPriority w:val="99"/>
    <w:qFormat/>
    <w:locked/>
    <w:rsid w:val="001B285F"/>
    <w:pPr>
      <w:spacing w:after="200" w:line="240" w:lineRule="auto"/>
    </w:pPr>
    <w:rPr>
      <w:i/>
      <w:iCs/>
      <w:color w:val="1F497D"/>
      <w:sz w:val="18"/>
      <w:szCs w:val="18"/>
      <w:lang w:eastAsia="ko-KR"/>
    </w:rPr>
  </w:style>
  <w:style w:type="paragraph" w:styleId="NormalWeb">
    <w:name w:val="Normal (Web)"/>
    <w:basedOn w:val="Normal"/>
    <w:uiPriority w:val="99"/>
    <w:rsid w:val="001B285F"/>
    <w:pPr>
      <w:spacing w:before="100" w:beforeAutospacing="1" w:after="100" w:afterAutospacing="1" w:line="240" w:lineRule="auto"/>
    </w:pPr>
    <w:rPr>
      <w:rFonts w:ascii="Times New Roman" w:eastAsia="Times New Roman" w:hAnsi="Times New Roman" w:cs="Times New Roman"/>
      <w:sz w:val="24"/>
      <w:szCs w:val="24"/>
      <w:lang w:val="es-US" w:eastAsia="ko-KR"/>
    </w:rPr>
  </w:style>
  <w:style w:type="character" w:styleId="Refdecomentario">
    <w:name w:val="annotation reference"/>
    <w:basedOn w:val="Fuentedeprrafopredeter"/>
    <w:uiPriority w:val="99"/>
    <w:semiHidden/>
    <w:rsid w:val="00F75BE9"/>
    <w:rPr>
      <w:rFonts w:cs="Times New Roman"/>
      <w:sz w:val="16"/>
      <w:szCs w:val="16"/>
    </w:rPr>
  </w:style>
  <w:style w:type="paragraph" w:styleId="Textocomentario">
    <w:name w:val="annotation text"/>
    <w:basedOn w:val="Normal"/>
    <w:link w:val="TextocomentarioCar"/>
    <w:uiPriority w:val="99"/>
    <w:semiHidden/>
    <w:rsid w:val="00F75BE9"/>
    <w:rPr>
      <w:sz w:val="20"/>
      <w:szCs w:val="20"/>
    </w:rPr>
  </w:style>
  <w:style w:type="character" w:customStyle="1" w:styleId="TextocomentarioCar">
    <w:name w:val="Texto comentario Car"/>
    <w:basedOn w:val="Fuentedeprrafopredeter"/>
    <w:link w:val="Textocomentario"/>
    <w:uiPriority w:val="99"/>
    <w:semiHidden/>
    <w:rsid w:val="000008FC"/>
    <w:rPr>
      <w:sz w:val="20"/>
      <w:szCs w:val="20"/>
    </w:rPr>
  </w:style>
  <w:style w:type="paragraph" w:styleId="Asuntodelcomentario">
    <w:name w:val="annotation subject"/>
    <w:basedOn w:val="Textocomentario"/>
    <w:next w:val="Textocomentario"/>
    <w:link w:val="AsuntodelcomentarioCar"/>
    <w:uiPriority w:val="99"/>
    <w:semiHidden/>
    <w:rsid w:val="00F75BE9"/>
    <w:rPr>
      <w:b/>
      <w:bCs/>
    </w:rPr>
  </w:style>
  <w:style w:type="character" w:customStyle="1" w:styleId="AsuntodelcomentarioCar">
    <w:name w:val="Asunto del comentario Car"/>
    <w:basedOn w:val="TextocomentarioCar"/>
    <w:link w:val="Asuntodelcomentario"/>
    <w:uiPriority w:val="99"/>
    <w:semiHidden/>
    <w:rsid w:val="000008FC"/>
    <w:rPr>
      <w:b/>
      <w:bCs/>
      <w:sz w:val="20"/>
      <w:szCs w:val="20"/>
    </w:rPr>
  </w:style>
  <w:style w:type="paragraph" w:styleId="Encabezado">
    <w:name w:val="header"/>
    <w:basedOn w:val="Normal"/>
    <w:link w:val="EncabezadoCar"/>
    <w:uiPriority w:val="99"/>
    <w:unhideWhenUsed/>
    <w:rsid w:val="00C0417E"/>
    <w:pPr>
      <w:tabs>
        <w:tab w:val="center" w:pos="4419"/>
        <w:tab w:val="right" w:pos="8838"/>
      </w:tabs>
    </w:pPr>
  </w:style>
  <w:style w:type="character" w:customStyle="1" w:styleId="EncabezadoCar">
    <w:name w:val="Encabezado Car"/>
    <w:basedOn w:val="Fuentedeprrafopredeter"/>
    <w:link w:val="Encabezado"/>
    <w:uiPriority w:val="99"/>
    <w:rsid w:val="00C0417E"/>
  </w:style>
  <w:style w:type="paragraph" w:styleId="Piedepgina">
    <w:name w:val="footer"/>
    <w:basedOn w:val="Normal"/>
    <w:link w:val="PiedepginaCar"/>
    <w:uiPriority w:val="99"/>
    <w:unhideWhenUsed/>
    <w:rsid w:val="00C0417E"/>
    <w:pPr>
      <w:tabs>
        <w:tab w:val="center" w:pos="4419"/>
        <w:tab w:val="right" w:pos="8838"/>
      </w:tabs>
    </w:pPr>
  </w:style>
  <w:style w:type="character" w:customStyle="1" w:styleId="PiedepginaCar">
    <w:name w:val="Pie de página Car"/>
    <w:basedOn w:val="Fuentedeprrafopredeter"/>
    <w:link w:val="Piedepgina"/>
    <w:uiPriority w:val="99"/>
    <w:rsid w:val="00C04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64"/>
    <w:pPr>
      <w:spacing w:line="276" w:lineRule="auto"/>
    </w:pPr>
  </w:style>
  <w:style w:type="paragraph" w:styleId="Ttulo1">
    <w:name w:val="heading 1"/>
    <w:basedOn w:val="Normal1"/>
    <w:next w:val="Normal1"/>
    <w:link w:val="Ttulo1Car"/>
    <w:uiPriority w:val="99"/>
    <w:qFormat/>
    <w:rsid w:val="00C901B0"/>
    <w:pPr>
      <w:keepNext/>
      <w:keepLines/>
      <w:spacing w:before="400" w:after="120"/>
      <w:outlineLvl w:val="0"/>
    </w:pPr>
    <w:rPr>
      <w:sz w:val="40"/>
      <w:szCs w:val="40"/>
    </w:rPr>
  </w:style>
  <w:style w:type="paragraph" w:styleId="Ttulo2">
    <w:name w:val="heading 2"/>
    <w:basedOn w:val="Normal1"/>
    <w:next w:val="Normal1"/>
    <w:link w:val="Ttulo2Car"/>
    <w:uiPriority w:val="99"/>
    <w:qFormat/>
    <w:rsid w:val="00C901B0"/>
    <w:pPr>
      <w:keepNext/>
      <w:keepLines/>
      <w:spacing w:before="360" w:after="120"/>
      <w:outlineLvl w:val="1"/>
    </w:pPr>
    <w:rPr>
      <w:sz w:val="32"/>
      <w:szCs w:val="32"/>
    </w:rPr>
  </w:style>
  <w:style w:type="paragraph" w:styleId="Ttulo3">
    <w:name w:val="heading 3"/>
    <w:basedOn w:val="Normal1"/>
    <w:next w:val="Normal1"/>
    <w:link w:val="Ttulo3Car"/>
    <w:uiPriority w:val="99"/>
    <w:qFormat/>
    <w:rsid w:val="00C901B0"/>
    <w:pPr>
      <w:keepNext/>
      <w:keepLines/>
      <w:spacing w:before="320" w:after="80"/>
      <w:outlineLvl w:val="2"/>
    </w:pPr>
    <w:rPr>
      <w:color w:val="434343"/>
      <w:sz w:val="28"/>
      <w:szCs w:val="28"/>
    </w:rPr>
  </w:style>
  <w:style w:type="paragraph" w:styleId="Ttulo4">
    <w:name w:val="heading 4"/>
    <w:basedOn w:val="Normal1"/>
    <w:next w:val="Normal1"/>
    <w:link w:val="Ttulo4Car"/>
    <w:uiPriority w:val="99"/>
    <w:qFormat/>
    <w:rsid w:val="00C901B0"/>
    <w:pPr>
      <w:keepNext/>
      <w:keepLines/>
      <w:spacing w:before="280" w:after="80"/>
      <w:outlineLvl w:val="3"/>
    </w:pPr>
    <w:rPr>
      <w:color w:val="666666"/>
      <w:sz w:val="24"/>
      <w:szCs w:val="24"/>
    </w:rPr>
  </w:style>
  <w:style w:type="paragraph" w:styleId="Ttulo5">
    <w:name w:val="heading 5"/>
    <w:basedOn w:val="Normal1"/>
    <w:next w:val="Normal1"/>
    <w:link w:val="Ttulo5Car"/>
    <w:uiPriority w:val="99"/>
    <w:qFormat/>
    <w:rsid w:val="00C901B0"/>
    <w:pPr>
      <w:keepNext/>
      <w:keepLines/>
      <w:spacing w:before="240" w:after="80"/>
      <w:outlineLvl w:val="4"/>
    </w:pPr>
    <w:rPr>
      <w:color w:val="666666"/>
    </w:rPr>
  </w:style>
  <w:style w:type="paragraph" w:styleId="Ttulo6">
    <w:name w:val="heading 6"/>
    <w:basedOn w:val="Normal1"/>
    <w:next w:val="Normal1"/>
    <w:link w:val="Ttulo6Car"/>
    <w:uiPriority w:val="99"/>
    <w:qFormat/>
    <w:rsid w:val="00C901B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F6FA8"/>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9F6FA8"/>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9F6FA8"/>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9F6FA8"/>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9F6FA8"/>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9F6FA8"/>
    <w:rPr>
      <w:rFonts w:ascii="Calibri" w:hAnsi="Calibri" w:cs="Times New Roman"/>
      <w:b/>
      <w:bCs/>
    </w:rPr>
  </w:style>
  <w:style w:type="paragraph" w:customStyle="1" w:styleId="Normal1">
    <w:name w:val="Normal1"/>
    <w:uiPriority w:val="99"/>
    <w:rsid w:val="00C901B0"/>
    <w:pPr>
      <w:spacing w:line="276" w:lineRule="auto"/>
    </w:pPr>
  </w:style>
  <w:style w:type="paragraph" w:styleId="Ttulo">
    <w:name w:val="Title"/>
    <w:basedOn w:val="Normal1"/>
    <w:next w:val="Normal1"/>
    <w:link w:val="TtuloCar"/>
    <w:uiPriority w:val="99"/>
    <w:qFormat/>
    <w:rsid w:val="00C901B0"/>
    <w:pPr>
      <w:keepNext/>
      <w:keepLines/>
      <w:spacing w:after="60"/>
    </w:pPr>
    <w:rPr>
      <w:sz w:val="52"/>
      <w:szCs w:val="52"/>
    </w:rPr>
  </w:style>
  <w:style w:type="character" w:customStyle="1" w:styleId="TtuloCar">
    <w:name w:val="Título Car"/>
    <w:basedOn w:val="Fuentedeprrafopredeter"/>
    <w:link w:val="Ttulo"/>
    <w:uiPriority w:val="99"/>
    <w:locked/>
    <w:rsid w:val="009F6FA8"/>
    <w:rPr>
      <w:rFonts w:ascii="Cambria" w:hAnsi="Cambria" w:cs="Times New Roman"/>
      <w:b/>
      <w:bCs/>
      <w:kern w:val="28"/>
      <w:sz w:val="32"/>
      <w:szCs w:val="32"/>
    </w:rPr>
  </w:style>
  <w:style w:type="paragraph" w:styleId="Subttulo">
    <w:name w:val="Subtitle"/>
    <w:basedOn w:val="Normal1"/>
    <w:next w:val="Normal1"/>
    <w:link w:val="SubttuloCar"/>
    <w:uiPriority w:val="99"/>
    <w:qFormat/>
    <w:rsid w:val="00C901B0"/>
    <w:pPr>
      <w:keepNext/>
      <w:keepLines/>
      <w:spacing w:after="320"/>
    </w:pPr>
    <w:rPr>
      <w:color w:val="666666"/>
      <w:sz w:val="30"/>
      <w:szCs w:val="30"/>
    </w:rPr>
  </w:style>
  <w:style w:type="character" w:customStyle="1" w:styleId="SubttuloCar">
    <w:name w:val="Subtítulo Car"/>
    <w:basedOn w:val="Fuentedeprrafopredeter"/>
    <w:link w:val="Subttulo"/>
    <w:uiPriority w:val="99"/>
    <w:locked/>
    <w:rsid w:val="009F6FA8"/>
    <w:rPr>
      <w:rFonts w:ascii="Cambria" w:hAnsi="Cambria" w:cs="Times New Roman"/>
      <w:sz w:val="24"/>
      <w:szCs w:val="24"/>
    </w:rPr>
  </w:style>
  <w:style w:type="paragraph" w:styleId="Textodeglobo">
    <w:name w:val="Balloon Text"/>
    <w:basedOn w:val="Normal"/>
    <w:link w:val="TextodegloboCar"/>
    <w:uiPriority w:val="99"/>
    <w:semiHidden/>
    <w:rsid w:val="004318E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F6FA8"/>
    <w:rPr>
      <w:rFonts w:ascii="Times New Roman" w:hAnsi="Times New Roman" w:cs="Times New Roman"/>
      <w:sz w:val="2"/>
    </w:rPr>
  </w:style>
  <w:style w:type="table" w:styleId="Tablaconcuadrcula">
    <w:name w:val="Table Grid"/>
    <w:basedOn w:val="Tablanormal"/>
    <w:uiPriority w:val="99"/>
    <w:locked/>
    <w:rsid w:val="0007269B"/>
    <w:pPr>
      <w:spacing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5F5763"/>
    <w:rPr>
      <w:rFonts w:cs="Times New Roman"/>
    </w:rPr>
  </w:style>
  <w:style w:type="character" w:styleId="Hipervnculo">
    <w:name w:val="Hyperlink"/>
    <w:basedOn w:val="Fuentedeprrafopredeter"/>
    <w:uiPriority w:val="99"/>
    <w:rsid w:val="000D60F1"/>
    <w:rPr>
      <w:rFonts w:cs="Times New Roman"/>
      <w:color w:val="0000FF"/>
      <w:u w:val="single"/>
    </w:rPr>
  </w:style>
  <w:style w:type="paragraph" w:styleId="Textonotapie">
    <w:name w:val="footnote text"/>
    <w:basedOn w:val="Normal"/>
    <w:link w:val="TextonotapieCar"/>
    <w:uiPriority w:val="99"/>
    <w:semiHidden/>
    <w:rsid w:val="0008484F"/>
    <w:rPr>
      <w:sz w:val="20"/>
      <w:szCs w:val="20"/>
    </w:rPr>
  </w:style>
  <w:style w:type="character" w:customStyle="1" w:styleId="TextonotapieCar">
    <w:name w:val="Texto nota pie Car"/>
    <w:basedOn w:val="Fuentedeprrafopredeter"/>
    <w:link w:val="Textonotapie"/>
    <w:uiPriority w:val="99"/>
    <w:semiHidden/>
    <w:locked/>
    <w:rsid w:val="0008484F"/>
    <w:rPr>
      <w:rFonts w:ascii="Arial" w:hAnsi="Arial" w:cs="Arial"/>
      <w:lang w:val="es-ES_tradnl" w:eastAsia="es-ES_tradnl" w:bidi="ar-SA"/>
    </w:rPr>
  </w:style>
  <w:style w:type="character" w:styleId="Refdenotaalpie">
    <w:name w:val="footnote reference"/>
    <w:basedOn w:val="Fuentedeprrafopredeter"/>
    <w:uiPriority w:val="99"/>
    <w:semiHidden/>
    <w:rsid w:val="0008484F"/>
    <w:rPr>
      <w:rFonts w:cs="Times New Roman"/>
      <w:vertAlign w:val="superscript"/>
    </w:rPr>
  </w:style>
  <w:style w:type="paragraph" w:styleId="Epgrafe">
    <w:name w:val="caption"/>
    <w:basedOn w:val="Normal"/>
    <w:next w:val="Normal"/>
    <w:uiPriority w:val="99"/>
    <w:qFormat/>
    <w:locked/>
    <w:rsid w:val="001B285F"/>
    <w:pPr>
      <w:spacing w:after="200" w:line="240" w:lineRule="auto"/>
    </w:pPr>
    <w:rPr>
      <w:i/>
      <w:iCs/>
      <w:color w:val="1F497D"/>
      <w:sz w:val="18"/>
      <w:szCs w:val="18"/>
      <w:lang w:eastAsia="ko-KR"/>
    </w:rPr>
  </w:style>
  <w:style w:type="paragraph" w:styleId="NormalWeb">
    <w:name w:val="Normal (Web)"/>
    <w:basedOn w:val="Normal"/>
    <w:uiPriority w:val="99"/>
    <w:rsid w:val="001B285F"/>
    <w:pPr>
      <w:spacing w:before="100" w:beforeAutospacing="1" w:after="100" w:afterAutospacing="1" w:line="240" w:lineRule="auto"/>
    </w:pPr>
    <w:rPr>
      <w:rFonts w:ascii="Times New Roman" w:eastAsia="Times New Roman" w:hAnsi="Times New Roman" w:cs="Times New Roman"/>
      <w:sz w:val="24"/>
      <w:szCs w:val="24"/>
      <w:lang w:val="es-US" w:eastAsia="ko-KR"/>
    </w:rPr>
  </w:style>
  <w:style w:type="character" w:styleId="Refdecomentario">
    <w:name w:val="annotation reference"/>
    <w:basedOn w:val="Fuentedeprrafopredeter"/>
    <w:uiPriority w:val="99"/>
    <w:semiHidden/>
    <w:rsid w:val="00F75BE9"/>
    <w:rPr>
      <w:rFonts w:cs="Times New Roman"/>
      <w:sz w:val="16"/>
      <w:szCs w:val="16"/>
    </w:rPr>
  </w:style>
  <w:style w:type="paragraph" w:styleId="Textocomentario">
    <w:name w:val="annotation text"/>
    <w:basedOn w:val="Normal"/>
    <w:link w:val="TextocomentarioCar"/>
    <w:uiPriority w:val="99"/>
    <w:semiHidden/>
    <w:rsid w:val="00F75BE9"/>
    <w:rPr>
      <w:sz w:val="20"/>
      <w:szCs w:val="20"/>
    </w:rPr>
  </w:style>
  <w:style w:type="character" w:customStyle="1" w:styleId="TextocomentarioCar">
    <w:name w:val="Texto comentario Car"/>
    <w:basedOn w:val="Fuentedeprrafopredeter"/>
    <w:link w:val="Textocomentario"/>
    <w:uiPriority w:val="99"/>
    <w:semiHidden/>
    <w:rsid w:val="000008FC"/>
    <w:rPr>
      <w:sz w:val="20"/>
      <w:szCs w:val="20"/>
    </w:rPr>
  </w:style>
  <w:style w:type="paragraph" w:styleId="Asuntodelcomentario">
    <w:name w:val="annotation subject"/>
    <w:basedOn w:val="Textocomentario"/>
    <w:next w:val="Textocomentario"/>
    <w:link w:val="AsuntodelcomentarioCar"/>
    <w:uiPriority w:val="99"/>
    <w:semiHidden/>
    <w:rsid w:val="00F75BE9"/>
    <w:rPr>
      <w:b/>
      <w:bCs/>
    </w:rPr>
  </w:style>
  <w:style w:type="character" w:customStyle="1" w:styleId="AsuntodelcomentarioCar">
    <w:name w:val="Asunto del comentario Car"/>
    <w:basedOn w:val="TextocomentarioCar"/>
    <w:link w:val="Asuntodelcomentario"/>
    <w:uiPriority w:val="99"/>
    <w:semiHidden/>
    <w:rsid w:val="000008FC"/>
    <w:rPr>
      <w:b/>
      <w:bCs/>
      <w:sz w:val="20"/>
      <w:szCs w:val="20"/>
    </w:rPr>
  </w:style>
  <w:style w:type="paragraph" w:styleId="Encabezado">
    <w:name w:val="header"/>
    <w:basedOn w:val="Normal"/>
    <w:link w:val="EncabezadoCar"/>
    <w:uiPriority w:val="99"/>
    <w:unhideWhenUsed/>
    <w:rsid w:val="00C0417E"/>
    <w:pPr>
      <w:tabs>
        <w:tab w:val="center" w:pos="4419"/>
        <w:tab w:val="right" w:pos="8838"/>
      </w:tabs>
    </w:pPr>
  </w:style>
  <w:style w:type="character" w:customStyle="1" w:styleId="EncabezadoCar">
    <w:name w:val="Encabezado Car"/>
    <w:basedOn w:val="Fuentedeprrafopredeter"/>
    <w:link w:val="Encabezado"/>
    <w:uiPriority w:val="99"/>
    <w:rsid w:val="00C0417E"/>
  </w:style>
  <w:style w:type="paragraph" w:styleId="Piedepgina">
    <w:name w:val="footer"/>
    <w:basedOn w:val="Normal"/>
    <w:link w:val="PiedepginaCar"/>
    <w:uiPriority w:val="99"/>
    <w:unhideWhenUsed/>
    <w:rsid w:val="00C0417E"/>
    <w:pPr>
      <w:tabs>
        <w:tab w:val="center" w:pos="4419"/>
        <w:tab w:val="right" w:pos="8838"/>
      </w:tabs>
    </w:pPr>
  </w:style>
  <w:style w:type="character" w:customStyle="1" w:styleId="PiedepginaCar">
    <w:name w:val="Pie de página Car"/>
    <w:basedOn w:val="Fuentedeprrafopredeter"/>
    <w:link w:val="Piedepgina"/>
    <w:uiPriority w:val="99"/>
    <w:rsid w:val="00C0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0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mer.es/seguridad-alimentaria/ciencia-y-tecnologia/2006/10/11/25267.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lobalgap.org/es/what-we-do/globalg.a.p.-certification/globalg.a.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0EF7-7131-419D-8D4D-4238CDE0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7196</Words>
  <Characters>39582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lpstr>
    </vt:vector>
  </TitlesOfParts>
  <Company>MREC</Company>
  <LinksUpToDate>false</LinksUpToDate>
  <CharactersWithSpaces>46685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Galperin, Carlos</cp:lastModifiedBy>
  <cp:revision>4</cp:revision>
  <dcterms:created xsi:type="dcterms:W3CDTF">2019-08-26T17:43:00Z</dcterms:created>
  <dcterms:modified xsi:type="dcterms:W3CDTF">2019-08-26T18:16:00Z</dcterms:modified>
</cp:coreProperties>
</file>