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59" w:rsidRPr="001537FF" w:rsidRDefault="00E20679" w:rsidP="005A299D">
      <w:pPr>
        <w:spacing w:before="120" w:after="120"/>
        <w:jc w:val="center"/>
        <w:rPr>
          <w:rFonts w:ascii="Times New Roman" w:hAnsi="Times New Roman"/>
          <w:b/>
          <w:color w:val="000000"/>
          <w:sz w:val="24"/>
          <w:szCs w:val="24"/>
        </w:rPr>
      </w:pPr>
      <w:bookmarkStart w:id="0" w:name="_GoBack"/>
      <w:r>
        <w:rPr>
          <w:rFonts w:ascii="Times New Roman" w:hAnsi="Times New Roman"/>
          <w:b/>
          <w:color w:val="000000"/>
          <w:sz w:val="24"/>
          <w:szCs w:val="24"/>
        </w:rPr>
        <w:t>ADOPCIÓN TECNOLÓGICA EN MODELOS DE PRODUCCIÓN DE LECHE EN LA CUENCA NORESTE DE LA PROVINCIA DE CÓRDOBA. IMPACTO FÍSICO Y ECONÓMICO.</w:t>
      </w:r>
    </w:p>
    <w:bookmarkEnd w:id="0"/>
    <w:p w:rsidR="009516FE" w:rsidRDefault="009516FE" w:rsidP="005A299D">
      <w:pPr>
        <w:widowControl w:val="0"/>
        <w:spacing w:before="120" w:after="120" w:line="264" w:lineRule="auto"/>
        <w:rPr>
          <w:rFonts w:ascii="Times New Roman" w:eastAsia="Times New Roman" w:hAnsi="Times New Roman"/>
          <w:sz w:val="24"/>
          <w:szCs w:val="24"/>
          <w:lang w:val="es-ES_tradnl" w:eastAsia="es-ES"/>
        </w:rPr>
      </w:pPr>
    </w:p>
    <w:p w:rsidR="00555759" w:rsidRPr="00E6087B" w:rsidRDefault="009516FE" w:rsidP="005A299D">
      <w:pPr>
        <w:widowControl w:val="0"/>
        <w:spacing w:before="120" w:after="120" w:line="264"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MEYER PAZ</w:t>
      </w:r>
      <w:r w:rsidR="008421C3">
        <w:rPr>
          <w:rFonts w:ascii="Times New Roman" w:eastAsia="Times New Roman" w:hAnsi="Times New Roman"/>
          <w:sz w:val="24"/>
          <w:szCs w:val="24"/>
          <w:lang w:val="es-ES_tradnl" w:eastAsia="es-ES"/>
        </w:rPr>
        <w:t>*</w:t>
      </w:r>
      <w:r w:rsidR="009C6AE3" w:rsidRPr="00E6087B">
        <w:rPr>
          <w:rFonts w:ascii="Times New Roman" w:eastAsia="Times New Roman" w:hAnsi="Times New Roman"/>
          <w:sz w:val="24"/>
          <w:szCs w:val="24"/>
          <w:vertAlign w:val="superscript"/>
          <w:lang w:val="es-ES_tradnl" w:eastAsia="es-ES"/>
        </w:rPr>
        <w:t>1</w:t>
      </w:r>
      <w:r w:rsidR="001537FF">
        <w:rPr>
          <w:rFonts w:ascii="Times New Roman" w:eastAsia="Times New Roman" w:hAnsi="Times New Roman"/>
          <w:sz w:val="24"/>
          <w:szCs w:val="24"/>
          <w:lang w:val="es-ES_tradnl" w:eastAsia="es-ES"/>
        </w:rPr>
        <w:t>, R</w:t>
      </w:r>
      <w:r>
        <w:rPr>
          <w:rFonts w:ascii="Times New Roman" w:eastAsia="Times New Roman" w:hAnsi="Times New Roman"/>
          <w:sz w:val="24"/>
          <w:szCs w:val="24"/>
          <w:lang w:val="es-ES_tradnl" w:eastAsia="es-ES"/>
        </w:rPr>
        <w:t>oberto</w:t>
      </w:r>
      <w:r w:rsidR="002F2F87" w:rsidRPr="00E6087B">
        <w:rPr>
          <w:rFonts w:ascii="Times New Roman" w:eastAsia="Times New Roman" w:hAnsi="Times New Roman"/>
          <w:sz w:val="24"/>
          <w:szCs w:val="24"/>
          <w:lang w:val="es-ES_tradnl" w:eastAsia="es-ES"/>
        </w:rPr>
        <w:t>;</w:t>
      </w:r>
      <w:r w:rsidR="00E20679">
        <w:rPr>
          <w:rFonts w:ascii="Times New Roman" w:eastAsia="Times New Roman" w:hAnsi="Times New Roman"/>
          <w:sz w:val="24"/>
          <w:szCs w:val="24"/>
          <w:lang w:val="es-ES_tradnl" w:eastAsia="es-ES"/>
        </w:rPr>
        <w:t xml:space="preserve"> </w:t>
      </w:r>
      <w:r>
        <w:rPr>
          <w:rFonts w:ascii="Times New Roman" w:eastAsia="Times New Roman" w:hAnsi="Times New Roman"/>
          <w:sz w:val="24"/>
          <w:szCs w:val="24"/>
          <w:lang w:val="es-ES_tradnl" w:eastAsia="es-ES"/>
        </w:rPr>
        <w:t>DA RIVA</w:t>
      </w:r>
      <w:r w:rsidR="00F42421" w:rsidRPr="00E6087B">
        <w:rPr>
          <w:rFonts w:ascii="Times New Roman" w:eastAsia="Times New Roman" w:hAnsi="Times New Roman"/>
          <w:sz w:val="24"/>
          <w:szCs w:val="24"/>
          <w:vertAlign w:val="superscript"/>
          <w:lang w:val="es-ES_tradnl" w:eastAsia="es-ES"/>
        </w:rPr>
        <w:t>1</w:t>
      </w:r>
      <w:r w:rsidR="001537FF">
        <w:rPr>
          <w:rFonts w:ascii="Times New Roman" w:eastAsia="Times New Roman" w:hAnsi="Times New Roman"/>
          <w:sz w:val="24"/>
          <w:szCs w:val="24"/>
          <w:lang w:val="es-ES_tradnl" w:eastAsia="es-ES"/>
        </w:rPr>
        <w:t>, M</w:t>
      </w:r>
      <w:r>
        <w:rPr>
          <w:rFonts w:ascii="Times New Roman" w:eastAsia="Times New Roman" w:hAnsi="Times New Roman"/>
          <w:sz w:val="24"/>
          <w:szCs w:val="24"/>
          <w:lang w:val="es-ES_tradnl" w:eastAsia="es-ES"/>
        </w:rPr>
        <w:t>ariano</w:t>
      </w:r>
      <w:r w:rsidR="00A6364F" w:rsidRPr="00E6087B">
        <w:rPr>
          <w:rFonts w:ascii="Times New Roman" w:eastAsia="Times New Roman" w:hAnsi="Times New Roman"/>
          <w:sz w:val="24"/>
          <w:szCs w:val="24"/>
          <w:lang w:val="es-ES_tradnl" w:eastAsia="es-ES"/>
        </w:rPr>
        <w:t xml:space="preserve">; </w:t>
      </w:r>
      <w:r w:rsidR="00E20679">
        <w:rPr>
          <w:rFonts w:ascii="Times New Roman" w:eastAsia="Times New Roman" w:hAnsi="Times New Roman"/>
          <w:sz w:val="24"/>
          <w:szCs w:val="24"/>
          <w:lang w:val="es-ES_tradnl" w:eastAsia="es-ES"/>
        </w:rPr>
        <w:t>PEDRAZA</w:t>
      </w:r>
      <w:r w:rsidR="00A6364F" w:rsidRPr="00E6087B">
        <w:rPr>
          <w:rFonts w:ascii="Times New Roman" w:eastAsia="Times New Roman" w:hAnsi="Times New Roman"/>
          <w:sz w:val="24"/>
          <w:szCs w:val="24"/>
          <w:vertAlign w:val="superscript"/>
          <w:lang w:val="es-ES_tradnl" w:eastAsia="es-ES"/>
        </w:rPr>
        <w:t>1</w:t>
      </w:r>
      <w:r w:rsidR="00F42421">
        <w:rPr>
          <w:rFonts w:ascii="Times New Roman" w:eastAsia="Times New Roman" w:hAnsi="Times New Roman"/>
          <w:sz w:val="24"/>
          <w:szCs w:val="24"/>
          <w:lang w:val="es-ES_tradnl" w:eastAsia="es-ES"/>
        </w:rPr>
        <w:t>, M</w:t>
      </w:r>
      <w:r>
        <w:rPr>
          <w:rFonts w:ascii="Times New Roman" w:eastAsia="Times New Roman" w:hAnsi="Times New Roman"/>
          <w:sz w:val="24"/>
          <w:szCs w:val="24"/>
          <w:lang w:val="es-ES_tradnl" w:eastAsia="es-ES"/>
        </w:rPr>
        <w:t xml:space="preserve">aría </w:t>
      </w:r>
      <w:r w:rsidR="00B82C45">
        <w:rPr>
          <w:rFonts w:ascii="Times New Roman" w:eastAsia="Times New Roman" w:hAnsi="Times New Roman"/>
          <w:sz w:val="24"/>
          <w:szCs w:val="24"/>
          <w:lang w:val="es-ES_tradnl" w:eastAsia="es-ES"/>
        </w:rPr>
        <w:t>Belén</w:t>
      </w:r>
      <w:r w:rsidR="005B1BFB" w:rsidRPr="00E6087B">
        <w:rPr>
          <w:rFonts w:ascii="Times New Roman" w:eastAsia="Times New Roman" w:hAnsi="Times New Roman"/>
          <w:sz w:val="24"/>
          <w:szCs w:val="24"/>
          <w:lang w:val="es-ES_tradnl" w:eastAsia="es-ES"/>
        </w:rPr>
        <w:t>;</w:t>
      </w:r>
      <w:r w:rsidR="006A4674">
        <w:rPr>
          <w:rFonts w:ascii="Times New Roman" w:eastAsia="Times New Roman" w:hAnsi="Times New Roman"/>
          <w:sz w:val="24"/>
          <w:szCs w:val="24"/>
          <w:lang w:val="es-ES_tradnl" w:eastAsia="es-ES"/>
        </w:rPr>
        <w:t xml:space="preserve"> ROMERO</w:t>
      </w:r>
      <w:r w:rsidR="009542DE" w:rsidRPr="009542DE">
        <w:rPr>
          <w:rFonts w:ascii="Times New Roman" w:eastAsia="Times New Roman" w:hAnsi="Times New Roman"/>
          <w:sz w:val="24"/>
          <w:szCs w:val="24"/>
          <w:vertAlign w:val="superscript"/>
          <w:lang w:val="es-ES_tradnl" w:eastAsia="es-ES"/>
        </w:rPr>
        <w:t>1</w:t>
      </w:r>
      <w:r w:rsidR="006A4674">
        <w:rPr>
          <w:rFonts w:ascii="Times New Roman" w:eastAsia="Times New Roman" w:hAnsi="Times New Roman"/>
          <w:sz w:val="24"/>
          <w:szCs w:val="24"/>
          <w:lang w:val="es-ES_tradnl" w:eastAsia="es-ES"/>
        </w:rPr>
        <w:t>, María Guadalupe;</w:t>
      </w:r>
      <w:r w:rsidR="00E20679">
        <w:rPr>
          <w:rFonts w:ascii="Times New Roman" w:eastAsia="Times New Roman" w:hAnsi="Times New Roman"/>
          <w:sz w:val="24"/>
          <w:szCs w:val="24"/>
          <w:lang w:val="es-ES_tradnl" w:eastAsia="es-ES"/>
        </w:rPr>
        <w:t xml:space="preserve"> LAGARES</w:t>
      </w:r>
      <w:r w:rsidR="009542DE" w:rsidRPr="009542DE">
        <w:rPr>
          <w:rFonts w:ascii="Times New Roman" w:eastAsia="Times New Roman" w:hAnsi="Times New Roman"/>
          <w:sz w:val="24"/>
          <w:szCs w:val="24"/>
          <w:vertAlign w:val="superscript"/>
          <w:lang w:val="es-ES_tradnl" w:eastAsia="es-ES"/>
        </w:rPr>
        <w:t>1</w:t>
      </w:r>
      <w:r w:rsidR="00E20679">
        <w:rPr>
          <w:rFonts w:ascii="Times New Roman" w:eastAsia="Times New Roman" w:hAnsi="Times New Roman"/>
          <w:sz w:val="24"/>
          <w:szCs w:val="24"/>
          <w:lang w:val="es-ES_tradnl" w:eastAsia="es-ES"/>
        </w:rPr>
        <w:t>, María Delfina</w:t>
      </w:r>
      <w:r w:rsidR="006A4674">
        <w:rPr>
          <w:rFonts w:ascii="Times New Roman" w:eastAsia="Times New Roman" w:hAnsi="Times New Roman"/>
          <w:sz w:val="24"/>
          <w:szCs w:val="24"/>
          <w:lang w:val="es-ES_tradnl" w:eastAsia="es-ES"/>
        </w:rPr>
        <w:t xml:space="preserve"> y SERENA</w:t>
      </w:r>
      <w:r w:rsidR="006A4674" w:rsidRPr="006A4674">
        <w:rPr>
          <w:rFonts w:ascii="Times New Roman" w:eastAsia="Times New Roman" w:hAnsi="Times New Roman"/>
          <w:sz w:val="24"/>
          <w:szCs w:val="24"/>
          <w:vertAlign w:val="superscript"/>
          <w:lang w:val="es-ES_tradnl" w:eastAsia="es-ES"/>
        </w:rPr>
        <w:t>1</w:t>
      </w:r>
      <w:r w:rsidR="006A4674">
        <w:rPr>
          <w:rFonts w:ascii="Times New Roman" w:eastAsia="Times New Roman" w:hAnsi="Times New Roman"/>
          <w:sz w:val="24"/>
          <w:szCs w:val="24"/>
          <w:lang w:val="es-ES_tradnl" w:eastAsia="es-ES"/>
        </w:rPr>
        <w:t>, Jorge</w:t>
      </w:r>
      <w:r w:rsidR="00E20679">
        <w:rPr>
          <w:rFonts w:ascii="Times New Roman" w:eastAsia="Times New Roman" w:hAnsi="Times New Roman"/>
          <w:sz w:val="24"/>
          <w:szCs w:val="24"/>
          <w:lang w:val="es-ES_tradnl" w:eastAsia="es-ES"/>
        </w:rPr>
        <w:t>.</w:t>
      </w:r>
    </w:p>
    <w:p w:rsidR="009C6AE3" w:rsidRDefault="009C6AE3" w:rsidP="005A299D">
      <w:pPr>
        <w:pStyle w:val="Default"/>
        <w:spacing w:before="120" w:after="120" w:line="360" w:lineRule="auto"/>
        <w:rPr>
          <w:rFonts w:eastAsia="Times New Roman"/>
          <w:lang w:val="es-ES_tradnl" w:eastAsia="es-ES"/>
        </w:rPr>
      </w:pPr>
      <w:r w:rsidRPr="00EF2C2A">
        <w:rPr>
          <w:rFonts w:eastAsia="Times New Roman"/>
          <w:vertAlign w:val="superscript"/>
          <w:lang w:val="es-ES_tradnl" w:eastAsia="es-ES"/>
        </w:rPr>
        <w:t>1</w:t>
      </w:r>
      <w:r w:rsidRPr="00E6087B">
        <w:rPr>
          <w:rFonts w:eastAsia="Times New Roman"/>
          <w:lang w:val="es-ES_tradnl" w:eastAsia="es-ES"/>
        </w:rPr>
        <w:t>Facultad de Ciencias Agropecuarias de la Universidad Nacional de Córdoba.</w:t>
      </w:r>
    </w:p>
    <w:p w:rsidR="00BA403C" w:rsidRPr="00EF2C2A" w:rsidRDefault="008421C3" w:rsidP="005A299D">
      <w:pPr>
        <w:pStyle w:val="Default"/>
        <w:spacing w:before="120" w:after="120" w:line="360" w:lineRule="auto"/>
        <w:rPr>
          <w:rFonts w:eastAsia="Times New Roman"/>
          <w:lang w:val="es-ES_tradnl" w:eastAsia="es-ES"/>
        </w:rPr>
      </w:pPr>
      <w:r w:rsidRPr="00EF2C2A">
        <w:rPr>
          <w:rFonts w:eastAsia="Times New Roman"/>
          <w:vertAlign w:val="superscript"/>
          <w:lang w:val="es-ES_tradnl" w:eastAsia="es-ES"/>
        </w:rPr>
        <w:t>*</w:t>
      </w:r>
      <w:r w:rsidR="00293C5E" w:rsidRPr="00293C5E">
        <w:rPr>
          <w:rFonts w:eastAsia="Times New Roman"/>
          <w:lang w:val="es-ES_tradnl" w:eastAsia="es-ES"/>
        </w:rPr>
        <w:t>Roberto Meyer Paz:</w:t>
      </w:r>
      <w:r w:rsidR="004937B2">
        <w:rPr>
          <w:rFonts w:eastAsia="Times New Roman"/>
          <w:lang w:val="es-ES_tradnl" w:eastAsia="es-ES"/>
        </w:rPr>
        <w:t xml:space="preserve"> </w:t>
      </w:r>
      <w:hyperlink r:id="rId7" w:history="1">
        <w:r w:rsidR="00293C5E" w:rsidRPr="00EF2C2A">
          <w:rPr>
            <w:lang w:val="es-ES_tradnl"/>
          </w:rPr>
          <w:t>romeyer@agro.unc.edu.ar</w:t>
        </w:r>
      </w:hyperlink>
    </w:p>
    <w:p w:rsidR="001537FF" w:rsidRPr="008421C3" w:rsidRDefault="001537FF" w:rsidP="005A299D">
      <w:pPr>
        <w:pStyle w:val="HTMLconformatoprevio"/>
        <w:shd w:val="clear" w:color="auto" w:fill="FFFFFF"/>
        <w:spacing w:before="120" w:after="120"/>
        <w:rPr>
          <w:rFonts w:ascii="Times New Roman" w:hAnsi="Times New Roman" w:cs="Times New Roman"/>
          <w:i/>
          <w:color w:val="212121"/>
        </w:rPr>
      </w:pPr>
    </w:p>
    <w:p w:rsidR="000D13C2" w:rsidRPr="004B222D" w:rsidRDefault="00E20679" w:rsidP="005A299D">
      <w:pPr>
        <w:pStyle w:val="Default"/>
        <w:spacing w:before="120" w:after="120" w:line="360" w:lineRule="auto"/>
        <w:rPr>
          <w:rFonts w:eastAsia="Times New Roman"/>
          <w:lang w:val="es-ES_tradnl" w:eastAsia="es-ES"/>
        </w:rPr>
      </w:pPr>
      <w:r w:rsidRPr="004B222D">
        <w:rPr>
          <w:rFonts w:eastAsia="Times New Roman"/>
          <w:lang w:eastAsia="es-ES"/>
        </w:rPr>
        <w:t xml:space="preserve">En la etapa primaria se observa una fuerte heterogeneidad a nivel interregional e intersectorial, </w:t>
      </w:r>
      <w:proofErr w:type="gramStart"/>
      <w:r w:rsidRPr="004B222D">
        <w:rPr>
          <w:rFonts w:eastAsia="Times New Roman"/>
          <w:lang w:eastAsia="es-ES"/>
        </w:rPr>
        <w:t>manifestada</w:t>
      </w:r>
      <w:proofErr w:type="gramEnd"/>
      <w:r w:rsidRPr="004B222D">
        <w:rPr>
          <w:rFonts w:eastAsia="Times New Roman"/>
          <w:lang w:eastAsia="es-ES"/>
        </w:rPr>
        <w:t xml:space="preserve"> en una estructura atomizada donde coexisten unidades de diferentes tamaños y modelos tecnológicos de producción</w:t>
      </w:r>
      <w:r w:rsidRPr="004B222D">
        <w:rPr>
          <w:rFonts w:eastAsia="Times New Roman"/>
          <w:lang w:val="es-ES_tradnl" w:eastAsia="es-ES"/>
        </w:rPr>
        <w:t xml:space="preserve">. </w:t>
      </w:r>
      <w:r w:rsidRPr="004B222D">
        <w:rPr>
          <w:rFonts w:eastAsia="Times New Roman"/>
          <w:lang w:val="es-ES" w:eastAsia="es-ES"/>
        </w:rPr>
        <w:t xml:space="preserve">La hipótesis es que conociendo el impacto físico y económico de la adopción de tecnología se lograría definir la secuencia de adopción. </w:t>
      </w:r>
      <w:r w:rsidRPr="004B222D">
        <w:rPr>
          <w:rFonts w:eastAsia="Times New Roman"/>
          <w:lang w:val="es-ES_tradnl" w:eastAsia="es-ES"/>
        </w:rPr>
        <w:t xml:space="preserve">El objetivo fue </w:t>
      </w:r>
      <w:r w:rsidRPr="004B222D">
        <w:rPr>
          <w:rFonts w:eastAsia="Times New Roman"/>
          <w:lang w:val="es-ES" w:eastAsia="es-ES"/>
        </w:rPr>
        <w:t>conocer la secuencia de adopción tecnológica más conveniente en modelos de producción de leche en la cuenca noreste de la provincia de Córdoba a través del impacto físico y económico</w:t>
      </w:r>
      <w:r w:rsidRPr="004B222D">
        <w:rPr>
          <w:rFonts w:eastAsia="Times New Roman"/>
          <w:lang w:val="es-ES_tradnl" w:eastAsia="es-ES"/>
        </w:rPr>
        <w:t>.</w:t>
      </w:r>
      <w:r w:rsidRPr="004B222D">
        <w:rPr>
          <w:b/>
          <w:lang w:val="es-ES_tradnl"/>
        </w:rPr>
        <w:t xml:space="preserve"> </w:t>
      </w:r>
      <w:r w:rsidRPr="004B222D">
        <w:rPr>
          <w:lang w:val="es-ES"/>
        </w:rPr>
        <w:t xml:space="preserve">Las tecnologías agrupadas por afinidad temática fueron evaluadas a través de los siguientes indicadores físicos: litros por vaca </w:t>
      </w:r>
      <w:r w:rsidRPr="004B222D">
        <w:rPr>
          <w:rFonts w:eastAsia="Times New Roman"/>
          <w:lang w:val="es-ES_tradnl" w:eastAsia="es-ES"/>
        </w:rPr>
        <w:t xml:space="preserve">diarios, litros por año del establecimiento, kilogramos de carne de terneros y kilogramos de carne de vaca </w:t>
      </w:r>
      <w:proofErr w:type="spellStart"/>
      <w:r w:rsidRPr="004B222D">
        <w:rPr>
          <w:rFonts w:eastAsia="Times New Roman"/>
          <w:lang w:val="es-ES_tradnl" w:eastAsia="es-ES"/>
        </w:rPr>
        <w:t>refugo</w:t>
      </w:r>
      <w:proofErr w:type="spellEnd"/>
      <w:r w:rsidRPr="004B222D">
        <w:rPr>
          <w:rFonts w:eastAsia="Times New Roman"/>
          <w:lang w:val="es-ES_tradnl" w:eastAsia="es-ES"/>
        </w:rPr>
        <w:t xml:space="preserve"> y litros libres de alimentación. Para el cálculo económico se consideraron los siguientes indicadores: ingresos y egresos totales, resultado económico y fondos de libre disponibilidad. Como resultados se destaca el </w:t>
      </w:r>
      <w:r w:rsidRPr="004B222D">
        <w:rPr>
          <w:lang w:val="es-ES_tradnl"/>
        </w:rPr>
        <w:t>agrupamiento de las tecnologías por afinidad temática; se definió el nivel tecnológico que las utiliza y se determinó el impacto físico y económico que origina su implementación</w:t>
      </w:r>
      <w:r w:rsidRPr="004B222D">
        <w:rPr>
          <w:b/>
          <w:lang w:val="es-ES_tradnl"/>
        </w:rPr>
        <w:t>.</w:t>
      </w:r>
      <w:r w:rsidRPr="004B222D">
        <w:rPr>
          <w:rFonts w:eastAsia="Times New Roman"/>
          <w:lang w:val="es-ES_tradnl" w:eastAsia="es-ES"/>
        </w:rPr>
        <w:t xml:space="preserve"> Considerando el impacto físico y económico de la implementación individual de las tecnologías agrupadas por afinidad temática se definió la secuencia de adopción.</w:t>
      </w:r>
    </w:p>
    <w:p w:rsidR="008421C3" w:rsidRPr="008421C3" w:rsidRDefault="008421C3" w:rsidP="005A299D">
      <w:pPr>
        <w:pStyle w:val="Default"/>
        <w:spacing w:before="120" w:after="120" w:line="360" w:lineRule="auto"/>
        <w:rPr>
          <w:rFonts w:eastAsia="Times New Roman"/>
          <w:sz w:val="20"/>
          <w:szCs w:val="20"/>
          <w:lang w:val="es-ES"/>
        </w:rPr>
      </w:pPr>
    </w:p>
    <w:p w:rsidR="008421C3" w:rsidRDefault="008421C3" w:rsidP="005A299D">
      <w:pPr>
        <w:pStyle w:val="Default"/>
        <w:spacing w:before="120" w:after="120" w:line="360" w:lineRule="auto"/>
        <w:rPr>
          <w:rFonts w:ascii="Arial" w:eastAsia="Times New Roman" w:hAnsi="Arial" w:cs="Arial"/>
          <w:sz w:val="20"/>
          <w:szCs w:val="20"/>
          <w:lang w:val="es-ES"/>
        </w:rPr>
      </w:pPr>
    </w:p>
    <w:p w:rsidR="008421C3" w:rsidRPr="00EF2C2A" w:rsidRDefault="008421C3" w:rsidP="005A299D">
      <w:pPr>
        <w:pStyle w:val="Default"/>
        <w:spacing w:before="120" w:after="120" w:line="360" w:lineRule="auto"/>
        <w:rPr>
          <w:rFonts w:eastAsia="Times New Roman"/>
          <w:lang w:val="es-ES_tradnl" w:eastAsia="es-ES"/>
        </w:rPr>
      </w:pPr>
      <w:r w:rsidRPr="00EF2C2A">
        <w:rPr>
          <w:rFonts w:eastAsia="Times New Roman"/>
          <w:lang w:val="es-ES_tradnl" w:eastAsia="es-ES"/>
        </w:rPr>
        <w:t>Eje temático: 6- La tecnología agropecuaria. Innovación, transferencia y adopción de tecnología. La biotecnología y los transgénicos. El papel de los organismos técnicos en  la generación de tecnologías alternativas para la pequeña y mediana producción diversificada.</w:t>
      </w:r>
    </w:p>
    <w:p w:rsidR="008421C3" w:rsidRDefault="008421C3" w:rsidP="005A299D">
      <w:pPr>
        <w:pStyle w:val="Default"/>
        <w:spacing w:before="120" w:after="120" w:line="360" w:lineRule="auto"/>
        <w:rPr>
          <w:rFonts w:ascii="Arial" w:eastAsia="Times New Roman" w:hAnsi="Arial" w:cs="Arial"/>
          <w:sz w:val="20"/>
          <w:szCs w:val="20"/>
          <w:lang w:val="es-ES"/>
        </w:rPr>
      </w:pPr>
    </w:p>
    <w:p w:rsidR="00E20679" w:rsidRPr="001537FF" w:rsidRDefault="00E20679" w:rsidP="005A299D">
      <w:pPr>
        <w:spacing w:before="120" w:after="120"/>
        <w:jc w:val="center"/>
        <w:rPr>
          <w:rFonts w:ascii="Times New Roman" w:hAnsi="Times New Roman"/>
          <w:b/>
          <w:color w:val="000000"/>
          <w:sz w:val="24"/>
          <w:szCs w:val="24"/>
        </w:rPr>
      </w:pPr>
      <w:r>
        <w:rPr>
          <w:rFonts w:ascii="Times New Roman" w:hAnsi="Times New Roman"/>
          <w:b/>
          <w:color w:val="000000"/>
          <w:sz w:val="24"/>
          <w:szCs w:val="24"/>
        </w:rPr>
        <w:lastRenderedPageBreak/>
        <w:t>ADOPCIÓN TECNOLÓGICA EN MODELOS DE PRODUCCIÓN DE LECHE EN LA CUENCA NORESTE DE LA PROVINCIA DE CÓRDOBA. IMPACTO FÍSICO Y ECONÓMICO.</w:t>
      </w:r>
    </w:p>
    <w:p w:rsidR="008421C3" w:rsidRDefault="008421C3" w:rsidP="005A299D">
      <w:pPr>
        <w:pStyle w:val="Default"/>
        <w:spacing w:before="120" w:after="120" w:line="360" w:lineRule="auto"/>
        <w:rPr>
          <w:rFonts w:ascii="Arial" w:eastAsia="Times New Roman" w:hAnsi="Arial" w:cs="Arial"/>
          <w:sz w:val="20"/>
          <w:szCs w:val="20"/>
          <w:lang w:val="es-ES"/>
        </w:rPr>
      </w:pPr>
    </w:p>
    <w:p w:rsidR="00E20679" w:rsidRPr="00E20679" w:rsidRDefault="009542DE" w:rsidP="005A299D">
      <w:pPr>
        <w:pStyle w:val="Default"/>
        <w:spacing w:before="120" w:after="120" w:line="360" w:lineRule="auto"/>
        <w:rPr>
          <w:rFonts w:eastAsia="Times New Roman"/>
          <w:lang w:val="es-ES_tradnl" w:eastAsia="es-ES"/>
        </w:rPr>
      </w:pPr>
      <w:r>
        <w:rPr>
          <w:rFonts w:eastAsia="Times New Roman"/>
          <w:lang w:val="es-ES_tradnl" w:eastAsia="es-ES"/>
        </w:rPr>
        <w:t>MEYER PAZ</w:t>
      </w:r>
      <w:r w:rsidR="00E20679" w:rsidRPr="00E20679">
        <w:rPr>
          <w:rFonts w:eastAsia="Times New Roman"/>
          <w:lang w:val="es-ES_tradnl" w:eastAsia="es-ES"/>
        </w:rPr>
        <w:t xml:space="preserve">, Roberto; DA RIVA, Mariano; PEDRAZA, María </w:t>
      </w:r>
      <w:r w:rsidR="005903B6">
        <w:rPr>
          <w:rFonts w:eastAsia="Times New Roman"/>
          <w:lang w:val="es-ES_tradnl" w:eastAsia="es-ES"/>
        </w:rPr>
        <w:t>Belén; ROMERO, María Guadalupe;</w:t>
      </w:r>
      <w:r w:rsidR="00E20679" w:rsidRPr="00E20679">
        <w:rPr>
          <w:rFonts w:eastAsia="Times New Roman"/>
          <w:lang w:val="es-ES_tradnl" w:eastAsia="es-ES"/>
        </w:rPr>
        <w:t xml:space="preserve"> LAGARES, María Delfina</w:t>
      </w:r>
      <w:r w:rsidR="005903B6">
        <w:rPr>
          <w:rFonts w:eastAsia="Times New Roman"/>
          <w:lang w:val="es-ES_tradnl" w:eastAsia="es-ES"/>
        </w:rPr>
        <w:t xml:space="preserve"> y SERENA, Jorge</w:t>
      </w:r>
      <w:r w:rsidR="00E20679" w:rsidRPr="00E20679">
        <w:rPr>
          <w:rFonts w:eastAsia="Times New Roman"/>
          <w:lang w:val="es-ES_tradnl" w:eastAsia="es-ES"/>
        </w:rPr>
        <w:t>.</w:t>
      </w:r>
    </w:p>
    <w:p w:rsidR="008421C3" w:rsidRDefault="008421C3" w:rsidP="005A299D">
      <w:pPr>
        <w:pStyle w:val="Default"/>
        <w:spacing w:before="120" w:after="120" w:line="360" w:lineRule="auto"/>
        <w:rPr>
          <w:rFonts w:ascii="Arial" w:eastAsia="Times New Roman" w:hAnsi="Arial" w:cs="Arial"/>
          <w:sz w:val="20"/>
          <w:szCs w:val="20"/>
          <w:lang w:val="es-ES"/>
        </w:rPr>
      </w:pPr>
    </w:p>
    <w:p w:rsidR="008421C3" w:rsidRPr="008421C3" w:rsidRDefault="008421C3" w:rsidP="005A299D">
      <w:pPr>
        <w:pStyle w:val="Default"/>
        <w:spacing w:before="120" w:after="120" w:line="360" w:lineRule="auto"/>
        <w:rPr>
          <w:rFonts w:eastAsia="Times New Roman"/>
          <w:b/>
          <w:u w:val="single"/>
          <w:lang w:val="es-ES"/>
        </w:rPr>
      </w:pPr>
      <w:r w:rsidRPr="008421C3">
        <w:rPr>
          <w:rFonts w:eastAsia="Times New Roman"/>
          <w:b/>
          <w:u w:val="single"/>
          <w:lang w:val="es-ES"/>
        </w:rPr>
        <w:t>In</w:t>
      </w:r>
      <w:r w:rsidR="009516FE" w:rsidRPr="008421C3">
        <w:rPr>
          <w:rFonts w:eastAsia="Times New Roman"/>
          <w:b/>
          <w:u w:val="single"/>
          <w:lang w:val="es-ES"/>
        </w:rPr>
        <w:t xml:space="preserve">troducción </w:t>
      </w:r>
    </w:p>
    <w:p w:rsidR="008E77A0" w:rsidRPr="008E77A0" w:rsidRDefault="00A12D22" w:rsidP="005A299D">
      <w:pPr>
        <w:pStyle w:val="Default"/>
        <w:spacing w:before="120" w:after="120" w:line="360" w:lineRule="auto"/>
        <w:rPr>
          <w:rFonts w:eastAsia="Times New Roman"/>
          <w:lang w:val="es-ES"/>
        </w:rPr>
      </w:pPr>
      <w:r w:rsidRPr="008E77A0">
        <w:rPr>
          <w:rFonts w:eastAsia="Times New Roman"/>
          <w:lang w:val="es-ES"/>
        </w:rPr>
        <w:t>La producción nacional de leche para el año 2018 fue de 10.527 millones de litros, liderada por Córdoba, seguida por Santa Fe y Buenos Aires. Las restantes provincias productoras aportan en su conjunto el 6% del total nacional (Ministerio de Agroindustria de la Nación Argentina, 2018).</w:t>
      </w:r>
      <w:r w:rsidR="008E77A0" w:rsidRPr="008E77A0">
        <w:rPr>
          <w:rFonts w:eastAsia="Times New Roman"/>
          <w:lang w:val="es-ES"/>
        </w:rPr>
        <w:t xml:space="preserve"> </w:t>
      </w:r>
    </w:p>
    <w:p w:rsidR="008E77A0" w:rsidRDefault="008E77A0" w:rsidP="005A299D">
      <w:pPr>
        <w:pStyle w:val="Default"/>
        <w:spacing w:before="120" w:after="120" w:line="360" w:lineRule="auto"/>
        <w:rPr>
          <w:rFonts w:eastAsia="Times New Roman"/>
          <w:lang w:val="es-ES"/>
        </w:rPr>
      </w:pPr>
      <w:r w:rsidRPr="008E77A0">
        <w:rPr>
          <w:rFonts w:eastAsia="Times New Roman"/>
          <w:lang w:val="es-ES"/>
        </w:rPr>
        <w:t>La lechería bovina argentina es una de las cadenas agroalimentarias que mayores transformaciones ha experimentado. En las últimas dos décadas, el sector primario lácteo ha tenido un importante crecimiento de la producción lechera como consecuencia de una mayor eficiencia productiva acompañada por un sostenido proceso de intensificación en base a la adopción de los avances tecnológicos disponibles. Paulatinamente, la mayor parte de los tambos comerciales pasaron de modelos más extensivos a modelos de mayor complejidad con un incremento en el beneficio económico (</w:t>
      </w:r>
      <w:proofErr w:type="spellStart"/>
      <w:r w:rsidRPr="008E77A0">
        <w:rPr>
          <w:rFonts w:eastAsia="Times New Roman"/>
          <w:lang w:val="es-ES"/>
        </w:rPr>
        <w:t>Tieri</w:t>
      </w:r>
      <w:proofErr w:type="spellEnd"/>
      <w:r w:rsidRPr="008E77A0">
        <w:rPr>
          <w:rFonts w:eastAsia="Times New Roman"/>
          <w:lang w:val="es-ES"/>
        </w:rPr>
        <w:t xml:space="preserve"> </w:t>
      </w:r>
      <w:r w:rsidRPr="00354054">
        <w:rPr>
          <w:rFonts w:eastAsia="Times New Roman"/>
          <w:i/>
          <w:lang w:val="es-ES"/>
        </w:rPr>
        <w:t>et al.</w:t>
      </w:r>
      <w:r w:rsidRPr="008E77A0">
        <w:rPr>
          <w:rFonts w:eastAsia="Times New Roman"/>
          <w:lang w:val="es-ES"/>
        </w:rPr>
        <w:t>, 2014).</w:t>
      </w:r>
    </w:p>
    <w:p w:rsidR="00A12D22" w:rsidRPr="008E77A0" w:rsidRDefault="00D108C8" w:rsidP="005A299D">
      <w:pPr>
        <w:pStyle w:val="Default"/>
        <w:spacing w:before="120" w:after="120" w:line="360" w:lineRule="auto"/>
        <w:rPr>
          <w:rFonts w:eastAsia="Times New Roman"/>
          <w:lang w:val="es-ES"/>
        </w:rPr>
      </w:pPr>
      <w:r w:rsidRPr="00D108C8">
        <w:rPr>
          <w:rFonts w:eastAsia="Times New Roman"/>
          <w:lang w:val="es-ES"/>
        </w:rPr>
        <w:t>La cadena láctea, al ser una actividad tradicional argentina dentro del sistema agroalimentario, se caracteriza por su gran aporte al desarrollo económico y social en las diferentes regiones del país dada su envergadura y gran dispersión geográfica.</w:t>
      </w:r>
      <w:r w:rsidR="003B1AC4">
        <w:rPr>
          <w:rFonts w:eastAsia="Times New Roman"/>
          <w:lang w:val="es-ES"/>
        </w:rPr>
        <w:t xml:space="preserve"> </w:t>
      </w:r>
      <w:r w:rsidR="008E77A0" w:rsidRPr="008E77A0">
        <w:rPr>
          <w:rFonts w:eastAsia="Times New Roman"/>
          <w:lang w:val="es-ES"/>
        </w:rPr>
        <w:t>Los sistemas de producción de leche ponen en movimiento un conjunto de variables de cuya acción e interacción emerge un proceso dinámico y complejo que genera una respuesta física y económica (INTA, 2015).</w:t>
      </w:r>
    </w:p>
    <w:p w:rsidR="008E77A0" w:rsidRDefault="008E77A0" w:rsidP="005A299D">
      <w:pPr>
        <w:pStyle w:val="Default"/>
        <w:spacing w:before="120" w:after="120" w:line="360" w:lineRule="auto"/>
        <w:rPr>
          <w:rFonts w:eastAsia="Times New Roman"/>
          <w:highlight w:val="green"/>
          <w:lang w:val="es-ES"/>
        </w:rPr>
      </w:pPr>
      <w:r w:rsidRPr="008E77A0">
        <w:rPr>
          <w:rFonts w:eastAsia="Times New Roman"/>
          <w:lang w:val="es-ES"/>
        </w:rPr>
        <w:t xml:space="preserve">En la provincia de Córdoba se pueden identificar 3 cuencas lecheras de suma importancia: la cuenca sur (zona de Huinca </w:t>
      </w:r>
      <w:proofErr w:type="spellStart"/>
      <w:r w:rsidRPr="008E77A0">
        <w:rPr>
          <w:rFonts w:eastAsia="Times New Roman"/>
          <w:lang w:val="es-ES"/>
        </w:rPr>
        <w:t>Renancó</w:t>
      </w:r>
      <w:proofErr w:type="spellEnd"/>
      <w:r w:rsidRPr="008E77A0">
        <w:rPr>
          <w:rFonts w:eastAsia="Times New Roman"/>
          <w:lang w:val="es-ES"/>
        </w:rPr>
        <w:t>), la cuenca noreste (zona de San Francisco y Morteros) y la cuenca sureste (zona de Villa María). Aunque esta última cuenca es la de mayor importancia dado que produce en volumen el 43% del total provincial; la cuenca noreste registra un mayor número de tambos (</w:t>
      </w:r>
      <w:proofErr w:type="spellStart"/>
      <w:r w:rsidRPr="008E77A0">
        <w:rPr>
          <w:rFonts w:eastAsia="Times New Roman"/>
          <w:lang w:val="es-ES"/>
        </w:rPr>
        <w:t>DGEyC</w:t>
      </w:r>
      <w:proofErr w:type="spellEnd"/>
      <w:r w:rsidRPr="008E77A0">
        <w:rPr>
          <w:rFonts w:eastAsia="Times New Roman"/>
          <w:lang w:val="es-ES"/>
        </w:rPr>
        <w:t>, Gob. de Córdoba 2017).</w:t>
      </w:r>
    </w:p>
    <w:p w:rsidR="00AD4FCD" w:rsidRPr="00AD4FCD" w:rsidRDefault="00E20679" w:rsidP="005A299D">
      <w:pPr>
        <w:pStyle w:val="Default"/>
        <w:spacing w:before="120" w:after="120" w:line="360" w:lineRule="auto"/>
        <w:rPr>
          <w:rFonts w:eastAsia="Times New Roman"/>
          <w:lang w:eastAsia="es-ES"/>
        </w:rPr>
      </w:pPr>
      <w:r w:rsidRPr="00AD4FCD">
        <w:rPr>
          <w:rFonts w:eastAsia="Times New Roman"/>
          <w:lang w:eastAsia="es-ES"/>
        </w:rPr>
        <w:lastRenderedPageBreak/>
        <w:t xml:space="preserve">En la etapa primaria se observa una fuerte heterogeneidad a nivel interregional e intersectorial, </w:t>
      </w:r>
      <w:proofErr w:type="gramStart"/>
      <w:r w:rsidRPr="00AD4FCD">
        <w:rPr>
          <w:rFonts w:eastAsia="Times New Roman"/>
          <w:lang w:eastAsia="es-ES"/>
        </w:rPr>
        <w:t>manifestada</w:t>
      </w:r>
      <w:proofErr w:type="gramEnd"/>
      <w:r w:rsidRPr="00AD4FCD">
        <w:rPr>
          <w:rFonts w:eastAsia="Times New Roman"/>
          <w:lang w:eastAsia="es-ES"/>
        </w:rPr>
        <w:t xml:space="preserve"> en una estructura atomizada donde coexisten unidades de diferentes tamaños y mode</w:t>
      </w:r>
      <w:r w:rsidR="00AD4FCD" w:rsidRPr="00AD4FCD">
        <w:rPr>
          <w:rFonts w:eastAsia="Times New Roman"/>
          <w:lang w:eastAsia="es-ES"/>
        </w:rPr>
        <w:t>los tecnológicos de producción. Dado el comportamiento cíclico de la producción, se ha generado un proceso de ampliación de las escalas de producción, con el consecuente cierre de explotaciones y una mayor concentración de la producción</w:t>
      </w:r>
      <w:r w:rsidR="00AD4FCD">
        <w:rPr>
          <w:rFonts w:eastAsia="Times New Roman"/>
          <w:lang w:eastAsia="es-ES"/>
        </w:rPr>
        <w:t xml:space="preserve"> (Bolsa de Comercio de Córdoba, 2019)</w:t>
      </w:r>
    </w:p>
    <w:p w:rsidR="00B031F0" w:rsidRPr="00B031F0" w:rsidRDefault="00B031F0" w:rsidP="005A299D">
      <w:pPr>
        <w:pStyle w:val="Default"/>
        <w:spacing w:before="120" w:after="120" w:line="360" w:lineRule="auto"/>
        <w:rPr>
          <w:rFonts w:eastAsia="Times New Roman"/>
          <w:lang w:val="es-ES" w:eastAsia="es-ES"/>
        </w:rPr>
      </w:pPr>
      <w:r w:rsidRPr="00B031F0">
        <w:rPr>
          <w:rFonts w:eastAsia="Times New Roman"/>
          <w:lang w:val="es-ES" w:eastAsia="es-ES"/>
        </w:rPr>
        <w:t>La hipótesis es que conociendo el impacto físico y económico de la adopción de tecnología se lograría definir la secuencia de adopción</w:t>
      </w:r>
      <w:r w:rsidR="00354054">
        <w:rPr>
          <w:rFonts w:eastAsia="Times New Roman"/>
          <w:lang w:val="es-ES" w:eastAsia="es-ES"/>
        </w:rPr>
        <w:t xml:space="preserve"> más conveniente</w:t>
      </w:r>
      <w:r w:rsidRPr="00B031F0">
        <w:rPr>
          <w:rFonts w:eastAsia="Times New Roman"/>
          <w:lang w:val="es-ES" w:eastAsia="es-ES"/>
        </w:rPr>
        <w:t xml:space="preserve">. </w:t>
      </w:r>
    </w:p>
    <w:p w:rsidR="00B031F0" w:rsidRDefault="00B031F0" w:rsidP="005A299D">
      <w:pPr>
        <w:pStyle w:val="Default"/>
        <w:spacing w:before="120" w:after="120" w:line="360" w:lineRule="auto"/>
        <w:rPr>
          <w:lang w:val="es-ES"/>
        </w:rPr>
      </w:pPr>
      <w:r w:rsidRPr="00B031F0">
        <w:rPr>
          <w:rFonts w:eastAsia="Times New Roman"/>
          <w:lang w:val="es-ES_tradnl" w:eastAsia="es-ES"/>
        </w:rPr>
        <w:t xml:space="preserve">El objetivo fue </w:t>
      </w:r>
      <w:r w:rsidRPr="00B031F0">
        <w:rPr>
          <w:rFonts w:eastAsia="Times New Roman"/>
          <w:lang w:val="es-ES" w:eastAsia="es-ES"/>
        </w:rPr>
        <w:t>conocer la secuencia de adopción tecnológica más conveniente en modelos de producción de leche en la cuenca noreste de la provincia de Córdoba a través del impacto físico y económico</w:t>
      </w:r>
      <w:r w:rsidRPr="00B031F0">
        <w:rPr>
          <w:rFonts w:eastAsia="Times New Roman"/>
          <w:lang w:val="es-ES_tradnl" w:eastAsia="es-ES"/>
        </w:rPr>
        <w:t>.</w:t>
      </w:r>
    </w:p>
    <w:p w:rsidR="002173D7" w:rsidRDefault="002173D7" w:rsidP="005A299D">
      <w:pPr>
        <w:pStyle w:val="Default"/>
        <w:spacing w:before="120" w:after="120" w:line="360" w:lineRule="auto"/>
        <w:rPr>
          <w:rFonts w:eastAsia="Times New Roman"/>
          <w:b/>
          <w:u w:val="single"/>
          <w:lang w:val="es-ES_tradnl" w:eastAsia="es-ES"/>
        </w:rPr>
      </w:pPr>
      <w:r w:rsidRPr="002173D7">
        <w:rPr>
          <w:rFonts w:eastAsia="Times New Roman"/>
          <w:b/>
          <w:u w:val="single"/>
          <w:lang w:val="es-ES_tradnl" w:eastAsia="es-ES"/>
        </w:rPr>
        <w:t>Metodología</w:t>
      </w:r>
    </w:p>
    <w:p w:rsidR="00B031F0" w:rsidRDefault="002173D7" w:rsidP="005A299D">
      <w:pPr>
        <w:pStyle w:val="Default"/>
        <w:spacing w:before="120" w:after="120" w:line="360" w:lineRule="auto"/>
        <w:rPr>
          <w:lang w:val="es-ES"/>
        </w:rPr>
      </w:pPr>
      <w:r w:rsidRPr="002173D7">
        <w:rPr>
          <w:lang w:val="es-ES"/>
        </w:rPr>
        <w:t>Se trabajó con una base de datos obtenida del registro de productores lácteos construida a partir de una encuesta realizada por la Secretaría de Ganadería del Ministerio de Agricultura, Ganadería y Alimentos a 2070 tambos, de los 3253 que hay en la provincia de Córdoba.</w:t>
      </w:r>
      <w:r w:rsidR="00F044EB">
        <w:rPr>
          <w:lang w:val="es-ES"/>
        </w:rPr>
        <w:t xml:space="preserve"> </w:t>
      </w:r>
      <w:r w:rsidR="00911E7D" w:rsidRPr="00AC2D47">
        <w:rPr>
          <w:lang w:val="es-ES"/>
        </w:rPr>
        <w:t xml:space="preserve">Los datos se procesaron con el soporte estadístico </w:t>
      </w:r>
      <w:proofErr w:type="spellStart"/>
      <w:r w:rsidR="00911E7D" w:rsidRPr="00AC2D47">
        <w:rPr>
          <w:lang w:val="es-ES"/>
        </w:rPr>
        <w:t>InfoStat</w:t>
      </w:r>
      <w:proofErr w:type="spellEnd"/>
      <w:r w:rsidR="00911E7D" w:rsidRPr="00AC2D47">
        <w:rPr>
          <w:lang w:val="es-ES"/>
        </w:rPr>
        <w:t xml:space="preserve"> (Di </w:t>
      </w:r>
      <w:proofErr w:type="spellStart"/>
      <w:r w:rsidR="00911E7D" w:rsidRPr="00AC2D47">
        <w:rPr>
          <w:lang w:val="es-ES"/>
        </w:rPr>
        <w:t>Rienzo</w:t>
      </w:r>
      <w:proofErr w:type="spellEnd"/>
      <w:r w:rsidR="00911E7D" w:rsidRPr="00AC2D47">
        <w:rPr>
          <w:lang w:val="es-ES"/>
        </w:rPr>
        <w:t xml:space="preserve"> et al</w:t>
      </w:r>
      <w:r w:rsidR="00911E7D">
        <w:rPr>
          <w:lang w:val="es-ES"/>
        </w:rPr>
        <w:t>.</w:t>
      </w:r>
      <w:r w:rsidR="00911E7D" w:rsidRPr="00AC2D47">
        <w:rPr>
          <w:lang w:val="es-ES"/>
        </w:rPr>
        <w:t>, 2013).</w:t>
      </w:r>
      <w:r w:rsidR="00911E7D">
        <w:rPr>
          <w:lang w:val="es-ES"/>
        </w:rPr>
        <w:t xml:space="preserve"> </w:t>
      </w:r>
      <w:r w:rsidR="00911E7D">
        <w:t>El registro de productores lácteos incluía datos que biológica y físicamente fueron excluidos por considerarse datos atípicos. P</w:t>
      </w:r>
      <w:r w:rsidR="00911E7D" w:rsidRPr="00832C48">
        <w:t xml:space="preserve">ara </w:t>
      </w:r>
      <w:r w:rsidR="00911E7D">
        <w:t>depurar la base de datos, se procedió</w:t>
      </w:r>
      <w:r w:rsidR="00911E7D" w:rsidRPr="00832C48">
        <w:t xml:space="preserve"> a </w:t>
      </w:r>
      <w:r w:rsidR="00911E7D">
        <w:t>descartar</w:t>
      </w:r>
      <w:r w:rsidR="00911E7D" w:rsidRPr="00832C48">
        <w:t xml:space="preserve"> los </w:t>
      </w:r>
      <w:r w:rsidR="001F20A4">
        <w:t>valores</w:t>
      </w:r>
      <w:r w:rsidR="00911E7D" w:rsidRPr="00832C48">
        <w:t xml:space="preserve"> inferiores al percentil 0.10</w:t>
      </w:r>
      <w:r w:rsidR="00911E7D">
        <w:t xml:space="preserve"> y superiores al percentil 0.90</w:t>
      </w:r>
      <w:r w:rsidR="00911E7D">
        <w:rPr>
          <w:lang w:val="es-ES"/>
        </w:rPr>
        <w:t xml:space="preserve">. </w:t>
      </w:r>
      <w:r w:rsidR="00911E7D" w:rsidRPr="00FC7AC2">
        <w:rPr>
          <w:lang w:val="es-ES"/>
        </w:rPr>
        <w:t>La cuenca noreste presentaba 1</w:t>
      </w:r>
      <w:r w:rsidR="001F20A4">
        <w:rPr>
          <w:lang w:val="es-ES"/>
        </w:rPr>
        <w:t xml:space="preserve">.108 establecimientos lácteos </w:t>
      </w:r>
      <w:r w:rsidR="00911E7D" w:rsidRPr="00FC7AC2">
        <w:rPr>
          <w:lang w:val="es-ES"/>
        </w:rPr>
        <w:t>inicialmente, a partir de la depuración de los datos atípicos quedaron 721 tambos</w:t>
      </w:r>
      <w:r w:rsidR="00911E7D">
        <w:rPr>
          <w:lang w:val="es-ES"/>
        </w:rPr>
        <w:t xml:space="preserve">. </w:t>
      </w:r>
      <w:r w:rsidR="00F044EB">
        <w:t>L</w:t>
      </w:r>
      <w:r w:rsidR="00F044EB" w:rsidRPr="00217C17">
        <w:t>as variables utilizadas para caracterizar los estableci</w:t>
      </w:r>
      <w:r w:rsidR="00C97EFA">
        <w:t>mientos representativos fueron: vacas totales</w:t>
      </w:r>
      <w:r w:rsidR="00C97EFA" w:rsidRPr="00217C17">
        <w:t xml:space="preserve"> </w:t>
      </w:r>
      <w:r w:rsidR="00C97EFA">
        <w:t xml:space="preserve">y </w:t>
      </w:r>
      <w:r w:rsidR="00F044EB" w:rsidRPr="00217C17">
        <w:t>producción individual diaria,</w:t>
      </w:r>
      <w:r w:rsidR="00F044EB">
        <w:t xml:space="preserve"> calculada</w:t>
      </w:r>
      <w:r w:rsidR="00F044EB" w:rsidRPr="00217C17">
        <w:t xml:space="preserve"> a partir de la producción semestral ajustado al semestre de </w:t>
      </w:r>
      <w:r w:rsidR="00F044EB">
        <w:t>menor</w:t>
      </w:r>
      <w:r w:rsidR="00F044EB" w:rsidRPr="00217C17">
        <w:t xml:space="preserve"> productividad</w:t>
      </w:r>
      <w:r w:rsidR="00F044EB">
        <w:t>, momento en que se realizó la encuesta.</w:t>
      </w:r>
      <w:r w:rsidRPr="002173D7">
        <w:rPr>
          <w:lang w:val="es-ES"/>
        </w:rPr>
        <w:t xml:space="preserve"> </w:t>
      </w:r>
      <w:r w:rsidR="00B031F0" w:rsidRPr="00FC7AC2">
        <w:rPr>
          <w:lang w:val="es-ES"/>
        </w:rPr>
        <w:t>El análisis estadísti</w:t>
      </w:r>
      <w:r w:rsidR="00911E7D">
        <w:rPr>
          <w:lang w:val="es-ES"/>
        </w:rPr>
        <w:t>co, utilizando la variable vaca total</w:t>
      </w:r>
      <w:r w:rsidR="00B031F0" w:rsidRPr="00FC7AC2">
        <w:rPr>
          <w:lang w:val="es-ES"/>
        </w:rPr>
        <w:t xml:space="preserve"> para definir los modelos representativos arrojó un valor medio de 165,47 con un desvío estándar de 63.35 y valores mínimos de 31 y máximos de 350. Para reducir el desvío estándar y trabajar con un modelo más representativo de la cuenca, se procedió a separar los datos en función del percentil 0.50 y se establecieron dos modelos, aquellos que estaban por debajo del percentil 0.50 se los denominó modelo 1 (M1) y los que estaban por encima del percentil 0.50 se l</w:t>
      </w:r>
      <w:r w:rsidR="00F044EB">
        <w:rPr>
          <w:lang w:val="es-ES"/>
        </w:rPr>
        <w:t xml:space="preserve">os denominó modelo 2 (M2). </w:t>
      </w:r>
      <w:r w:rsidR="00911E7D">
        <w:rPr>
          <w:lang w:val="es-ES"/>
        </w:rPr>
        <w:t>Los modelos utilizados en el trabajo fueron los M2</w:t>
      </w:r>
      <w:r w:rsidR="00293E63">
        <w:rPr>
          <w:lang w:val="es-ES"/>
        </w:rPr>
        <w:t xml:space="preserve"> debido a que la tendencia indica </w:t>
      </w:r>
      <w:r w:rsidR="00293E63" w:rsidRPr="00AD4FCD">
        <w:rPr>
          <w:rFonts w:eastAsia="Times New Roman"/>
          <w:lang w:eastAsia="es-ES"/>
        </w:rPr>
        <w:t>un proceso de ampliación de las escalas de producción</w:t>
      </w:r>
      <w:r w:rsidR="00911E7D">
        <w:rPr>
          <w:lang w:val="es-ES"/>
        </w:rPr>
        <w:t xml:space="preserve">. </w:t>
      </w:r>
      <w:r w:rsidR="00F044EB">
        <w:rPr>
          <w:lang w:val="es-ES"/>
        </w:rPr>
        <w:t>El</w:t>
      </w:r>
      <w:r w:rsidR="00B031F0" w:rsidRPr="00FC7AC2">
        <w:rPr>
          <w:lang w:val="es-ES"/>
        </w:rPr>
        <w:t xml:space="preserve"> M2</w:t>
      </w:r>
      <w:r w:rsidR="00911E7D">
        <w:rPr>
          <w:lang w:val="es-ES"/>
        </w:rPr>
        <w:t xml:space="preserve"> </w:t>
      </w:r>
      <w:r w:rsidR="00B031F0" w:rsidRPr="00FC7AC2">
        <w:rPr>
          <w:lang w:val="es-ES"/>
        </w:rPr>
        <w:t xml:space="preserve"> </w:t>
      </w:r>
      <w:r w:rsidR="00911E7D">
        <w:rPr>
          <w:lang w:val="es-ES"/>
        </w:rPr>
        <w:t>arrojó un</w:t>
      </w:r>
      <w:r w:rsidR="00B031F0" w:rsidRPr="00FC7AC2">
        <w:rPr>
          <w:lang w:val="es-ES"/>
        </w:rPr>
        <w:t xml:space="preserve">a media de 215.87 </w:t>
      </w:r>
      <w:r w:rsidR="00911E7D">
        <w:rPr>
          <w:lang w:val="es-ES"/>
        </w:rPr>
        <w:t xml:space="preserve">y </w:t>
      </w:r>
      <w:r w:rsidR="00B031F0" w:rsidRPr="00FC7AC2">
        <w:rPr>
          <w:lang w:val="es-ES"/>
        </w:rPr>
        <w:t>un desvío estándar 42.14.</w:t>
      </w:r>
      <w:r w:rsidR="00911E7D">
        <w:rPr>
          <w:lang w:val="es-ES"/>
        </w:rPr>
        <w:t xml:space="preserve"> </w:t>
      </w:r>
      <w:r w:rsidR="00B031F0" w:rsidRPr="00FC7AC2">
        <w:rPr>
          <w:lang w:val="es-ES_tradnl"/>
        </w:rPr>
        <w:t xml:space="preserve">A partir de la variable litros por </w:t>
      </w:r>
      <w:r w:rsidR="00B031F0" w:rsidRPr="00FC7AC2">
        <w:rPr>
          <w:lang w:val="es-ES_tradnl"/>
        </w:rPr>
        <w:lastRenderedPageBreak/>
        <w:t xml:space="preserve">vaca por día considerando a las vacas en ordeño, se agruparon en dos niveles </w:t>
      </w:r>
      <w:proofErr w:type="spellStart"/>
      <w:r w:rsidR="00293E63">
        <w:rPr>
          <w:lang w:val="es-ES_tradnl"/>
        </w:rPr>
        <w:t>tecnologicos</w:t>
      </w:r>
      <w:proofErr w:type="spellEnd"/>
      <w:r w:rsidR="00911E7D">
        <w:rPr>
          <w:lang w:val="es-ES_tradnl"/>
        </w:rPr>
        <w:t xml:space="preserve">: </w:t>
      </w:r>
      <w:r w:rsidR="00293E63">
        <w:rPr>
          <w:lang w:val="es-ES_tradnl"/>
        </w:rPr>
        <w:t>nivel tecnológico bajo</w:t>
      </w:r>
      <w:r w:rsidR="00911E7D">
        <w:rPr>
          <w:lang w:val="es-ES_tradnl"/>
        </w:rPr>
        <w:t xml:space="preserve"> </w:t>
      </w:r>
      <w:r w:rsidR="00B031F0" w:rsidRPr="00FC7AC2">
        <w:rPr>
          <w:lang w:val="es-ES_tradnl"/>
        </w:rPr>
        <w:t>(</w:t>
      </w:r>
      <w:r w:rsidR="00293E63">
        <w:rPr>
          <w:lang w:val="es-ES_tradnl"/>
        </w:rPr>
        <w:t>NTB) y alto</w:t>
      </w:r>
      <w:r w:rsidR="00B031F0" w:rsidRPr="00FC7AC2">
        <w:rPr>
          <w:lang w:val="es-ES_tradnl"/>
        </w:rPr>
        <w:t xml:space="preserve"> (</w:t>
      </w:r>
      <w:r w:rsidR="00293E63">
        <w:rPr>
          <w:lang w:val="es-ES_tradnl"/>
        </w:rPr>
        <w:t>NTA)</w:t>
      </w:r>
      <w:r w:rsidR="00B031F0" w:rsidRPr="00FC7AC2">
        <w:rPr>
          <w:lang w:val="es-ES_tradnl"/>
        </w:rPr>
        <w:t xml:space="preserve">. </w:t>
      </w:r>
      <w:r w:rsidR="00F044EB">
        <w:rPr>
          <w:lang w:val="es-ES_tradnl"/>
        </w:rPr>
        <w:t>La producción</w:t>
      </w:r>
      <w:r w:rsidR="00911E7D">
        <w:rPr>
          <w:lang w:val="es-ES_tradnl"/>
        </w:rPr>
        <w:t xml:space="preserve"> media </w:t>
      </w:r>
      <w:r w:rsidR="00F044EB">
        <w:rPr>
          <w:lang w:val="es-ES_tradnl"/>
        </w:rPr>
        <w:t xml:space="preserve">para el </w:t>
      </w:r>
      <w:r w:rsidR="00293E63">
        <w:rPr>
          <w:lang w:val="es-ES_tradnl"/>
        </w:rPr>
        <w:t>NTB</w:t>
      </w:r>
      <w:r w:rsidR="00911E7D">
        <w:rPr>
          <w:lang w:val="es-ES_tradnl"/>
        </w:rPr>
        <w:t xml:space="preserve"> fue de</w:t>
      </w:r>
      <w:r w:rsidR="00B031F0" w:rsidRPr="00FC7AC2">
        <w:rPr>
          <w:lang w:val="es-ES_tradnl"/>
        </w:rPr>
        <w:t xml:space="preserve"> 14.44 </w:t>
      </w:r>
      <w:r w:rsidR="00293E63">
        <w:rPr>
          <w:lang w:val="es-ES_tradnl"/>
        </w:rPr>
        <w:t>y el NTA</w:t>
      </w:r>
      <w:r w:rsidR="00B031F0">
        <w:rPr>
          <w:lang w:val="es-ES_tradnl"/>
        </w:rPr>
        <w:t xml:space="preserve"> 20.74</w:t>
      </w:r>
      <w:r w:rsidR="00F044EB">
        <w:rPr>
          <w:rFonts w:eastAsia="Times New Roman"/>
          <w:lang w:val="es-ES_tradnl" w:eastAsia="es-ES"/>
        </w:rPr>
        <w:t>.</w:t>
      </w:r>
    </w:p>
    <w:p w:rsidR="00F044EB" w:rsidRPr="00F044EB" w:rsidRDefault="00F044EB" w:rsidP="005A299D">
      <w:pPr>
        <w:pStyle w:val="Default"/>
        <w:spacing w:before="120" w:after="120" w:line="360" w:lineRule="auto"/>
        <w:rPr>
          <w:lang w:val="es-ES"/>
        </w:rPr>
      </w:pPr>
      <w:r w:rsidRPr="00F044EB">
        <w:rPr>
          <w:lang w:val="es-ES"/>
        </w:rPr>
        <w:t>Otros datos tales como la composición del rodeo; nivel de suplementación; insumos, mejoras y equipamiento utilizados se obtuvieron de bibliografía específica y de los datos suministrados por informantes calificados utilizando la metodología de investigación cualitativa propuesta por Mendieta Izquierdo (2015).</w:t>
      </w:r>
      <w:r>
        <w:rPr>
          <w:lang w:val="es-ES"/>
        </w:rPr>
        <w:t xml:space="preserve"> </w:t>
      </w:r>
      <w:r w:rsidRPr="002A6AE6">
        <w:t>En la selección de informantes calificados se buscaron personas que facilitaron la información necesaria para comprender el significado y las actuaciones que se desarrollan en los sistemas real</w:t>
      </w:r>
      <w:r w:rsidR="006B3477">
        <w:t>es de producción lecheros de la cuenca</w:t>
      </w:r>
      <w:r w:rsidRPr="002A6AE6">
        <w:t xml:space="preserve"> bajo estudio</w:t>
      </w:r>
      <w:r>
        <w:t xml:space="preserve">. </w:t>
      </w:r>
      <w:r w:rsidRPr="002A6AE6">
        <w:t>Esta selección se realizó a través de un proceso que se basa en el supuesto de que todos los miembros de una población dada tienen el mismo valor como fuentes de información.</w:t>
      </w:r>
    </w:p>
    <w:p w:rsidR="00911E7D" w:rsidRDefault="00911E7D" w:rsidP="005A299D">
      <w:pPr>
        <w:pStyle w:val="Default"/>
        <w:spacing w:before="120" w:after="120" w:line="360" w:lineRule="auto"/>
        <w:rPr>
          <w:lang w:val="es-ES"/>
        </w:rPr>
      </w:pPr>
      <w:r>
        <w:rPr>
          <w:lang w:val="es-ES"/>
        </w:rPr>
        <w:t>A partir del perfil tecnológico se identificaron las tecnologías que utilizan</w:t>
      </w:r>
      <w:r w:rsidRPr="00B031F0">
        <w:rPr>
          <w:lang w:val="es-ES"/>
        </w:rPr>
        <w:t xml:space="preserve"> </w:t>
      </w:r>
      <w:r>
        <w:rPr>
          <w:lang w:val="es-ES"/>
        </w:rPr>
        <w:t xml:space="preserve">los sistemas de producción de leche que están dentro del nivel tecnológico alto, luego se las agrupo por afinidad temática </w:t>
      </w:r>
      <w:r w:rsidRPr="006E44BF">
        <w:rPr>
          <w:lang w:val="es-ES"/>
        </w:rPr>
        <w:t xml:space="preserve">entendiéndose a estas por tecnologías que se implementan en forma conjunta bajo dos criterios: conveniencia y oportunidad de </w:t>
      </w:r>
      <w:r w:rsidRPr="00BF0A8E">
        <w:rPr>
          <w:lang w:val="es-ES"/>
        </w:rPr>
        <w:t>aplicación (Andreu et al., 2018)</w:t>
      </w:r>
      <w:r>
        <w:rPr>
          <w:lang w:val="es-ES"/>
        </w:rPr>
        <w:t xml:space="preserve"> en: nutrición y alimentación; tecnología de ordeñe; manejo del rodeo; sanidad; infraestructura; control de gestión; asistencia técnica y mano de obra.</w:t>
      </w:r>
    </w:p>
    <w:p w:rsidR="00DC6BBA" w:rsidRDefault="00DC6BBA" w:rsidP="00DC6BBA">
      <w:pPr>
        <w:pStyle w:val="Default"/>
        <w:spacing w:before="120" w:after="120" w:line="360" w:lineRule="auto"/>
        <w:rPr>
          <w:lang w:val="es-ES"/>
        </w:rPr>
      </w:pPr>
      <w:r>
        <w:rPr>
          <w:lang w:val="es-ES"/>
        </w:rPr>
        <w:t>Dada la importancia del impacto físico que tienen los grupos temáticos de nutrición y alimentación y manejo del rodeo son los que se utilizaron para el cálculo de resultados del presente trabajo.</w:t>
      </w:r>
    </w:p>
    <w:p w:rsidR="004B222D" w:rsidRPr="00911E7D" w:rsidRDefault="00911E7D" w:rsidP="005A299D">
      <w:pPr>
        <w:pStyle w:val="Default"/>
        <w:spacing w:before="120" w:after="120" w:line="360" w:lineRule="auto"/>
        <w:rPr>
          <w:lang w:val="es-ES"/>
        </w:rPr>
      </w:pPr>
      <w:r>
        <w:rPr>
          <w:lang w:val="es-ES"/>
        </w:rPr>
        <w:t xml:space="preserve">En encuentros </w:t>
      </w:r>
      <w:r w:rsidR="00795E55">
        <w:rPr>
          <w:lang w:val="es-ES"/>
        </w:rPr>
        <w:t xml:space="preserve">realizados en las localidades de Morteros, El Tío, Las Varillas, Alicia y Balnearia se corrigió la </w:t>
      </w:r>
      <w:r w:rsidR="00F51402">
        <w:rPr>
          <w:lang w:val="es-ES"/>
        </w:rPr>
        <w:t>producción</w:t>
      </w:r>
      <w:r w:rsidR="00795E55">
        <w:rPr>
          <w:lang w:val="es-ES"/>
        </w:rPr>
        <w:t xml:space="preserve"> diaria individual del NTB y NTA pasando a 18 y 30 litros diarios respectivamente. También se</w:t>
      </w:r>
      <w:r>
        <w:rPr>
          <w:lang w:val="es-ES"/>
        </w:rPr>
        <w:t xml:space="preserve"> determinó el impacto físico y económico</w:t>
      </w:r>
      <w:r w:rsidR="00F51402">
        <w:rPr>
          <w:lang w:val="es-ES"/>
        </w:rPr>
        <w:t xml:space="preserve"> que tiene la adopción</w:t>
      </w:r>
      <w:r>
        <w:rPr>
          <w:lang w:val="es-ES"/>
        </w:rPr>
        <w:t xml:space="preserve"> de las tecnologías agrupadas por afinidad temática. </w:t>
      </w:r>
      <w:r w:rsidR="00735855">
        <w:rPr>
          <w:lang w:val="es-ES"/>
        </w:rPr>
        <w:t xml:space="preserve">Para ver </w:t>
      </w:r>
      <w:r w:rsidR="00F51402">
        <w:rPr>
          <w:lang w:val="es-ES"/>
        </w:rPr>
        <w:t>dicha respuesta,</w:t>
      </w:r>
      <w:r w:rsidR="00735855">
        <w:rPr>
          <w:lang w:val="es-ES"/>
        </w:rPr>
        <w:t xml:space="preserve"> se las compara con el nivel tecnológico bajo, el cual se lo utiliza como testigo. Los indicadores</w:t>
      </w:r>
      <w:r w:rsidR="0014749E">
        <w:rPr>
          <w:lang w:val="es-ES"/>
        </w:rPr>
        <w:t xml:space="preserve"> físicos</w:t>
      </w:r>
      <w:r w:rsidR="00735855">
        <w:rPr>
          <w:lang w:val="es-ES"/>
        </w:rPr>
        <w:t xml:space="preserve"> utilizados son</w:t>
      </w:r>
      <w:r w:rsidR="00B031F0" w:rsidRPr="00B031F0">
        <w:rPr>
          <w:lang w:val="es-ES"/>
        </w:rPr>
        <w:t xml:space="preserve">: litros por vaca </w:t>
      </w:r>
      <w:r w:rsidR="00B031F0" w:rsidRPr="00B031F0">
        <w:rPr>
          <w:rFonts w:eastAsia="Times New Roman"/>
          <w:lang w:val="es-ES_tradnl" w:eastAsia="es-ES"/>
        </w:rPr>
        <w:t>diarios, litros por año del establecimiento, k</w:t>
      </w:r>
      <w:r w:rsidR="00B031F0">
        <w:rPr>
          <w:rFonts w:eastAsia="Times New Roman"/>
          <w:lang w:val="es-ES_tradnl" w:eastAsia="es-ES"/>
        </w:rPr>
        <w:t>ilogramos de carne de terneros,</w:t>
      </w:r>
      <w:r w:rsidR="00B031F0" w:rsidRPr="00B031F0">
        <w:rPr>
          <w:rFonts w:eastAsia="Times New Roman"/>
          <w:lang w:val="es-ES_tradnl" w:eastAsia="es-ES"/>
        </w:rPr>
        <w:t xml:space="preserve"> kil</w:t>
      </w:r>
      <w:r w:rsidR="009338EA">
        <w:rPr>
          <w:rFonts w:eastAsia="Times New Roman"/>
          <w:lang w:val="es-ES_tradnl" w:eastAsia="es-ES"/>
        </w:rPr>
        <w:t xml:space="preserve">ogramos de carne de vaca </w:t>
      </w:r>
      <w:proofErr w:type="spellStart"/>
      <w:r w:rsidR="009338EA">
        <w:rPr>
          <w:rFonts w:eastAsia="Times New Roman"/>
          <w:lang w:val="es-ES_tradnl" w:eastAsia="es-ES"/>
        </w:rPr>
        <w:t>refugo</w:t>
      </w:r>
      <w:proofErr w:type="spellEnd"/>
      <w:r w:rsidR="009338EA">
        <w:rPr>
          <w:rFonts w:eastAsia="Times New Roman"/>
          <w:lang w:val="es-ES_tradnl" w:eastAsia="es-ES"/>
        </w:rPr>
        <w:t xml:space="preserve">. </w:t>
      </w:r>
      <w:r w:rsidR="00B031F0" w:rsidRPr="00B031F0">
        <w:rPr>
          <w:rFonts w:eastAsia="Times New Roman"/>
          <w:lang w:val="es-ES_tradnl" w:eastAsia="es-ES"/>
        </w:rPr>
        <w:t>Para el cálculo económico se consideraron los siguientes indicadores: ingresos</w:t>
      </w:r>
      <w:r w:rsidR="004B222D">
        <w:rPr>
          <w:rFonts w:eastAsia="Times New Roman"/>
          <w:lang w:val="es-ES_tradnl" w:eastAsia="es-ES"/>
        </w:rPr>
        <w:t xml:space="preserve"> </w:t>
      </w:r>
      <w:r w:rsidR="004B222D">
        <w:rPr>
          <w:lang w:val="es-ES"/>
        </w:rPr>
        <w:t>considerando</w:t>
      </w:r>
      <w:r>
        <w:rPr>
          <w:lang w:val="es-ES"/>
        </w:rPr>
        <w:t xml:space="preserve"> los proveniente de la venta de</w:t>
      </w:r>
      <w:r w:rsidR="004B222D" w:rsidRPr="007D5F9A">
        <w:rPr>
          <w:lang w:val="es-ES"/>
        </w:rPr>
        <w:t xml:space="preserve"> los litros </w:t>
      </w:r>
      <w:r w:rsidR="004B222D">
        <w:rPr>
          <w:lang w:val="es-ES"/>
        </w:rPr>
        <w:t>de leche y los</w:t>
      </w:r>
      <w:r w:rsidR="004B222D" w:rsidRPr="007D5F9A">
        <w:rPr>
          <w:lang w:val="es-ES"/>
        </w:rPr>
        <w:t xml:space="preserve"> kilogramos de carne</w:t>
      </w:r>
      <w:r w:rsidR="004B222D">
        <w:rPr>
          <w:lang w:val="es-ES"/>
        </w:rPr>
        <w:t xml:space="preserve"> totales producidos en el término de un año; </w:t>
      </w:r>
      <w:r w:rsidR="00B031F0" w:rsidRPr="00B031F0">
        <w:rPr>
          <w:rFonts w:eastAsia="Times New Roman"/>
          <w:lang w:val="es-ES_tradnl" w:eastAsia="es-ES"/>
        </w:rPr>
        <w:t>egresos totales</w:t>
      </w:r>
      <w:r w:rsidR="004B222D" w:rsidRPr="004B222D">
        <w:rPr>
          <w:color w:val="0D0D0D" w:themeColor="text1" w:themeTint="F2"/>
          <w:lang w:val="es-ES"/>
        </w:rPr>
        <w:t xml:space="preserve"> </w:t>
      </w:r>
      <w:r w:rsidR="004B222D">
        <w:rPr>
          <w:color w:val="0D0D0D" w:themeColor="text1" w:themeTint="F2"/>
          <w:lang w:val="es-ES"/>
        </w:rPr>
        <w:t>agrupados</w:t>
      </w:r>
      <w:r w:rsidR="004B222D" w:rsidRPr="00CC085E">
        <w:rPr>
          <w:color w:val="0D0D0D" w:themeColor="text1" w:themeTint="F2"/>
          <w:lang w:val="es-ES"/>
        </w:rPr>
        <w:t xml:space="preserve"> en los siguientes rubros: producc</w:t>
      </w:r>
      <w:r w:rsidR="004B222D">
        <w:rPr>
          <w:color w:val="0D0D0D" w:themeColor="text1" w:themeTint="F2"/>
          <w:lang w:val="es-ES"/>
        </w:rPr>
        <w:t>ión y henificación de forraje (</w:t>
      </w:r>
      <w:r>
        <w:rPr>
          <w:color w:val="0D0D0D" w:themeColor="text1" w:themeTint="F2"/>
          <w:lang w:val="es-ES"/>
        </w:rPr>
        <w:t>f</w:t>
      </w:r>
      <w:r w:rsidR="004B222D">
        <w:rPr>
          <w:color w:val="0D0D0D" w:themeColor="text1" w:themeTint="F2"/>
          <w:lang w:val="es-ES"/>
        </w:rPr>
        <w:t>orraje alfalfa</w:t>
      </w:r>
      <w:r w:rsidR="004B222D" w:rsidRPr="00CC085E">
        <w:rPr>
          <w:color w:val="0D0D0D" w:themeColor="text1" w:themeTint="F2"/>
          <w:lang w:val="es-ES"/>
        </w:rPr>
        <w:t xml:space="preserve"> </w:t>
      </w:r>
      <w:r w:rsidR="004B222D">
        <w:rPr>
          <w:color w:val="0D0D0D" w:themeColor="text1" w:themeTint="F2"/>
          <w:lang w:val="es-ES"/>
        </w:rPr>
        <w:t>m</w:t>
      </w:r>
      <w:r w:rsidR="004B222D" w:rsidRPr="00CC085E">
        <w:rPr>
          <w:color w:val="0D0D0D" w:themeColor="text1" w:themeTint="F2"/>
          <w:lang w:val="es-ES"/>
        </w:rPr>
        <w:t xml:space="preserve">antenimiento, </w:t>
      </w:r>
      <w:r>
        <w:rPr>
          <w:color w:val="0D0D0D" w:themeColor="text1" w:themeTint="F2"/>
          <w:lang w:val="es-ES"/>
        </w:rPr>
        <w:t>f</w:t>
      </w:r>
      <w:r w:rsidR="004B222D" w:rsidRPr="00CC085E">
        <w:rPr>
          <w:color w:val="0D0D0D" w:themeColor="text1" w:themeTint="F2"/>
          <w:lang w:val="es-ES"/>
        </w:rPr>
        <w:t xml:space="preserve">orraje alfalfa amortización, </w:t>
      </w:r>
      <w:r>
        <w:rPr>
          <w:color w:val="0D0D0D" w:themeColor="text1" w:themeTint="F2"/>
          <w:lang w:val="es-ES"/>
        </w:rPr>
        <w:t>v</w:t>
      </w:r>
      <w:r w:rsidR="004B222D" w:rsidRPr="00CC085E">
        <w:rPr>
          <w:color w:val="0D0D0D" w:themeColor="text1" w:themeTint="F2"/>
          <w:lang w:val="es-ES"/>
        </w:rPr>
        <w:t xml:space="preserve">erdeo invierno, </w:t>
      </w:r>
      <w:r>
        <w:rPr>
          <w:color w:val="0D0D0D" w:themeColor="text1" w:themeTint="F2"/>
          <w:lang w:val="es-ES"/>
        </w:rPr>
        <w:t>v</w:t>
      </w:r>
      <w:r w:rsidR="004B222D" w:rsidRPr="00CC085E">
        <w:rPr>
          <w:color w:val="0D0D0D" w:themeColor="text1" w:themeTint="F2"/>
          <w:lang w:val="es-ES"/>
        </w:rPr>
        <w:t xml:space="preserve">erdeo verano, </w:t>
      </w:r>
      <w:r>
        <w:rPr>
          <w:color w:val="0D0D0D" w:themeColor="text1" w:themeTint="F2"/>
          <w:lang w:val="es-ES"/>
        </w:rPr>
        <w:t>f</w:t>
      </w:r>
      <w:r w:rsidR="004B222D" w:rsidRPr="00CC085E">
        <w:rPr>
          <w:color w:val="0D0D0D" w:themeColor="text1" w:themeTint="F2"/>
          <w:lang w:val="es-ES"/>
        </w:rPr>
        <w:t xml:space="preserve">orraje silo); </w:t>
      </w:r>
      <w:r w:rsidR="0014749E">
        <w:rPr>
          <w:color w:val="0D0D0D" w:themeColor="text1" w:themeTint="F2"/>
          <w:lang w:val="es-ES"/>
        </w:rPr>
        <w:t>s</w:t>
      </w:r>
      <w:r w:rsidR="004B222D" w:rsidRPr="00CC085E">
        <w:rPr>
          <w:color w:val="0D0D0D" w:themeColor="text1" w:themeTint="F2"/>
          <w:lang w:val="es-ES"/>
        </w:rPr>
        <w:t xml:space="preserve">ervicio de </w:t>
      </w:r>
      <w:r w:rsidR="004B222D" w:rsidRPr="00CC085E">
        <w:rPr>
          <w:color w:val="0D0D0D" w:themeColor="text1" w:themeTint="F2"/>
          <w:lang w:val="es-ES"/>
        </w:rPr>
        <w:lastRenderedPageBreak/>
        <w:t>henificación, suplemento y acarreo (concentrados y suministro), mano de obra (tambero, tractorista, peón general), reproducción y sanidad (inseminación artificial, sanidad, control lechero), asistencia técnica (asistencia técnica agronómica y asistencia técnica veterinaria), mantenimiento y energía (mantenimiento de equipos y limpieza y energía eléctrica), amortizaciones de mejoras y equipos (amortización de mejoras y amortizaciones de equipos) y gastos de estructura (impuesto inmobiliario rural, impuesto a los ingresos brutos, honorarios del contador, seguros generales, gastos en movilidad y gastos en servicios de telefonía)</w:t>
      </w:r>
      <w:r w:rsidR="004B222D">
        <w:rPr>
          <w:color w:val="0D0D0D" w:themeColor="text1" w:themeTint="F2"/>
          <w:lang w:val="es-ES"/>
        </w:rPr>
        <w:t>.</w:t>
      </w:r>
    </w:p>
    <w:p w:rsidR="00B031F0" w:rsidRDefault="004B222D" w:rsidP="005A299D">
      <w:pPr>
        <w:pStyle w:val="Default"/>
        <w:spacing w:before="120" w:after="120" w:line="360" w:lineRule="auto"/>
        <w:rPr>
          <w:rFonts w:eastAsia="Times New Roman"/>
          <w:lang w:val="es-ES_tradnl" w:eastAsia="es-ES"/>
        </w:rPr>
      </w:pPr>
      <w:r>
        <w:rPr>
          <w:color w:val="0D0D0D" w:themeColor="text1" w:themeTint="F2"/>
          <w:lang w:val="es-ES"/>
        </w:rPr>
        <w:t xml:space="preserve">Para obtener el </w:t>
      </w:r>
      <w:r w:rsidR="00B031F0" w:rsidRPr="00B031F0">
        <w:rPr>
          <w:rFonts w:eastAsia="Times New Roman"/>
          <w:lang w:val="es-ES_tradnl" w:eastAsia="es-ES"/>
        </w:rPr>
        <w:t>resultado económico</w:t>
      </w:r>
      <w:r>
        <w:rPr>
          <w:rFonts w:eastAsia="Times New Roman"/>
          <w:lang w:val="es-ES_tradnl" w:eastAsia="es-ES"/>
        </w:rPr>
        <w:t xml:space="preserve"> se </w:t>
      </w:r>
      <w:r w:rsidR="00911E7D">
        <w:rPr>
          <w:rFonts w:eastAsia="Times New Roman"/>
          <w:lang w:val="es-ES_tradnl" w:eastAsia="es-ES"/>
        </w:rPr>
        <w:t>efectuó</w:t>
      </w:r>
      <w:r>
        <w:rPr>
          <w:rFonts w:eastAsia="Times New Roman"/>
          <w:lang w:val="es-ES_tradnl" w:eastAsia="es-ES"/>
        </w:rPr>
        <w:t xml:space="preserve"> la diferencia entre los ingresos y egresos totales y en </w:t>
      </w:r>
      <w:r w:rsidR="00911E7D">
        <w:rPr>
          <w:rFonts w:eastAsia="Times New Roman"/>
          <w:lang w:val="es-ES_tradnl" w:eastAsia="es-ES"/>
        </w:rPr>
        <w:t>caso que corresponda,</w:t>
      </w:r>
      <w:r>
        <w:rPr>
          <w:rFonts w:eastAsia="Times New Roman"/>
          <w:lang w:val="es-ES_tradnl" w:eastAsia="es-ES"/>
        </w:rPr>
        <w:t xml:space="preserve"> desconta</w:t>
      </w:r>
      <w:r w:rsidR="0014749E">
        <w:rPr>
          <w:rFonts w:eastAsia="Times New Roman"/>
          <w:lang w:val="es-ES_tradnl" w:eastAsia="es-ES"/>
        </w:rPr>
        <w:t>do</w:t>
      </w:r>
      <w:r>
        <w:rPr>
          <w:rFonts w:eastAsia="Times New Roman"/>
          <w:lang w:val="es-ES_tradnl" w:eastAsia="es-ES"/>
        </w:rPr>
        <w:t xml:space="preserve"> el impuesto a las ganancias.</w:t>
      </w:r>
      <w:r w:rsidRPr="004B222D">
        <w:rPr>
          <w:lang w:val="es-ES"/>
        </w:rPr>
        <w:t xml:space="preserve"> </w:t>
      </w:r>
      <w:r w:rsidRPr="007D5F9A">
        <w:rPr>
          <w:lang w:val="es-ES"/>
        </w:rPr>
        <w:t>También se calcul</w:t>
      </w:r>
      <w:r>
        <w:rPr>
          <w:lang w:val="es-ES"/>
        </w:rPr>
        <w:t>aron</w:t>
      </w:r>
      <w:r w:rsidRPr="007D5F9A">
        <w:rPr>
          <w:lang w:val="es-ES"/>
        </w:rPr>
        <w:t xml:space="preserve"> fondos de libre disponibilidad que considera los ingresos en efectivos </w:t>
      </w:r>
      <w:r w:rsidR="0014749E">
        <w:rPr>
          <w:lang w:val="es-ES"/>
        </w:rPr>
        <w:t>y</w:t>
      </w:r>
      <w:r w:rsidRPr="007D5F9A">
        <w:rPr>
          <w:lang w:val="es-ES"/>
        </w:rPr>
        <w:t xml:space="preserve"> los gastos en efectivo anuales</w:t>
      </w:r>
      <w:r>
        <w:rPr>
          <w:rFonts w:eastAsia="Times New Roman"/>
          <w:lang w:val="es-ES_tradnl" w:eastAsia="es-ES"/>
        </w:rPr>
        <w:t>.</w:t>
      </w:r>
    </w:p>
    <w:p w:rsidR="002173D7" w:rsidRPr="00030048" w:rsidRDefault="002173D7" w:rsidP="005A299D">
      <w:pPr>
        <w:pStyle w:val="Default"/>
        <w:spacing w:before="120" w:after="120" w:line="360" w:lineRule="auto"/>
        <w:rPr>
          <w:rFonts w:eastAsia="Times New Roman"/>
          <w:b/>
          <w:u w:val="single"/>
          <w:lang w:val="es-ES_tradnl" w:eastAsia="es-ES"/>
        </w:rPr>
      </w:pPr>
      <w:r w:rsidRPr="002173D7">
        <w:rPr>
          <w:rFonts w:eastAsia="Times New Roman"/>
          <w:b/>
          <w:u w:val="single"/>
          <w:lang w:val="es-ES_tradnl" w:eastAsia="es-ES"/>
        </w:rPr>
        <w:t>Resultados</w:t>
      </w:r>
    </w:p>
    <w:p w:rsidR="00735855" w:rsidRDefault="00735855" w:rsidP="005A299D">
      <w:pPr>
        <w:pStyle w:val="Default"/>
        <w:spacing w:before="120" w:after="120" w:line="360" w:lineRule="auto"/>
        <w:rPr>
          <w:lang w:val="es-ES"/>
        </w:rPr>
      </w:pPr>
      <w:r>
        <w:rPr>
          <w:lang w:val="es-ES"/>
        </w:rPr>
        <w:t>Para cada una de las tablas que se presentan a continuación, detallan los resultados por niveles tecnológicos y las tecnologías agrupadas por afinidad temática aplicadas en forma individual.</w:t>
      </w:r>
    </w:p>
    <w:p w:rsidR="00CC107C" w:rsidRDefault="00460A39" w:rsidP="005A299D">
      <w:pPr>
        <w:pStyle w:val="Default"/>
        <w:spacing w:before="120" w:after="120" w:line="360" w:lineRule="auto"/>
        <w:rPr>
          <w:lang w:val="es-ES"/>
        </w:rPr>
      </w:pPr>
      <w:r>
        <w:rPr>
          <w:lang w:val="es-ES"/>
        </w:rPr>
        <w:t xml:space="preserve">En la Tabla 1 se observa la composición del rodeo </w:t>
      </w:r>
      <w:r w:rsidR="00735855">
        <w:rPr>
          <w:lang w:val="es-ES"/>
        </w:rPr>
        <w:t xml:space="preserve">considerando las variables vaca masa, porcentaje de </w:t>
      </w:r>
      <w:r w:rsidR="005A299D">
        <w:rPr>
          <w:lang w:val="es-ES"/>
        </w:rPr>
        <w:t>parición</w:t>
      </w:r>
      <w:r w:rsidR="00735855">
        <w:rPr>
          <w:lang w:val="es-ES"/>
        </w:rPr>
        <w:t xml:space="preserve">, vacas en ordeño, vacas secas, la relación </w:t>
      </w:r>
      <w:r w:rsidR="0044268D">
        <w:rPr>
          <w:lang w:val="es-ES"/>
        </w:rPr>
        <w:t>entre las vacas en ordeño y la vaca masa</w:t>
      </w:r>
      <w:r w:rsidR="00735855">
        <w:rPr>
          <w:lang w:val="es-ES"/>
        </w:rPr>
        <w:t xml:space="preserve"> </w:t>
      </w:r>
      <w:r w:rsidR="0044268D">
        <w:rPr>
          <w:lang w:val="es-ES"/>
        </w:rPr>
        <w:t xml:space="preserve">(VO/VM), la </w:t>
      </w:r>
      <w:r w:rsidR="005A299D">
        <w:rPr>
          <w:lang w:val="es-ES"/>
        </w:rPr>
        <w:t>producción</w:t>
      </w:r>
      <w:r w:rsidR="0044268D">
        <w:rPr>
          <w:lang w:val="es-ES"/>
        </w:rPr>
        <w:t xml:space="preserve"> individual, el porcentaje de </w:t>
      </w:r>
      <w:r w:rsidR="005A299D">
        <w:rPr>
          <w:lang w:val="es-ES"/>
        </w:rPr>
        <w:t>reposición</w:t>
      </w:r>
      <w:r w:rsidR="0044268D">
        <w:rPr>
          <w:lang w:val="es-ES"/>
        </w:rPr>
        <w:t xml:space="preserve">, el porcentaje de mortandad en vacas adultas y el número de cabezas de vacas </w:t>
      </w:r>
      <w:proofErr w:type="spellStart"/>
      <w:r w:rsidR="0044268D">
        <w:rPr>
          <w:lang w:val="es-ES"/>
        </w:rPr>
        <w:t>refugo</w:t>
      </w:r>
      <w:proofErr w:type="spellEnd"/>
      <w:r w:rsidR="0044268D">
        <w:rPr>
          <w:lang w:val="es-ES"/>
        </w:rPr>
        <w:t>.</w:t>
      </w:r>
    </w:p>
    <w:p w:rsidR="00C840C0" w:rsidRDefault="00C840C0"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 xml:space="preserve">En la Tabla 2 se muestran los indicadores físicos considerando la producción individual diaria y la producción anual del rodeo. También los kilogramos anuales producidos de </w:t>
      </w:r>
      <w:proofErr w:type="spellStart"/>
      <w:r>
        <w:rPr>
          <w:rFonts w:ascii="Times New Roman" w:eastAsia="Times New Roman" w:hAnsi="Times New Roman"/>
          <w:sz w:val="24"/>
          <w:szCs w:val="24"/>
          <w:lang w:val="es-ES_tradnl" w:eastAsia="es-ES"/>
        </w:rPr>
        <w:t>refugo</w:t>
      </w:r>
      <w:proofErr w:type="spellEnd"/>
      <w:r>
        <w:rPr>
          <w:rFonts w:ascii="Times New Roman" w:eastAsia="Times New Roman" w:hAnsi="Times New Roman"/>
          <w:sz w:val="24"/>
          <w:szCs w:val="24"/>
          <w:lang w:val="es-ES_tradnl" w:eastAsia="es-ES"/>
        </w:rPr>
        <w:t xml:space="preserve"> y terneros. </w:t>
      </w:r>
    </w:p>
    <w:p w:rsidR="00C840C0" w:rsidRDefault="00C840C0"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 xml:space="preserve">En la tabla 3 se muestran los ingresos expresados en pesos provenientes de la venta de leche, </w:t>
      </w:r>
      <w:proofErr w:type="spellStart"/>
      <w:r>
        <w:rPr>
          <w:rFonts w:ascii="Times New Roman" w:eastAsia="Times New Roman" w:hAnsi="Times New Roman"/>
          <w:sz w:val="24"/>
          <w:szCs w:val="24"/>
          <w:lang w:val="es-ES_tradnl" w:eastAsia="es-ES"/>
        </w:rPr>
        <w:t>refugo</w:t>
      </w:r>
      <w:proofErr w:type="spellEnd"/>
      <w:r>
        <w:rPr>
          <w:rFonts w:ascii="Times New Roman" w:eastAsia="Times New Roman" w:hAnsi="Times New Roman"/>
          <w:sz w:val="24"/>
          <w:szCs w:val="24"/>
          <w:lang w:val="es-ES_tradnl" w:eastAsia="es-ES"/>
        </w:rPr>
        <w:t xml:space="preserve"> y terneros cuya sumatoria arroja el ingreso total.</w:t>
      </w:r>
    </w:p>
    <w:p w:rsidR="005A299D" w:rsidRDefault="005A299D"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 xml:space="preserve">En la tabla 4 se muestra la estructura de costos considerando los rubros: </w:t>
      </w:r>
      <w:r w:rsidR="007C686A">
        <w:rPr>
          <w:rFonts w:ascii="Times New Roman" w:eastAsia="Times New Roman" w:hAnsi="Times New Roman"/>
          <w:sz w:val="24"/>
          <w:szCs w:val="24"/>
          <w:lang w:val="es-ES_tradnl" w:eastAsia="es-ES"/>
        </w:rPr>
        <w:t>p</w:t>
      </w:r>
      <w:r w:rsidR="007C686A" w:rsidRPr="00C840C0">
        <w:rPr>
          <w:rFonts w:ascii="Times New Roman" w:eastAsia="Times New Roman" w:hAnsi="Times New Roman"/>
          <w:sz w:val="24"/>
          <w:szCs w:val="24"/>
          <w:lang w:val="es-ES_tradnl" w:eastAsia="es-ES"/>
        </w:rPr>
        <w:t>roducción</w:t>
      </w:r>
      <w:r w:rsidRPr="00C840C0">
        <w:rPr>
          <w:rFonts w:ascii="Times New Roman" w:eastAsia="Times New Roman" w:hAnsi="Times New Roman"/>
          <w:sz w:val="24"/>
          <w:szCs w:val="24"/>
          <w:lang w:val="es-ES_tradnl" w:eastAsia="es-ES"/>
        </w:rPr>
        <w:t xml:space="preserve"> y </w:t>
      </w:r>
      <w:r>
        <w:rPr>
          <w:rFonts w:ascii="Times New Roman" w:eastAsia="Times New Roman" w:hAnsi="Times New Roman"/>
          <w:sz w:val="24"/>
          <w:szCs w:val="24"/>
          <w:lang w:val="es-ES_tradnl" w:eastAsia="es-ES"/>
        </w:rPr>
        <w:t>henificación de forraje</w:t>
      </w:r>
      <w:r w:rsidR="007C686A">
        <w:rPr>
          <w:rFonts w:ascii="Times New Roman" w:eastAsia="Times New Roman" w:hAnsi="Times New Roman"/>
          <w:sz w:val="24"/>
          <w:szCs w:val="24"/>
          <w:lang w:val="es-ES_tradnl" w:eastAsia="es-ES"/>
        </w:rPr>
        <w:t xml:space="preserve">, </w:t>
      </w:r>
      <w:r>
        <w:rPr>
          <w:rFonts w:ascii="Times New Roman" w:eastAsia="Times New Roman" w:hAnsi="Times New Roman"/>
          <w:sz w:val="24"/>
          <w:szCs w:val="24"/>
          <w:lang w:val="es-ES_tradnl" w:eastAsia="es-ES"/>
        </w:rPr>
        <w:t>suplemento y acarreo,</w:t>
      </w:r>
      <w:r w:rsidR="007C686A">
        <w:rPr>
          <w:rFonts w:ascii="Times New Roman" w:eastAsia="Times New Roman" w:hAnsi="Times New Roman"/>
          <w:sz w:val="24"/>
          <w:szCs w:val="24"/>
          <w:lang w:val="es-ES_tradnl" w:eastAsia="es-ES"/>
        </w:rPr>
        <w:t xml:space="preserve"> </w:t>
      </w:r>
      <w:r>
        <w:rPr>
          <w:rFonts w:ascii="Times New Roman" w:eastAsia="Times New Roman" w:hAnsi="Times New Roman"/>
          <w:sz w:val="24"/>
          <w:szCs w:val="24"/>
          <w:lang w:val="es-ES_tradnl" w:eastAsia="es-ES"/>
        </w:rPr>
        <w:t>mano de obra</w:t>
      </w:r>
      <w:r w:rsidR="007C686A">
        <w:rPr>
          <w:rFonts w:ascii="Times New Roman" w:eastAsia="Times New Roman" w:hAnsi="Times New Roman"/>
          <w:sz w:val="24"/>
          <w:szCs w:val="24"/>
          <w:lang w:val="es-ES_tradnl" w:eastAsia="es-ES"/>
        </w:rPr>
        <w:t xml:space="preserve">, </w:t>
      </w:r>
      <w:r>
        <w:rPr>
          <w:rFonts w:ascii="Times New Roman" w:eastAsia="Times New Roman" w:hAnsi="Times New Roman"/>
          <w:sz w:val="24"/>
          <w:szCs w:val="24"/>
          <w:lang w:val="es-ES_tradnl" w:eastAsia="es-ES"/>
        </w:rPr>
        <w:t>repro</w:t>
      </w:r>
      <w:r w:rsidR="007C686A">
        <w:rPr>
          <w:rFonts w:ascii="Times New Roman" w:eastAsia="Times New Roman" w:hAnsi="Times New Roman"/>
          <w:sz w:val="24"/>
          <w:szCs w:val="24"/>
          <w:lang w:val="es-ES_tradnl" w:eastAsia="es-ES"/>
        </w:rPr>
        <w:t>ducción</w:t>
      </w:r>
      <w:r>
        <w:rPr>
          <w:rFonts w:ascii="Times New Roman" w:eastAsia="Times New Roman" w:hAnsi="Times New Roman"/>
          <w:sz w:val="24"/>
          <w:szCs w:val="24"/>
          <w:lang w:val="es-ES_tradnl" w:eastAsia="es-ES"/>
        </w:rPr>
        <w:t xml:space="preserve"> y sanidad</w:t>
      </w:r>
      <w:r w:rsidR="007C686A">
        <w:rPr>
          <w:rFonts w:ascii="Times New Roman" w:eastAsia="Times New Roman" w:hAnsi="Times New Roman"/>
          <w:sz w:val="24"/>
          <w:szCs w:val="24"/>
          <w:lang w:val="es-ES_tradnl" w:eastAsia="es-ES"/>
        </w:rPr>
        <w:t>,</w:t>
      </w:r>
      <w:r>
        <w:rPr>
          <w:rFonts w:ascii="Times New Roman" w:eastAsia="Times New Roman" w:hAnsi="Times New Roman"/>
          <w:sz w:val="24"/>
          <w:szCs w:val="24"/>
          <w:lang w:val="es-ES_tradnl" w:eastAsia="es-ES"/>
        </w:rPr>
        <w:t xml:space="preserve"> asistencia </w:t>
      </w:r>
      <w:r w:rsidR="007C686A">
        <w:rPr>
          <w:rFonts w:ascii="Times New Roman" w:eastAsia="Times New Roman" w:hAnsi="Times New Roman"/>
          <w:sz w:val="24"/>
          <w:szCs w:val="24"/>
          <w:lang w:val="es-ES_tradnl" w:eastAsia="es-ES"/>
        </w:rPr>
        <w:t xml:space="preserve">técnica, </w:t>
      </w:r>
      <w:r>
        <w:rPr>
          <w:rFonts w:ascii="Times New Roman" w:eastAsia="Times New Roman" w:hAnsi="Times New Roman"/>
          <w:sz w:val="24"/>
          <w:szCs w:val="24"/>
          <w:lang w:val="es-ES_tradnl" w:eastAsia="es-ES"/>
        </w:rPr>
        <w:t>mantenim</w:t>
      </w:r>
      <w:r w:rsidR="007C686A">
        <w:rPr>
          <w:rFonts w:ascii="Times New Roman" w:eastAsia="Times New Roman" w:hAnsi="Times New Roman"/>
          <w:sz w:val="24"/>
          <w:szCs w:val="24"/>
          <w:lang w:val="es-ES_tradnl" w:eastAsia="es-ES"/>
        </w:rPr>
        <w:t>iento y energía; amortizaciones,</w:t>
      </w:r>
      <w:r>
        <w:rPr>
          <w:rFonts w:ascii="Times New Roman" w:eastAsia="Times New Roman" w:hAnsi="Times New Roman"/>
          <w:sz w:val="24"/>
          <w:szCs w:val="24"/>
          <w:lang w:val="es-ES_tradnl" w:eastAsia="es-ES"/>
        </w:rPr>
        <w:t xml:space="preserve"> </w:t>
      </w:r>
      <w:r w:rsidRPr="00C840C0">
        <w:rPr>
          <w:rFonts w:ascii="Times New Roman" w:eastAsia="Times New Roman" w:hAnsi="Times New Roman"/>
          <w:sz w:val="24"/>
          <w:szCs w:val="24"/>
          <w:lang w:val="es-ES_tradnl" w:eastAsia="es-ES"/>
        </w:rPr>
        <w:t>gastos de estructura</w:t>
      </w:r>
      <w:r>
        <w:rPr>
          <w:rFonts w:ascii="Times New Roman" w:eastAsia="Times New Roman" w:hAnsi="Times New Roman"/>
          <w:sz w:val="24"/>
          <w:szCs w:val="24"/>
          <w:lang w:val="es-ES_tradnl" w:eastAsia="es-ES"/>
        </w:rPr>
        <w:t>, impuesto a las ganancias (IIGG) y total de egresos.</w:t>
      </w:r>
    </w:p>
    <w:p w:rsidR="005A299D" w:rsidRDefault="005A299D"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p>
    <w:p w:rsidR="00C840C0" w:rsidRDefault="00C840C0" w:rsidP="005A299D">
      <w:pPr>
        <w:pStyle w:val="Default"/>
        <w:spacing w:before="120" w:after="120" w:line="360" w:lineRule="auto"/>
        <w:rPr>
          <w:lang w:val="es-ES"/>
        </w:rPr>
      </w:pPr>
    </w:p>
    <w:p w:rsidR="00C840C0" w:rsidRDefault="00C840C0"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lastRenderedPageBreak/>
        <w:t>En la tabla 5 se expone la ganancia del sistema expresado como resultado económico (pesos/año) y fondos de libre disponibilidad (FLD)</w:t>
      </w:r>
      <w:r w:rsidR="007C686A">
        <w:rPr>
          <w:rFonts w:ascii="Times New Roman" w:eastAsia="Times New Roman" w:hAnsi="Times New Roman"/>
          <w:sz w:val="24"/>
          <w:szCs w:val="24"/>
          <w:lang w:val="es-ES_tradnl" w:eastAsia="es-ES"/>
        </w:rPr>
        <w:t>.</w:t>
      </w:r>
    </w:p>
    <w:tbl>
      <w:tblPr>
        <w:tblStyle w:val="Tablaconcuadrcula"/>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1052"/>
        <w:gridCol w:w="1147"/>
        <w:gridCol w:w="1456"/>
        <w:gridCol w:w="1158"/>
      </w:tblGrid>
      <w:tr w:rsidR="00031A7B" w:rsidRPr="00E2194C" w:rsidTr="00841A6A">
        <w:trPr>
          <w:trHeight w:val="227"/>
        </w:trPr>
        <w:tc>
          <w:tcPr>
            <w:tcW w:w="4833" w:type="pct"/>
            <w:gridSpan w:val="5"/>
            <w:vAlign w:val="bottom"/>
          </w:tcPr>
          <w:p w:rsidR="00031A7B" w:rsidRPr="00E2194C" w:rsidRDefault="00031A7B" w:rsidP="00031A7B">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Tabla 1: Composición del rodeo. </w:t>
            </w:r>
          </w:p>
        </w:tc>
      </w:tr>
      <w:tr w:rsidR="00031A7B" w:rsidRPr="00E2194C" w:rsidTr="00841A6A">
        <w:trPr>
          <w:trHeight w:val="227"/>
        </w:trPr>
        <w:tc>
          <w:tcPr>
            <w:tcW w:w="2080" w:type="pct"/>
            <w:vMerge w:val="restart"/>
            <w:vAlign w:val="bottom"/>
          </w:tcPr>
          <w:p w:rsidR="00031A7B" w:rsidRPr="00E2194C" w:rsidRDefault="00031A7B" w:rsidP="00031A7B">
            <w:pPr>
              <w:keepNext/>
              <w:keepLines/>
              <w:spacing w:before="120" w:after="120" w:line="360" w:lineRule="auto"/>
              <w:rPr>
                <w:rFonts w:ascii="Times New Roman" w:eastAsia="Times New Roman" w:hAnsi="Times New Roman"/>
                <w:bCs/>
                <w:sz w:val="24"/>
                <w:szCs w:val="24"/>
                <w:lang w:eastAsia="es-AR"/>
              </w:rPr>
            </w:pPr>
          </w:p>
        </w:tc>
        <w:tc>
          <w:tcPr>
            <w:tcW w:w="1373" w:type="pct"/>
            <w:gridSpan w:val="2"/>
            <w:tcBorders>
              <w:top w:val="single" w:sz="4" w:space="0" w:color="auto"/>
              <w:bottom w:val="single" w:sz="4" w:space="0" w:color="auto"/>
            </w:tcBorders>
          </w:tcPr>
          <w:p w:rsidR="00031A7B" w:rsidRPr="00E2194C" w:rsidRDefault="00031A7B" w:rsidP="00031A7B">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M2</w:t>
            </w:r>
          </w:p>
        </w:tc>
        <w:tc>
          <w:tcPr>
            <w:tcW w:w="1380" w:type="pct"/>
            <w:gridSpan w:val="2"/>
            <w:tcBorders>
              <w:top w:val="single" w:sz="4" w:space="0" w:color="auto"/>
              <w:bottom w:val="single" w:sz="4" w:space="0" w:color="auto"/>
            </w:tcBorders>
          </w:tcPr>
          <w:p w:rsidR="00031A7B" w:rsidRPr="00E2194C" w:rsidRDefault="00031A7B" w:rsidP="00031A7B">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Grupo temático</w:t>
            </w:r>
          </w:p>
        </w:tc>
      </w:tr>
      <w:tr w:rsidR="00031A7B" w:rsidRPr="00E2194C" w:rsidTr="00841A6A">
        <w:trPr>
          <w:trHeight w:val="227"/>
        </w:trPr>
        <w:tc>
          <w:tcPr>
            <w:tcW w:w="2080" w:type="pct"/>
            <w:vMerge/>
            <w:tcBorders>
              <w:bottom w:val="single" w:sz="4" w:space="0" w:color="auto"/>
            </w:tcBorders>
            <w:vAlign w:val="bottom"/>
          </w:tcPr>
          <w:p w:rsidR="00031A7B" w:rsidRPr="00E2194C" w:rsidRDefault="00031A7B" w:rsidP="00031A7B">
            <w:pPr>
              <w:keepNext/>
              <w:keepLines/>
              <w:spacing w:before="120" w:after="120" w:line="360" w:lineRule="auto"/>
              <w:rPr>
                <w:rFonts w:ascii="Times New Roman" w:eastAsia="Times New Roman" w:hAnsi="Times New Roman"/>
                <w:bCs/>
                <w:sz w:val="24"/>
                <w:szCs w:val="24"/>
                <w:lang w:eastAsia="es-AR"/>
              </w:rPr>
            </w:pPr>
          </w:p>
        </w:tc>
        <w:tc>
          <w:tcPr>
            <w:tcW w:w="659" w:type="pct"/>
            <w:tcBorders>
              <w:top w:val="single" w:sz="4" w:space="0" w:color="auto"/>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NTB</w:t>
            </w:r>
          </w:p>
        </w:tc>
        <w:tc>
          <w:tcPr>
            <w:tcW w:w="714" w:type="pct"/>
            <w:tcBorders>
              <w:top w:val="single" w:sz="4" w:space="0" w:color="auto"/>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NTA</w:t>
            </w:r>
          </w:p>
        </w:tc>
        <w:tc>
          <w:tcPr>
            <w:tcW w:w="659" w:type="pct"/>
            <w:tcBorders>
              <w:top w:val="single" w:sz="4" w:space="0" w:color="auto"/>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w:t>
            </w:r>
            <w:r>
              <w:rPr>
                <w:rFonts w:ascii="Times New Roman" w:eastAsia="Times New Roman" w:hAnsi="Times New Roman"/>
                <w:bCs/>
                <w:sz w:val="24"/>
                <w:szCs w:val="24"/>
                <w:lang w:eastAsia="es-AR"/>
              </w:rPr>
              <w:t>utrición y alimentación</w:t>
            </w:r>
          </w:p>
        </w:tc>
        <w:tc>
          <w:tcPr>
            <w:tcW w:w="721" w:type="pct"/>
            <w:tcBorders>
              <w:top w:val="single" w:sz="4" w:space="0" w:color="auto"/>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Manejo del rodeo</w:t>
            </w:r>
          </w:p>
        </w:tc>
      </w:tr>
      <w:tr w:rsidR="00031A7B" w:rsidRPr="00E2194C" w:rsidTr="00841A6A">
        <w:trPr>
          <w:trHeight w:val="227"/>
        </w:trPr>
        <w:tc>
          <w:tcPr>
            <w:tcW w:w="2080" w:type="pct"/>
            <w:tcBorders>
              <w:top w:val="single" w:sz="4" w:space="0" w:color="auto"/>
            </w:tcBorders>
            <w:vAlign w:val="center"/>
          </w:tcPr>
          <w:p w:rsidR="00031A7B" w:rsidRDefault="00031A7B" w:rsidP="00031A7B">
            <w:pPr>
              <w:keepNext/>
              <w:keepLines/>
              <w:spacing w:before="120" w:after="120" w:line="360" w:lineRule="auto"/>
              <w:jc w:val="left"/>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Vaca</w:t>
            </w:r>
            <w:r>
              <w:rPr>
                <w:rFonts w:ascii="Times New Roman" w:eastAsia="Times New Roman" w:hAnsi="Times New Roman"/>
                <w:bCs/>
                <w:sz w:val="24"/>
                <w:szCs w:val="24"/>
                <w:lang w:eastAsia="es-AR"/>
              </w:rPr>
              <w:t>s</w:t>
            </w:r>
            <w:r>
              <w:rPr>
                <w:rFonts w:ascii="Times New Roman" w:eastAsia="Times New Roman" w:hAnsi="Times New Roman"/>
                <w:bCs/>
                <w:sz w:val="24"/>
                <w:szCs w:val="24"/>
                <w:lang w:eastAsia="es-AR"/>
              </w:rPr>
              <w:t xml:space="preserve"> totales </w:t>
            </w:r>
          </w:p>
          <w:p w:rsidR="00031A7B" w:rsidRPr="00E2194C" w:rsidRDefault="00031A7B" w:rsidP="00031A7B">
            <w:pPr>
              <w:keepNext/>
              <w:keepLines/>
              <w:spacing w:before="120" w:after="120" w:line="360" w:lineRule="auto"/>
              <w:jc w:val="left"/>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(cabezas)</w:t>
            </w:r>
          </w:p>
        </w:tc>
        <w:tc>
          <w:tcPr>
            <w:tcW w:w="659" w:type="pct"/>
            <w:tcBorders>
              <w:top w:val="single" w:sz="4" w:space="0" w:color="auto"/>
            </w:tcBorders>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210</w:t>
            </w:r>
          </w:p>
        </w:tc>
        <w:tc>
          <w:tcPr>
            <w:tcW w:w="714" w:type="pct"/>
            <w:tcBorders>
              <w:top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220</w:t>
            </w:r>
          </w:p>
        </w:tc>
        <w:tc>
          <w:tcPr>
            <w:tcW w:w="659" w:type="pct"/>
            <w:tcBorders>
              <w:top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210</w:t>
            </w:r>
          </w:p>
        </w:tc>
        <w:tc>
          <w:tcPr>
            <w:tcW w:w="721" w:type="pct"/>
            <w:tcBorders>
              <w:top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210</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Porcentaje de parición</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75%</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80%</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80%</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78%</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Vacas en ordeño (cabezas)</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155</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176</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155</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155</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Vacas secas</w:t>
            </w:r>
            <w:r w:rsidRPr="00E2194C">
              <w:rPr>
                <w:rFonts w:ascii="Times New Roman" w:eastAsia="Times New Roman" w:hAnsi="Times New Roman"/>
                <w:bCs/>
                <w:sz w:val="24"/>
                <w:szCs w:val="24"/>
                <w:lang w:eastAsia="es-AR"/>
              </w:rPr>
              <w:t xml:space="preserve"> (cabezas)</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55</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44</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55</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55</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VO/VT</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0.74</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0.8</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0.74</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0.74</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Producción individual (litros/día)</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18</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30</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22</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22</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Porcentaje de reposición</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27%</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30%</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30%</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27%</w:t>
            </w:r>
          </w:p>
        </w:tc>
      </w:tr>
      <w:tr w:rsidR="00031A7B" w:rsidRPr="00E2194C" w:rsidTr="00841A6A">
        <w:trPr>
          <w:trHeight w:val="227"/>
        </w:trPr>
        <w:tc>
          <w:tcPr>
            <w:tcW w:w="2080"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Porcentaje de mortandad en vacas adultas</w:t>
            </w:r>
          </w:p>
        </w:tc>
        <w:tc>
          <w:tcPr>
            <w:tcW w:w="659" w:type="pct"/>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w:t>
            </w:r>
          </w:p>
        </w:tc>
        <w:tc>
          <w:tcPr>
            <w:tcW w:w="714"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10%</w:t>
            </w:r>
          </w:p>
        </w:tc>
        <w:tc>
          <w:tcPr>
            <w:tcW w:w="659"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w:t>
            </w:r>
          </w:p>
        </w:tc>
        <w:tc>
          <w:tcPr>
            <w:tcW w:w="721" w:type="pct"/>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12%</w:t>
            </w:r>
          </w:p>
        </w:tc>
      </w:tr>
      <w:tr w:rsidR="00031A7B" w:rsidRPr="00E2194C" w:rsidTr="00841A6A">
        <w:trPr>
          <w:trHeight w:val="227"/>
        </w:trPr>
        <w:tc>
          <w:tcPr>
            <w:tcW w:w="2080" w:type="pct"/>
            <w:tcBorders>
              <w:bottom w:val="single" w:sz="4" w:space="0" w:color="auto"/>
            </w:tcBorders>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Vacas </w:t>
            </w:r>
            <w:proofErr w:type="spellStart"/>
            <w:r>
              <w:rPr>
                <w:rFonts w:ascii="Times New Roman" w:eastAsia="Times New Roman" w:hAnsi="Times New Roman"/>
                <w:bCs/>
                <w:sz w:val="24"/>
                <w:szCs w:val="24"/>
                <w:lang w:eastAsia="es-AR"/>
              </w:rPr>
              <w:t>refugo</w:t>
            </w:r>
            <w:proofErr w:type="spellEnd"/>
            <w:r>
              <w:rPr>
                <w:rFonts w:ascii="Times New Roman" w:eastAsia="Times New Roman" w:hAnsi="Times New Roman"/>
                <w:bCs/>
                <w:sz w:val="24"/>
                <w:szCs w:val="24"/>
                <w:lang w:eastAsia="es-AR"/>
              </w:rPr>
              <w:t xml:space="preserve"> (cabezas)</w:t>
            </w:r>
          </w:p>
        </w:tc>
        <w:tc>
          <w:tcPr>
            <w:tcW w:w="659" w:type="pct"/>
            <w:tcBorders>
              <w:bottom w:val="single" w:sz="4" w:space="0" w:color="auto"/>
            </w:tcBorders>
            <w:vAlign w:val="center"/>
          </w:tcPr>
          <w:p w:rsidR="00031A7B" w:rsidRPr="00E2194C" w:rsidRDefault="00031A7B" w:rsidP="00031A7B">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48</w:t>
            </w:r>
          </w:p>
        </w:tc>
        <w:tc>
          <w:tcPr>
            <w:tcW w:w="714" w:type="pct"/>
            <w:tcBorders>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59</w:t>
            </w:r>
          </w:p>
        </w:tc>
        <w:tc>
          <w:tcPr>
            <w:tcW w:w="659" w:type="pct"/>
            <w:tcBorders>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54</w:t>
            </w:r>
          </w:p>
        </w:tc>
        <w:tc>
          <w:tcPr>
            <w:tcW w:w="721" w:type="pct"/>
            <w:tcBorders>
              <w:bottom w:val="single" w:sz="4" w:space="0" w:color="auto"/>
            </w:tcBorders>
            <w:vAlign w:val="center"/>
          </w:tcPr>
          <w:p w:rsidR="00031A7B" w:rsidRPr="00E2194C" w:rsidRDefault="00031A7B" w:rsidP="00031A7B">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50</w:t>
            </w:r>
          </w:p>
        </w:tc>
      </w:tr>
    </w:tbl>
    <w:p w:rsidR="00031A7B" w:rsidRDefault="00031A7B" w:rsidP="005A299D">
      <w:pPr>
        <w:pStyle w:val="Default"/>
        <w:spacing w:before="120" w:after="120" w:line="360" w:lineRule="auto"/>
        <w:rPr>
          <w:lang w:val="es-ES"/>
        </w:rPr>
      </w:pPr>
    </w:p>
    <w:tbl>
      <w:tblPr>
        <w:tblStyle w:val="Tablaconcuadrcula"/>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1052"/>
        <w:gridCol w:w="1176"/>
        <w:gridCol w:w="1456"/>
        <w:gridCol w:w="1176"/>
      </w:tblGrid>
      <w:tr w:rsidR="00031A7B" w:rsidRPr="00E2194C" w:rsidTr="00031A7B">
        <w:trPr>
          <w:trHeight w:val="227"/>
        </w:trPr>
        <w:tc>
          <w:tcPr>
            <w:tcW w:w="5000" w:type="pct"/>
            <w:gridSpan w:val="5"/>
            <w:vAlign w:val="bottom"/>
          </w:tcPr>
          <w:p w:rsidR="00031A7B" w:rsidRPr="00E2194C" w:rsidRDefault="00031A7B" w:rsidP="00031A7B">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lastRenderedPageBreak/>
              <w:t xml:space="preserve">Tabla </w:t>
            </w:r>
            <w:r>
              <w:rPr>
                <w:rFonts w:ascii="Times New Roman" w:eastAsia="Times New Roman" w:hAnsi="Times New Roman"/>
                <w:bCs/>
                <w:sz w:val="24"/>
                <w:szCs w:val="24"/>
                <w:lang w:eastAsia="es-AR"/>
              </w:rPr>
              <w:t>2</w:t>
            </w:r>
            <w:r>
              <w:rPr>
                <w:rFonts w:ascii="Times New Roman" w:eastAsia="Times New Roman" w:hAnsi="Times New Roman"/>
                <w:bCs/>
                <w:sz w:val="24"/>
                <w:szCs w:val="24"/>
                <w:lang w:eastAsia="es-AR"/>
              </w:rPr>
              <w:t xml:space="preserve">: </w:t>
            </w:r>
            <w:r>
              <w:rPr>
                <w:rFonts w:ascii="Times New Roman" w:eastAsia="Times New Roman" w:hAnsi="Times New Roman"/>
                <w:bCs/>
                <w:sz w:val="24"/>
                <w:szCs w:val="24"/>
                <w:lang w:eastAsia="es-AR"/>
              </w:rPr>
              <w:t>Indicadores físicos</w:t>
            </w:r>
            <w:r>
              <w:rPr>
                <w:rFonts w:ascii="Times New Roman" w:eastAsia="Times New Roman" w:hAnsi="Times New Roman"/>
                <w:bCs/>
                <w:sz w:val="24"/>
                <w:szCs w:val="24"/>
                <w:lang w:eastAsia="es-AR"/>
              </w:rPr>
              <w:t xml:space="preserve">. </w:t>
            </w:r>
          </w:p>
        </w:tc>
      </w:tr>
      <w:tr w:rsidR="00031A7B" w:rsidRPr="00E2194C" w:rsidTr="00031A7B">
        <w:trPr>
          <w:trHeight w:val="227"/>
        </w:trPr>
        <w:tc>
          <w:tcPr>
            <w:tcW w:w="2075" w:type="pct"/>
            <w:vMerge w:val="restart"/>
            <w:vAlign w:val="bottom"/>
          </w:tcPr>
          <w:p w:rsidR="00031A7B" w:rsidRPr="00E2194C" w:rsidRDefault="00031A7B" w:rsidP="00841A6A">
            <w:pPr>
              <w:keepNext/>
              <w:keepLines/>
              <w:spacing w:before="120" w:after="120" w:line="360" w:lineRule="auto"/>
              <w:rPr>
                <w:rFonts w:ascii="Times New Roman" w:eastAsia="Times New Roman" w:hAnsi="Times New Roman"/>
                <w:bCs/>
                <w:sz w:val="24"/>
                <w:szCs w:val="24"/>
                <w:lang w:eastAsia="es-AR"/>
              </w:rPr>
            </w:pPr>
          </w:p>
        </w:tc>
        <w:tc>
          <w:tcPr>
            <w:tcW w:w="1341" w:type="pct"/>
            <w:gridSpan w:val="2"/>
            <w:tcBorders>
              <w:top w:val="single" w:sz="4" w:space="0" w:color="auto"/>
              <w:bottom w:val="single" w:sz="4" w:space="0" w:color="auto"/>
            </w:tcBorders>
          </w:tcPr>
          <w:p w:rsidR="00031A7B" w:rsidRPr="00E2194C" w:rsidRDefault="00031A7B"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M2</w:t>
            </w:r>
          </w:p>
        </w:tc>
        <w:tc>
          <w:tcPr>
            <w:tcW w:w="1584" w:type="pct"/>
            <w:gridSpan w:val="2"/>
            <w:tcBorders>
              <w:top w:val="single" w:sz="4" w:space="0" w:color="auto"/>
              <w:bottom w:val="single" w:sz="4" w:space="0" w:color="auto"/>
            </w:tcBorders>
          </w:tcPr>
          <w:p w:rsidR="00031A7B" w:rsidRPr="00E2194C" w:rsidRDefault="00031A7B"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Grupo temático</w:t>
            </w:r>
          </w:p>
        </w:tc>
      </w:tr>
      <w:tr w:rsidR="00031A7B" w:rsidRPr="00E2194C" w:rsidTr="00031A7B">
        <w:trPr>
          <w:trHeight w:val="227"/>
        </w:trPr>
        <w:tc>
          <w:tcPr>
            <w:tcW w:w="2075" w:type="pct"/>
            <w:vMerge/>
            <w:tcBorders>
              <w:bottom w:val="single" w:sz="4" w:space="0" w:color="auto"/>
            </w:tcBorders>
            <w:vAlign w:val="bottom"/>
          </w:tcPr>
          <w:p w:rsidR="00031A7B" w:rsidRPr="00E2194C" w:rsidRDefault="00031A7B" w:rsidP="00841A6A">
            <w:pPr>
              <w:keepNext/>
              <w:keepLines/>
              <w:spacing w:before="120" w:after="120" w:line="360" w:lineRule="auto"/>
              <w:rPr>
                <w:rFonts w:ascii="Times New Roman" w:eastAsia="Times New Roman" w:hAnsi="Times New Roman"/>
                <w:bCs/>
                <w:sz w:val="24"/>
                <w:szCs w:val="24"/>
                <w:lang w:eastAsia="es-AR"/>
              </w:rPr>
            </w:pPr>
          </w:p>
        </w:tc>
        <w:tc>
          <w:tcPr>
            <w:tcW w:w="633" w:type="pct"/>
            <w:tcBorders>
              <w:top w:val="single" w:sz="4" w:space="0" w:color="auto"/>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NTB</w:t>
            </w:r>
          </w:p>
        </w:tc>
        <w:tc>
          <w:tcPr>
            <w:tcW w:w="708" w:type="pct"/>
            <w:tcBorders>
              <w:top w:val="single" w:sz="4" w:space="0" w:color="auto"/>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NTA</w:t>
            </w:r>
          </w:p>
        </w:tc>
        <w:tc>
          <w:tcPr>
            <w:tcW w:w="876" w:type="pct"/>
            <w:tcBorders>
              <w:top w:val="single" w:sz="4" w:space="0" w:color="auto"/>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w:t>
            </w:r>
            <w:r>
              <w:rPr>
                <w:rFonts w:ascii="Times New Roman" w:eastAsia="Times New Roman" w:hAnsi="Times New Roman"/>
                <w:bCs/>
                <w:sz w:val="24"/>
                <w:szCs w:val="24"/>
                <w:lang w:eastAsia="es-AR"/>
              </w:rPr>
              <w:t>utrición y alimentación</w:t>
            </w:r>
          </w:p>
        </w:tc>
        <w:tc>
          <w:tcPr>
            <w:tcW w:w="708" w:type="pct"/>
            <w:tcBorders>
              <w:top w:val="single" w:sz="4" w:space="0" w:color="auto"/>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Manejo del rodeo</w:t>
            </w:r>
          </w:p>
        </w:tc>
      </w:tr>
      <w:tr w:rsidR="00031A7B" w:rsidRPr="00E2194C" w:rsidTr="00031A7B">
        <w:trPr>
          <w:trHeight w:val="227"/>
        </w:trPr>
        <w:tc>
          <w:tcPr>
            <w:tcW w:w="2075" w:type="pct"/>
            <w:tcBorders>
              <w:top w:val="single" w:sz="4" w:space="0" w:color="auto"/>
            </w:tcBorders>
            <w:vAlign w:val="center"/>
          </w:tcPr>
          <w:p w:rsidR="00031A7B" w:rsidRPr="00E2194C" w:rsidRDefault="00854361" w:rsidP="00031A7B">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Producción</w:t>
            </w:r>
            <w:r w:rsidR="00031A7B">
              <w:rPr>
                <w:rFonts w:ascii="Times New Roman" w:eastAsia="Times New Roman" w:hAnsi="Times New Roman"/>
                <w:bCs/>
                <w:sz w:val="24"/>
                <w:szCs w:val="24"/>
                <w:lang w:eastAsia="es-AR"/>
              </w:rPr>
              <w:t xml:space="preserve"> </w:t>
            </w:r>
            <w:r>
              <w:rPr>
                <w:rFonts w:ascii="Times New Roman" w:eastAsia="Times New Roman" w:hAnsi="Times New Roman"/>
                <w:bCs/>
                <w:sz w:val="24"/>
                <w:szCs w:val="24"/>
                <w:lang w:eastAsia="es-AR"/>
              </w:rPr>
              <w:t>diaria</w:t>
            </w:r>
            <w:r w:rsidR="00031A7B">
              <w:rPr>
                <w:rFonts w:ascii="Times New Roman" w:eastAsia="Times New Roman" w:hAnsi="Times New Roman"/>
                <w:bCs/>
                <w:sz w:val="24"/>
                <w:szCs w:val="24"/>
                <w:lang w:eastAsia="es-AR"/>
              </w:rPr>
              <w:t xml:space="preserve"> individual (litros/</w:t>
            </w:r>
            <w:r>
              <w:rPr>
                <w:rFonts w:ascii="Times New Roman" w:eastAsia="Times New Roman" w:hAnsi="Times New Roman"/>
                <w:bCs/>
                <w:sz w:val="24"/>
                <w:szCs w:val="24"/>
                <w:lang w:eastAsia="es-AR"/>
              </w:rPr>
              <w:t>día</w:t>
            </w:r>
            <w:r w:rsidR="00031A7B">
              <w:rPr>
                <w:rFonts w:ascii="Times New Roman" w:eastAsia="Times New Roman" w:hAnsi="Times New Roman"/>
                <w:bCs/>
                <w:sz w:val="24"/>
                <w:szCs w:val="24"/>
                <w:lang w:eastAsia="es-AR"/>
              </w:rPr>
              <w:t>)</w:t>
            </w:r>
          </w:p>
        </w:tc>
        <w:tc>
          <w:tcPr>
            <w:tcW w:w="633" w:type="pct"/>
            <w:tcBorders>
              <w:top w:val="single" w:sz="4" w:space="0" w:color="auto"/>
            </w:tcBorders>
            <w:vAlign w:val="center"/>
          </w:tcPr>
          <w:p w:rsidR="00031A7B" w:rsidRPr="00E2194C" w:rsidRDefault="00031A7B"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18</w:t>
            </w:r>
          </w:p>
        </w:tc>
        <w:tc>
          <w:tcPr>
            <w:tcW w:w="708" w:type="pct"/>
            <w:tcBorders>
              <w:top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30</w:t>
            </w:r>
          </w:p>
        </w:tc>
        <w:tc>
          <w:tcPr>
            <w:tcW w:w="876" w:type="pct"/>
            <w:tcBorders>
              <w:top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22</w:t>
            </w:r>
          </w:p>
        </w:tc>
        <w:tc>
          <w:tcPr>
            <w:tcW w:w="708" w:type="pct"/>
            <w:tcBorders>
              <w:top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22</w:t>
            </w:r>
          </w:p>
        </w:tc>
      </w:tr>
      <w:tr w:rsidR="00031A7B" w:rsidRPr="00E2194C" w:rsidTr="00031A7B">
        <w:trPr>
          <w:trHeight w:val="227"/>
        </w:trPr>
        <w:tc>
          <w:tcPr>
            <w:tcW w:w="2075"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Producción total diaria del establecimiento (litros/año)</w:t>
            </w:r>
          </w:p>
        </w:tc>
        <w:tc>
          <w:tcPr>
            <w:tcW w:w="633" w:type="pct"/>
            <w:vAlign w:val="center"/>
          </w:tcPr>
          <w:p w:rsidR="00031A7B" w:rsidRPr="00E2194C" w:rsidRDefault="00031A7B"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2.790</w:t>
            </w:r>
          </w:p>
        </w:tc>
        <w:tc>
          <w:tcPr>
            <w:tcW w:w="708"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5.280</w:t>
            </w:r>
          </w:p>
        </w:tc>
        <w:tc>
          <w:tcPr>
            <w:tcW w:w="876"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3.410</w:t>
            </w:r>
          </w:p>
        </w:tc>
        <w:tc>
          <w:tcPr>
            <w:tcW w:w="708"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3.410</w:t>
            </w:r>
          </w:p>
        </w:tc>
      </w:tr>
      <w:tr w:rsidR="00031A7B" w:rsidRPr="00E2194C" w:rsidTr="00031A7B">
        <w:trPr>
          <w:trHeight w:val="227"/>
        </w:trPr>
        <w:tc>
          <w:tcPr>
            <w:tcW w:w="2075"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Producción total </w:t>
            </w:r>
            <w:r w:rsidR="00854361">
              <w:rPr>
                <w:rFonts w:ascii="Times New Roman" w:eastAsia="Times New Roman" w:hAnsi="Times New Roman"/>
                <w:bCs/>
                <w:sz w:val="24"/>
                <w:szCs w:val="24"/>
                <w:lang w:eastAsia="es-AR"/>
              </w:rPr>
              <w:t>anual</w:t>
            </w:r>
            <w:r>
              <w:rPr>
                <w:rFonts w:ascii="Times New Roman" w:eastAsia="Times New Roman" w:hAnsi="Times New Roman"/>
                <w:bCs/>
                <w:sz w:val="24"/>
                <w:szCs w:val="24"/>
                <w:lang w:eastAsia="es-AR"/>
              </w:rPr>
              <w:t xml:space="preserve"> del establecimiento (litros/año)</w:t>
            </w:r>
          </w:p>
        </w:tc>
        <w:tc>
          <w:tcPr>
            <w:tcW w:w="633" w:type="pct"/>
            <w:vAlign w:val="center"/>
          </w:tcPr>
          <w:p w:rsidR="00031A7B" w:rsidRPr="00E2194C" w:rsidRDefault="00031A7B"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1.018.350</w:t>
            </w:r>
          </w:p>
        </w:tc>
        <w:tc>
          <w:tcPr>
            <w:tcW w:w="708"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1.927.200</w:t>
            </w:r>
          </w:p>
        </w:tc>
        <w:tc>
          <w:tcPr>
            <w:tcW w:w="876"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1.244.650</w:t>
            </w:r>
          </w:p>
        </w:tc>
        <w:tc>
          <w:tcPr>
            <w:tcW w:w="708"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1.244.650</w:t>
            </w:r>
          </w:p>
        </w:tc>
      </w:tr>
      <w:tr w:rsidR="00031A7B" w:rsidRPr="00E2194C" w:rsidTr="00031A7B">
        <w:trPr>
          <w:trHeight w:val="227"/>
        </w:trPr>
        <w:tc>
          <w:tcPr>
            <w:tcW w:w="2075" w:type="pct"/>
            <w:vAlign w:val="center"/>
          </w:tcPr>
          <w:p w:rsidR="00031A7B" w:rsidRPr="00E2194C" w:rsidRDefault="00031A7B" w:rsidP="00031A7B">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V</w:t>
            </w:r>
            <w:r>
              <w:rPr>
                <w:rFonts w:ascii="Times New Roman" w:eastAsia="Times New Roman" w:hAnsi="Times New Roman"/>
                <w:bCs/>
                <w:sz w:val="24"/>
                <w:szCs w:val="24"/>
                <w:lang w:eastAsia="es-AR"/>
              </w:rPr>
              <w:t xml:space="preserve">enta de </w:t>
            </w:r>
            <w:proofErr w:type="spellStart"/>
            <w:r>
              <w:rPr>
                <w:rFonts w:ascii="Times New Roman" w:eastAsia="Times New Roman" w:hAnsi="Times New Roman"/>
                <w:bCs/>
                <w:sz w:val="24"/>
                <w:szCs w:val="24"/>
                <w:lang w:eastAsia="es-AR"/>
              </w:rPr>
              <w:t>refugo</w:t>
            </w:r>
            <w:proofErr w:type="spellEnd"/>
            <w:r>
              <w:rPr>
                <w:rFonts w:ascii="Times New Roman" w:eastAsia="Times New Roman" w:hAnsi="Times New Roman"/>
                <w:bCs/>
                <w:sz w:val="24"/>
                <w:szCs w:val="24"/>
                <w:lang w:eastAsia="es-AR"/>
              </w:rPr>
              <w:t xml:space="preserve"> (kilogramo/año)</w:t>
            </w:r>
          </w:p>
        </w:tc>
        <w:tc>
          <w:tcPr>
            <w:tcW w:w="633" w:type="pct"/>
            <w:vAlign w:val="center"/>
          </w:tcPr>
          <w:p w:rsidR="00031A7B" w:rsidRPr="00E2194C" w:rsidRDefault="00031A7B"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24.098</w:t>
            </w:r>
          </w:p>
        </w:tc>
        <w:tc>
          <w:tcPr>
            <w:tcW w:w="708"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32.670</w:t>
            </w:r>
          </w:p>
        </w:tc>
        <w:tc>
          <w:tcPr>
            <w:tcW w:w="876"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29.453</w:t>
            </w:r>
          </w:p>
        </w:tc>
        <w:tc>
          <w:tcPr>
            <w:tcW w:w="708" w:type="pct"/>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24.098</w:t>
            </w:r>
          </w:p>
        </w:tc>
      </w:tr>
      <w:tr w:rsidR="00031A7B" w:rsidRPr="00E2194C" w:rsidTr="00031A7B">
        <w:trPr>
          <w:trHeight w:val="227"/>
        </w:trPr>
        <w:tc>
          <w:tcPr>
            <w:tcW w:w="2075" w:type="pct"/>
            <w:tcBorders>
              <w:bottom w:val="single" w:sz="4" w:space="0" w:color="auto"/>
            </w:tcBorders>
            <w:vAlign w:val="center"/>
          </w:tcPr>
          <w:p w:rsidR="00031A7B" w:rsidRPr="00E2194C" w:rsidRDefault="00031A7B" w:rsidP="004C74A4">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Venta de </w:t>
            </w:r>
            <w:r w:rsidR="004C74A4">
              <w:rPr>
                <w:rFonts w:ascii="Times New Roman" w:eastAsia="Times New Roman" w:hAnsi="Times New Roman"/>
                <w:bCs/>
                <w:sz w:val="24"/>
                <w:szCs w:val="24"/>
                <w:lang w:eastAsia="es-AR"/>
              </w:rPr>
              <w:t>t</w:t>
            </w:r>
            <w:r>
              <w:rPr>
                <w:rFonts w:ascii="Times New Roman" w:eastAsia="Times New Roman" w:hAnsi="Times New Roman"/>
                <w:bCs/>
                <w:sz w:val="24"/>
                <w:szCs w:val="24"/>
                <w:lang w:eastAsia="es-AR"/>
              </w:rPr>
              <w:t>erneros (kilogramos/año)</w:t>
            </w:r>
          </w:p>
        </w:tc>
        <w:tc>
          <w:tcPr>
            <w:tcW w:w="633" w:type="pct"/>
            <w:tcBorders>
              <w:bottom w:val="single" w:sz="4" w:space="0" w:color="auto"/>
            </w:tcBorders>
            <w:vAlign w:val="center"/>
          </w:tcPr>
          <w:p w:rsidR="00031A7B" w:rsidRPr="00E2194C" w:rsidRDefault="00031A7B"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7.371</w:t>
            </w:r>
          </w:p>
        </w:tc>
        <w:tc>
          <w:tcPr>
            <w:tcW w:w="708" w:type="pct"/>
            <w:tcBorders>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11.120</w:t>
            </w:r>
          </w:p>
        </w:tc>
        <w:tc>
          <w:tcPr>
            <w:tcW w:w="876" w:type="pct"/>
            <w:tcBorders>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8.845</w:t>
            </w:r>
          </w:p>
        </w:tc>
        <w:tc>
          <w:tcPr>
            <w:tcW w:w="708" w:type="pct"/>
            <w:tcBorders>
              <w:bottom w:val="single" w:sz="4" w:space="0" w:color="auto"/>
            </w:tcBorders>
            <w:vAlign w:val="center"/>
          </w:tcPr>
          <w:p w:rsidR="00031A7B" w:rsidRPr="00E2194C" w:rsidRDefault="00031A7B"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7.666</w:t>
            </w:r>
          </w:p>
        </w:tc>
      </w:tr>
    </w:tbl>
    <w:p w:rsidR="00031A7B" w:rsidRDefault="00031A7B" w:rsidP="005A299D">
      <w:pPr>
        <w:pStyle w:val="Default"/>
        <w:spacing w:before="120" w:after="120" w:line="360" w:lineRule="auto"/>
        <w:rPr>
          <w:lang w:val="es-ES"/>
        </w:rPr>
      </w:pPr>
    </w:p>
    <w:tbl>
      <w:tblPr>
        <w:tblStyle w:val="Tablaconcuadrcula"/>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1171"/>
        <w:gridCol w:w="1296"/>
        <w:gridCol w:w="1456"/>
        <w:gridCol w:w="1297"/>
      </w:tblGrid>
      <w:tr w:rsidR="004C74A4" w:rsidRPr="00E2194C" w:rsidTr="00841A6A">
        <w:trPr>
          <w:trHeight w:val="227"/>
        </w:trPr>
        <w:tc>
          <w:tcPr>
            <w:tcW w:w="5000" w:type="pct"/>
            <w:gridSpan w:val="5"/>
            <w:vAlign w:val="bottom"/>
          </w:tcPr>
          <w:p w:rsidR="004C74A4" w:rsidRPr="00E2194C" w:rsidRDefault="004C74A4" w:rsidP="004C74A4">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lastRenderedPageBreak/>
              <w:t xml:space="preserve">Tabla </w:t>
            </w:r>
            <w:r>
              <w:rPr>
                <w:rFonts w:ascii="Times New Roman" w:eastAsia="Times New Roman" w:hAnsi="Times New Roman"/>
                <w:bCs/>
                <w:sz w:val="24"/>
                <w:szCs w:val="24"/>
                <w:lang w:eastAsia="es-AR"/>
              </w:rPr>
              <w:t>3</w:t>
            </w:r>
            <w:r>
              <w:rPr>
                <w:rFonts w:ascii="Times New Roman" w:eastAsia="Times New Roman" w:hAnsi="Times New Roman"/>
                <w:bCs/>
                <w:sz w:val="24"/>
                <w:szCs w:val="24"/>
                <w:lang w:eastAsia="es-AR"/>
              </w:rPr>
              <w:t xml:space="preserve">: </w:t>
            </w:r>
            <w:r>
              <w:rPr>
                <w:rFonts w:ascii="Times New Roman" w:eastAsia="Times New Roman" w:hAnsi="Times New Roman"/>
                <w:bCs/>
                <w:sz w:val="24"/>
                <w:szCs w:val="24"/>
                <w:lang w:eastAsia="es-AR"/>
              </w:rPr>
              <w:t>Ingresos económicos</w:t>
            </w:r>
            <w:r>
              <w:rPr>
                <w:rFonts w:ascii="Times New Roman" w:eastAsia="Times New Roman" w:hAnsi="Times New Roman"/>
                <w:bCs/>
                <w:sz w:val="24"/>
                <w:szCs w:val="24"/>
                <w:lang w:eastAsia="es-AR"/>
              </w:rPr>
              <w:t xml:space="preserve">. </w:t>
            </w:r>
          </w:p>
        </w:tc>
      </w:tr>
      <w:tr w:rsidR="004C74A4" w:rsidRPr="00E2194C" w:rsidTr="004648B2">
        <w:trPr>
          <w:trHeight w:val="227"/>
        </w:trPr>
        <w:tc>
          <w:tcPr>
            <w:tcW w:w="1858" w:type="pct"/>
            <w:vMerge w:val="restart"/>
            <w:vAlign w:val="bottom"/>
          </w:tcPr>
          <w:p w:rsidR="004C74A4" w:rsidRPr="00E2194C" w:rsidRDefault="004C74A4" w:rsidP="00841A6A">
            <w:pPr>
              <w:keepNext/>
              <w:keepLines/>
              <w:spacing w:before="120" w:after="120" w:line="360" w:lineRule="auto"/>
              <w:rPr>
                <w:rFonts w:ascii="Times New Roman" w:eastAsia="Times New Roman" w:hAnsi="Times New Roman"/>
                <w:bCs/>
                <w:sz w:val="24"/>
                <w:szCs w:val="24"/>
                <w:lang w:eastAsia="es-AR"/>
              </w:rPr>
            </w:pPr>
          </w:p>
        </w:tc>
        <w:tc>
          <w:tcPr>
            <w:tcW w:w="1485" w:type="pct"/>
            <w:gridSpan w:val="2"/>
            <w:tcBorders>
              <w:top w:val="single" w:sz="4" w:space="0" w:color="auto"/>
              <w:bottom w:val="single" w:sz="4" w:space="0" w:color="auto"/>
            </w:tcBorders>
          </w:tcPr>
          <w:p w:rsidR="004C74A4" w:rsidRPr="00E2194C" w:rsidRDefault="004C74A4"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M2</w:t>
            </w:r>
          </w:p>
        </w:tc>
        <w:tc>
          <w:tcPr>
            <w:tcW w:w="1657" w:type="pct"/>
            <w:gridSpan w:val="2"/>
            <w:tcBorders>
              <w:top w:val="single" w:sz="4" w:space="0" w:color="auto"/>
              <w:bottom w:val="single" w:sz="4" w:space="0" w:color="auto"/>
            </w:tcBorders>
          </w:tcPr>
          <w:p w:rsidR="004C74A4" w:rsidRPr="00E2194C" w:rsidRDefault="004C74A4"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Grupo temático</w:t>
            </w:r>
          </w:p>
        </w:tc>
      </w:tr>
      <w:tr w:rsidR="004C74A4" w:rsidRPr="00E2194C" w:rsidTr="004648B2">
        <w:trPr>
          <w:trHeight w:val="227"/>
        </w:trPr>
        <w:tc>
          <w:tcPr>
            <w:tcW w:w="1858" w:type="pct"/>
            <w:vMerge/>
            <w:tcBorders>
              <w:bottom w:val="single" w:sz="4" w:space="0" w:color="auto"/>
            </w:tcBorders>
            <w:vAlign w:val="bottom"/>
          </w:tcPr>
          <w:p w:rsidR="004C74A4" w:rsidRPr="00E2194C" w:rsidRDefault="004C74A4" w:rsidP="00841A6A">
            <w:pPr>
              <w:keepNext/>
              <w:keepLines/>
              <w:spacing w:before="120" w:after="120" w:line="360" w:lineRule="auto"/>
              <w:rPr>
                <w:rFonts w:ascii="Times New Roman" w:eastAsia="Times New Roman" w:hAnsi="Times New Roman"/>
                <w:bCs/>
                <w:sz w:val="24"/>
                <w:szCs w:val="24"/>
                <w:lang w:eastAsia="es-AR"/>
              </w:rPr>
            </w:pPr>
          </w:p>
        </w:tc>
        <w:tc>
          <w:tcPr>
            <w:tcW w:w="705"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NTB</w:t>
            </w:r>
          </w:p>
        </w:tc>
        <w:tc>
          <w:tcPr>
            <w:tcW w:w="780"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NTA</w:t>
            </w:r>
          </w:p>
        </w:tc>
        <w:tc>
          <w:tcPr>
            <w:tcW w:w="876"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w:t>
            </w:r>
            <w:r>
              <w:rPr>
                <w:rFonts w:ascii="Times New Roman" w:eastAsia="Times New Roman" w:hAnsi="Times New Roman"/>
                <w:bCs/>
                <w:sz w:val="24"/>
                <w:szCs w:val="24"/>
                <w:lang w:eastAsia="es-AR"/>
              </w:rPr>
              <w:t>utrición y alimentación</w:t>
            </w:r>
          </w:p>
        </w:tc>
        <w:tc>
          <w:tcPr>
            <w:tcW w:w="780"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Manejo del rodeo</w:t>
            </w:r>
          </w:p>
        </w:tc>
      </w:tr>
      <w:tr w:rsidR="004C74A4" w:rsidRPr="00E2194C" w:rsidTr="004648B2">
        <w:trPr>
          <w:trHeight w:val="227"/>
        </w:trPr>
        <w:tc>
          <w:tcPr>
            <w:tcW w:w="1858" w:type="pct"/>
            <w:tcBorders>
              <w:top w:val="single" w:sz="4" w:space="0" w:color="auto"/>
            </w:tcBorders>
            <w:vAlign w:val="center"/>
          </w:tcPr>
          <w:p w:rsidR="004C74A4" w:rsidRPr="00E2194C" w:rsidRDefault="004C74A4" w:rsidP="004C74A4">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Ingreso de la venta de leche (pesos/año)</w:t>
            </w:r>
          </w:p>
        </w:tc>
        <w:tc>
          <w:tcPr>
            <w:tcW w:w="705" w:type="pct"/>
            <w:tcBorders>
              <w:top w:val="single" w:sz="4" w:space="0" w:color="auto"/>
            </w:tcBorders>
            <w:vAlign w:val="center"/>
          </w:tcPr>
          <w:p w:rsidR="004C74A4" w:rsidRPr="00E2194C" w:rsidRDefault="004C74A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15.275.000</w:t>
            </w:r>
          </w:p>
        </w:tc>
        <w:tc>
          <w:tcPr>
            <w:tcW w:w="780" w:type="pct"/>
            <w:tcBorders>
              <w:top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28.908.000</w:t>
            </w:r>
          </w:p>
        </w:tc>
        <w:tc>
          <w:tcPr>
            <w:tcW w:w="876" w:type="pct"/>
            <w:tcBorders>
              <w:top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18.669.750</w:t>
            </w:r>
          </w:p>
        </w:tc>
        <w:tc>
          <w:tcPr>
            <w:tcW w:w="780" w:type="pct"/>
            <w:tcBorders>
              <w:top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18.669.750</w:t>
            </w:r>
          </w:p>
        </w:tc>
      </w:tr>
      <w:tr w:rsidR="004C74A4" w:rsidRPr="00E2194C" w:rsidTr="004648B2">
        <w:trPr>
          <w:trHeight w:val="227"/>
        </w:trPr>
        <w:tc>
          <w:tcPr>
            <w:tcW w:w="1858" w:type="pct"/>
            <w:vAlign w:val="center"/>
          </w:tcPr>
          <w:p w:rsidR="004C74A4" w:rsidRPr="00E2194C" w:rsidRDefault="004C74A4" w:rsidP="004C74A4">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Ingreso de la venta de </w:t>
            </w:r>
            <w:proofErr w:type="spellStart"/>
            <w:r>
              <w:rPr>
                <w:rFonts w:ascii="Times New Roman" w:eastAsia="Times New Roman" w:hAnsi="Times New Roman"/>
                <w:bCs/>
                <w:sz w:val="24"/>
                <w:szCs w:val="24"/>
                <w:lang w:eastAsia="es-AR"/>
              </w:rPr>
              <w:t>refugo</w:t>
            </w:r>
            <w:proofErr w:type="spellEnd"/>
            <w:r>
              <w:rPr>
                <w:rFonts w:ascii="Times New Roman" w:eastAsia="Times New Roman" w:hAnsi="Times New Roman"/>
                <w:bCs/>
                <w:sz w:val="24"/>
                <w:szCs w:val="24"/>
                <w:lang w:eastAsia="es-AR"/>
              </w:rPr>
              <w:t xml:space="preserve"> (pesos/año)</w:t>
            </w:r>
          </w:p>
        </w:tc>
        <w:tc>
          <w:tcPr>
            <w:tcW w:w="705" w:type="pct"/>
            <w:vAlign w:val="center"/>
          </w:tcPr>
          <w:p w:rsidR="004C74A4" w:rsidRPr="00E2194C" w:rsidRDefault="004C74A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915.705</w:t>
            </w:r>
          </w:p>
        </w:tc>
        <w:tc>
          <w:tcPr>
            <w:tcW w:w="780" w:type="pct"/>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980.100</w:t>
            </w:r>
          </w:p>
        </w:tc>
        <w:tc>
          <w:tcPr>
            <w:tcW w:w="876" w:type="pct"/>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883.575</w:t>
            </w:r>
          </w:p>
        </w:tc>
        <w:tc>
          <w:tcPr>
            <w:tcW w:w="780" w:type="pct"/>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748.440</w:t>
            </w:r>
          </w:p>
        </w:tc>
      </w:tr>
      <w:tr w:rsidR="004C74A4" w:rsidRPr="00E2194C" w:rsidTr="004648B2">
        <w:trPr>
          <w:trHeight w:val="227"/>
        </w:trPr>
        <w:tc>
          <w:tcPr>
            <w:tcW w:w="1858" w:type="pct"/>
            <w:vAlign w:val="center"/>
          </w:tcPr>
          <w:p w:rsidR="004C74A4" w:rsidRPr="00E2194C" w:rsidRDefault="004C74A4" w:rsidP="004C74A4">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Ingreso de la venta de terneros </w:t>
            </w:r>
            <w:r>
              <w:rPr>
                <w:rFonts w:ascii="Times New Roman" w:eastAsia="Times New Roman" w:hAnsi="Times New Roman"/>
                <w:bCs/>
                <w:sz w:val="24"/>
                <w:szCs w:val="24"/>
                <w:lang w:eastAsia="es-AR"/>
              </w:rPr>
              <w:t>(</w:t>
            </w:r>
            <w:r>
              <w:rPr>
                <w:rFonts w:ascii="Times New Roman" w:eastAsia="Times New Roman" w:hAnsi="Times New Roman"/>
                <w:bCs/>
                <w:sz w:val="24"/>
                <w:szCs w:val="24"/>
                <w:lang w:eastAsia="es-AR"/>
              </w:rPr>
              <w:t>peso/año</w:t>
            </w:r>
            <w:r>
              <w:rPr>
                <w:rFonts w:ascii="Times New Roman" w:eastAsia="Times New Roman" w:hAnsi="Times New Roman"/>
                <w:bCs/>
                <w:sz w:val="24"/>
                <w:szCs w:val="24"/>
                <w:lang w:eastAsia="es-AR"/>
              </w:rPr>
              <w:t>)</w:t>
            </w:r>
          </w:p>
        </w:tc>
        <w:tc>
          <w:tcPr>
            <w:tcW w:w="705" w:type="pct"/>
            <w:vAlign w:val="center"/>
          </w:tcPr>
          <w:p w:rsidR="004C74A4" w:rsidRPr="00E2194C" w:rsidRDefault="004C74A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331.695</w:t>
            </w:r>
          </w:p>
        </w:tc>
        <w:tc>
          <w:tcPr>
            <w:tcW w:w="780" w:type="pct"/>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504.900</w:t>
            </w:r>
          </w:p>
        </w:tc>
        <w:tc>
          <w:tcPr>
            <w:tcW w:w="876" w:type="pct"/>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398.034</w:t>
            </w:r>
          </w:p>
        </w:tc>
        <w:tc>
          <w:tcPr>
            <w:tcW w:w="780" w:type="pct"/>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349.385</w:t>
            </w:r>
          </w:p>
        </w:tc>
      </w:tr>
      <w:tr w:rsidR="004C74A4" w:rsidRPr="00E2194C" w:rsidTr="004648B2">
        <w:trPr>
          <w:trHeight w:val="227"/>
        </w:trPr>
        <w:tc>
          <w:tcPr>
            <w:tcW w:w="1858" w:type="pct"/>
            <w:tcBorders>
              <w:bottom w:val="single" w:sz="4" w:space="0" w:color="auto"/>
            </w:tcBorders>
            <w:vAlign w:val="center"/>
          </w:tcPr>
          <w:p w:rsidR="004C74A4" w:rsidRPr="00E2194C" w:rsidRDefault="004C74A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Total de ingreso bruto (pesos/año)</w:t>
            </w:r>
          </w:p>
        </w:tc>
        <w:tc>
          <w:tcPr>
            <w:tcW w:w="705" w:type="pct"/>
            <w:tcBorders>
              <w:bottom w:val="single" w:sz="4" w:space="0" w:color="auto"/>
            </w:tcBorders>
            <w:vAlign w:val="center"/>
          </w:tcPr>
          <w:p w:rsidR="004C74A4" w:rsidRPr="00E2194C" w:rsidRDefault="004C74A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16.522.650</w:t>
            </w:r>
          </w:p>
        </w:tc>
        <w:tc>
          <w:tcPr>
            <w:tcW w:w="780" w:type="pct"/>
            <w:tcBorders>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30.393.000</w:t>
            </w:r>
          </w:p>
        </w:tc>
        <w:tc>
          <w:tcPr>
            <w:tcW w:w="876" w:type="pct"/>
            <w:tcBorders>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19.951.359</w:t>
            </w:r>
          </w:p>
        </w:tc>
        <w:tc>
          <w:tcPr>
            <w:tcW w:w="780" w:type="pct"/>
            <w:tcBorders>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19.767.579</w:t>
            </w:r>
          </w:p>
        </w:tc>
      </w:tr>
    </w:tbl>
    <w:p w:rsidR="00854361" w:rsidRDefault="00854361" w:rsidP="005A299D">
      <w:pPr>
        <w:pStyle w:val="Default"/>
        <w:spacing w:before="120" w:after="120" w:line="360" w:lineRule="auto"/>
        <w:rPr>
          <w:lang w:val="es-ES"/>
        </w:rPr>
      </w:pPr>
    </w:p>
    <w:tbl>
      <w:tblPr>
        <w:tblStyle w:val="Tablaconcuadrcula"/>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1171"/>
        <w:gridCol w:w="1296"/>
        <w:gridCol w:w="1456"/>
        <w:gridCol w:w="1297"/>
      </w:tblGrid>
      <w:tr w:rsidR="004C74A4" w:rsidRPr="00E2194C" w:rsidTr="004648B2">
        <w:trPr>
          <w:trHeight w:val="227"/>
        </w:trPr>
        <w:tc>
          <w:tcPr>
            <w:tcW w:w="5000" w:type="pct"/>
            <w:gridSpan w:val="5"/>
            <w:vAlign w:val="bottom"/>
          </w:tcPr>
          <w:p w:rsidR="004C74A4" w:rsidRPr="00E2194C" w:rsidRDefault="004C74A4" w:rsidP="003C4E37">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lastRenderedPageBreak/>
              <w:t xml:space="preserve">Tabla </w:t>
            </w:r>
            <w:r w:rsidR="003C4E37">
              <w:rPr>
                <w:rFonts w:ascii="Times New Roman" w:eastAsia="Times New Roman" w:hAnsi="Times New Roman"/>
                <w:bCs/>
                <w:sz w:val="24"/>
                <w:szCs w:val="24"/>
                <w:lang w:eastAsia="es-AR"/>
              </w:rPr>
              <w:t>4</w:t>
            </w:r>
            <w:r>
              <w:rPr>
                <w:rFonts w:ascii="Times New Roman" w:eastAsia="Times New Roman" w:hAnsi="Times New Roman"/>
                <w:bCs/>
                <w:sz w:val="24"/>
                <w:szCs w:val="24"/>
                <w:lang w:eastAsia="es-AR"/>
              </w:rPr>
              <w:t xml:space="preserve">: </w:t>
            </w:r>
            <w:r w:rsidR="003C4E37">
              <w:rPr>
                <w:rFonts w:ascii="Times New Roman" w:eastAsia="Times New Roman" w:hAnsi="Times New Roman"/>
                <w:bCs/>
                <w:sz w:val="24"/>
                <w:szCs w:val="24"/>
                <w:lang w:eastAsia="es-AR"/>
              </w:rPr>
              <w:t>Estructura de costos</w:t>
            </w:r>
            <w:r>
              <w:rPr>
                <w:rFonts w:ascii="Times New Roman" w:eastAsia="Times New Roman" w:hAnsi="Times New Roman"/>
                <w:bCs/>
                <w:sz w:val="24"/>
                <w:szCs w:val="24"/>
                <w:lang w:eastAsia="es-AR"/>
              </w:rPr>
              <w:t xml:space="preserve">. </w:t>
            </w:r>
          </w:p>
        </w:tc>
      </w:tr>
      <w:tr w:rsidR="004C74A4" w:rsidRPr="00E2194C" w:rsidTr="004648B2">
        <w:trPr>
          <w:trHeight w:val="227"/>
        </w:trPr>
        <w:tc>
          <w:tcPr>
            <w:tcW w:w="1858" w:type="pct"/>
            <w:vMerge w:val="restart"/>
            <w:vAlign w:val="bottom"/>
          </w:tcPr>
          <w:p w:rsidR="004C74A4" w:rsidRPr="00E2194C" w:rsidRDefault="003C4E37" w:rsidP="00841A6A">
            <w:pPr>
              <w:keepNext/>
              <w:keepLines/>
              <w:spacing w:before="120" w:after="120" w:line="360" w:lineRule="auto"/>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Rubros</w:t>
            </w:r>
          </w:p>
        </w:tc>
        <w:tc>
          <w:tcPr>
            <w:tcW w:w="1485" w:type="pct"/>
            <w:gridSpan w:val="2"/>
            <w:tcBorders>
              <w:top w:val="single" w:sz="4" w:space="0" w:color="auto"/>
              <w:bottom w:val="single" w:sz="4" w:space="0" w:color="auto"/>
            </w:tcBorders>
          </w:tcPr>
          <w:p w:rsidR="004C74A4" w:rsidRPr="00E2194C" w:rsidRDefault="004C74A4"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M2</w:t>
            </w:r>
          </w:p>
        </w:tc>
        <w:tc>
          <w:tcPr>
            <w:tcW w:w="1657" w:type="pct"/>
            <w:gridSpan w:val="2"/>
            <w:tcBorders>
              <w:top w:val="single" w:sz="4" w:space="0" w:color="auto"/>
              <w:bottom w:val="single" w:sz="4" w:space="0" w:color="auto"/>
            </w:tcBorders>
          </w:tcPr>
          <w:p w:rsidR="004C74A4" w:rsidRPr="00E2194C" w:rsidRDefault="004C74A4"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Grupo temático</w:t>
            </w:r>
          </w:p>
        </w:tc>
      </w:tr>
      <w:tr w:rsidR="004648B2" w:rsidRPr="00E2194C" w:rsidTr="004648B2">
        <w:trPr>
          <w:trHeight w:val="227"/>
        </w:trPr>
        <w:tc>
          <w:tcPr>
            <w:tcW w:w="1858" w:type="pct"/>
            <w:vMerge/>
            <w:tcBorders>
              <w:bottom w:val="single" w:sz="4" w:space="0" w:color="auto"/>
            </w:tcBorders>
            <w:vAlign w:val="bottom"/>
          </w:tcPr>
          <w:p w:rsidR="004C74A4" w:rsidRPr="00E2194C" w:rsidRDefault="004C74A4" w:rsidP="00841A6A">
            <w:pPr>
              <w:keepNext/>
              <w:keepLines/>
              <w:spacing w:before="120" w:after="120" w:line="360" w:lineRule="auto"/>
              <w:rPr>
                <w:rFonts w:ascii="Times New Roman" w:eastAsia="Times New Roman" w:hAnsi="Times New Roman"/>
                <w:bCs/>
                <w:sz w:val="24"/>
                <w:szCs w:val="24"/>
                <w:lang w:eastAsia="es-AR"/>
              </w:rPr>
            </w:pPr>
          </w:p>
        </w:tc>
        <w:tc>
          <w:tcPr>
            <w:tcW w:w="705"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NTB</w:t>
            </w:r>
          </w:p>
        </w:tc>
        <w:tc>
          <w:tcPr>
            <w:tcW w:w="780"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NTA</w:t>
            </w:r>
          </w:p>
        </w:tc>
        <w:tc>
          <w:tcPr>
            <w:tcW w:w="876"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w:t>
            </w:r>
            <w:r>
              <w:rPr>
                <w:rFonts w:ascii="Times New Roman" w:eastAsia="Times New Roman" w:hAnsi="Times New Roman"/>
                <w:bCs/>
                <w:sz w:val="24"/>
                <w:szCs w:val="24"/>
                <w:lang w:eastAsia="es-AR"/>
              </w:rPr>
              <w:t>utrición y alimentación</w:t>
            </w:r>
          </w:p>
        </w:tc>
        <w:tc>
          <w:tcPr>
            <w:tcW w:w="780" w:type="pct"/>
            <w:tcBorders>
              <w:top w:val="single" w:sz="4" w:space="0" w:color="auto"/>
              <w:bottom w:val="single" w:sz="4" w:space="0" w:color="auto"/>
            </w:tcBorders>
            <w:vAlign w:val="center"/>
          </w:tcPr>
          <w:p w:rsidR="004C74A4" w:rsidRPr="00E2194C" w:rsidRDefault="004C74A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Manejo del rodeo</w:t>
            </w:r>
          </w:p>
        </w:tc>
      </w:tr>
      <w:tr w:rsidR="004648B2" w:rsidRPr="00E2194C" w:rsidTr="004648B2">
        <w:trPr>
          <w:trHeight w:val="227"/>
        </w:trPr>
        <w:tc>
          <w:tcPr>
            <w:tcW w:w="1858" w:type="pct"/>
            <w:tcBorders>
              <w:top w:val="single" w:sz="4" w:space="0" w:color="auto"/>
            </w:tcBorders>
            <w:vAlign w:val="center"/>
          </w:tcPr>
          <w:p w:rsidR="004C74A4" w:rsidRPr="00E2194C" w:rsidRDefault="00842534" w:rsidP="00841A6A">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Producción y henificación de forraje</w:t>
            </w:r>
          </w:p>
        </w:tc>
        <w:tc>
          <w:tcPr>
            <w:tcW w:w="705" w:type="pct"/>
            <w:tcBorders>
              <w:top w:val="single" w:sz="4" w:space="0" w:color="auto"/>
            </w:tcBorders>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3.138.102</w:t>
            </w:r>
          </w:p>
        </w:tc>
        <w:tc>
          <w:tcPr>
            <w:tcW w:w="780" w:type="pct"/>
            <w:tcBorders>
              <w:top w:val="single" w:sz="4" w:space="0" w:color="auto"/>
            </w:tcBorders>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7.724.456</w:t>
            </w:r>
          </w:p>
        </w:tc>
        <w:tc>
          <w:tcPr>
            <w:tcW w:w="876" w:type="pct"/>
            <w:tcBorders>
              <w:top w:val="single" w:sz="4" w:space="0" w:color="auto"/>
            </w:tcBorders>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7.724.456</w:t>
            </w:r>
          </w:p>
        </w:tc>
        <w:tc>
          <w:tcPr>
            <w:tcW w:w="780" w:type="pct"/>
            <w:tcBorders>
              <w:top w:val="single" w:sz="4" w:space="0" w:color="auto"/>
            </w:tcBorders>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3.138.102</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Suplementos y acarreo</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3.666.238</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7.866.800</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7.866.800</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4.052.508</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Mano de obra</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2.408.278</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2.962.640</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2.703.673</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2.781.673</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Reproducción y sanidad</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1.091.160</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1.143.120</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1.091.160</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1.312.964</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xml:space="preserve">Asistencia técnica </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91.200</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136.800</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136.800</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114.000</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Mantenimiento de equipos y energía</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459.345</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804.516</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556.088</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556.088</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Amortizaciones</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2.080.750</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3.488.202</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2.080.750</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2.080.750</w:t>
            </w:r>
          </w:p>
        </w:tc>
      </w:tr>
      <w:tr w:rsidR="004648B2" w:rsidRPr="00E2194C" w:rsidTr="004648B2">
        <w:trPr>
          <w:trHeight w:val="227"/>
        </w:trPr>
        <w:tc>
          <w:tcPr>
            <w:tcW w:w="1858" w:type="pct"/>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Gastos de estructura</w:t>
            </w:r>
          </w:p>
        </w:tc>
        <w:tc>
          <w:tcPr>
            <w:tcW w:w="705" w:type="pct"/>
            <w:vAlign w:val="center"/>
          </w:tcPr>
          <w:p w:rsidR="004C74A4" w:rsidRPr="00E2194C"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1.320.073</w:t>
            </w:r>
          </w:p>
        </w:tc>
        <w:tc>
          <w:tcPr>
            <w:tcW w:w="780" w:type="pct"/>
            <w:vAlign w:val="center"/>
          </w:tcPr>
          <w:p w:rsidR="004C74A4" w:rsidRPr="00E2194C"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1.584.224</w:t>
            </w:r>
          </w:p>
        </w:tc>
        <w:tc>
          <w:tcPr>
            <w:tcW w:w="876"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1.359.695</w:t>
            </w:r>
          </w:p>
        </w:tc>
        <w:tc>
          <w:tcPr>
            <w:tcW w:w="780" w:type="pct"/>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1.352.522</w:t>
            </w:r>
          </w:p>
        </w:tc>
      </w:tr>
      <w:tr w:rsidR="00842534" w:rsidRPr="00E2194C" w:rsidTr="004648B2">
        <w:trPr>
          <w:trHeight w:val="227"/>
        </w:trPr>
        <w:tc>
          <w:tcPr>
            <w:tcW w:w="1858" w:type="pct"/>
            <w:vAlign w:val="center"/>
          </w:tcPr>
          <w:p w:rsidR="00842534"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Subtotal de egresos</w:t>
            </w:r>
          </w:p>
        </w:tc>
        <w:tc>
          <w:tcPr>
            <w:tcW w:w="705" w:type="pct"/>
            <w:vAlign w:val="center"/>
          </w:tcPr>
          <w:p w:rsidR="00842534" w:rsidRDefault="00842534"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14.255.146</w:t>
            </w:r>
          </w:p>
        </w:tc>
        <w:tc>
          <w:tcPr>
            <w:tcW w:w="780" w:type="pct"/>
            <w:vAlign w:val="center"/>
          </w:tcPr>
          <w:p w:rsidR="00842534" w:rsidRDefault="00842534"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25.710.758</w:t>
            </w:r>
          </w:p>
        </w:tc>
        <w:tc>
          <w:tcPr>
            <w:tcW w:w="876" w:type="pct"/>
            <w:vAlign w:val="center"/>
          </w:tcPr>
          <w:p w:rsidR="00842534"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23.519.422</w:t>
            </w:r>
          </w:p>
        </w:tc>
        <w:tc>
          <w:tcPr>
            <w:tcW w:w="780" w:type="pct"/>
            <w:vAlign w:val="center"/>
          </w:tcPr>
          <w:p w:rsidR="00842534"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15.388.608</w:t>
            </w:r>
          </w:p>
        </w:tc>
      </w:tr>
      <w:tr w:rsidR="00842534" w:rsidRPr="00E2194C" w:rsidTr="004648B2">
        <w:trPr>
          <w:trHeight w:val="227"/>
        </w:trPr>
        <w:tc>
          <w:tcPr>
            <w:tcW w:w="1858" w:type="pct"/>
            <w:vAlign w:val="center"/>
          </w:tcPr>
          <w:p w:rsidR="00842534"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Impuesto a las ganancias</w:t>
            </w:r>
          </w:p>
        </w:tc>
        <w:tc>
          <w:tcPr>
            <w:tcW w:w="705" w:type="pct"/>
            <w:vAlign w:val="center"/>
          </w:tcPr>
          <w:p w:rsidR="00842534" w:rsidRDefault="004648B2"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793.626</w:t>
            </w:r>
          </w:p>
        </w:tc>
        <w:tc>
          <w:tcPr>
            <w:tcW w:w="780" w:type="pct"/>
            <w:vAlign w:val="center"/>
          </w:tcPr>
          <w:p w:rsidR="00842534"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1.638.785</w:t>
            </w:r>
          </w:p>
        </w:tc>
        <w:tc>
          <w:tcPr>
            <w:tcW w:w="876" w:type="pct"/>
            <w:vAlign w:val="center"/>
          </w:tcPr>
          <w:p w:rsidR="00842534"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w:t>
            </w:r>
          </w:p>
        </w:tc>
        <w:tc>
          <w:tcPr>
            <w:tcW w:w="780" w:type="pct"/>
            <w:vAlign w:val="center"/>
          </w:tcPr>
          <w:p w:rsidR="00842534"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1.532.639</w:t>
            </w:r>
          </w:p>
        </w:tc>
      </w:tr>
      <w:tr w:rsidR="004648B2" w:rsidRPr="00E2194C" w:rsidTr="004648B2">
        <w:trPr>
          <w:trHeight w:val="227"/>
        </w:trPr>
        <w:tc>
          <w:tcPr>
            <w:tcW w:w="1858" w:type="pct"/>
            <w:tcBorders>
              <w:bottom w:val="single" w:sz="4" w:space="0" w:color="auto"/>
            </w:tcBorders>
            <w:vAlign w:val="center"/>
          </w:tcPr>
          <w:p w:rsidR="004C74A4" w:rsidRPr="00E2194C" w:rsidRDefault="00842534"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Total de egresos</w:t>
            </w:r>
          </w:p>
        </w:tc>
        <w:tc>
          <w:tcPr>
            <w:tcW w:w="705" w:type="pct"/>
            <w:tcBorders>
              <w:bottom w:val="single" w:sz="4" w:space="0" w:color="auto"/>
            </w:tcBorders>
            <w:vAlign w:val="center"/>
          </w:tcPr>
          <w:p w:rsidR="004C74A4" w:rsidRPr="00E2194C" w:rsidRDefault="004648B2"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15.048.773</w:t>
            </w:r>
          </w:p>
        </w:tc>
        <w:tc>
          <w:tcPr>
            <w:tcW w:w="780" w:type="pct"/>
            <w:tcBorders>
              <w:bottom w:val="single" w:sz="4" w:space="0" w:color="auto"/>
            </w:tcBorders>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27.349.542</w:t>
            </w:r>
          </w:p>
        </w:tc>
        <w:tc>
          <w:tcPr>
            <w:tcW w:w="876" w:type="pct"/>
            <w:tcBorders>
              <w:bottom w:val="single" w:sz="4" w:space="0" w:color="auto"/>
            </w:tcBorders>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23.519.422</w:t>
            </w:r>
          </w:p>
        </w:tc>
        <w:tc>
          <w:tcPr>
            <w:tcW w:w="780" w:type="pct"/>
            <w:tcBorders>
              <w:bottom w:val="single" w:sz="4" w:space="0" w:color="auto"/>
            </w:tcBorders>
            <w:vAlign w:val="center"/>
          </w:tcPr>
          <w:p w:rsidR="004C74A4"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16.921.247</w:t>
            </w:r>
          </w:p>
        </w:tc>
      </w:tr>
    </w:tbl>
    <w:p w:rsidR="00854361" w:rsidRDefault="00854361" w:rsidP="005A299D">
      <w:pPr>
        <w:pStyle w:val="Default"/>
        <w:spacing w:before="120" w:after="120" w:line="360" w:lineRule="auto"/>
        <w:rPr>
          <w:lang w:val="es-ES"/>
        </w:rPr>
      </w:pPr>
    </w:p>
    <w:p w:rsidR="004C74A4" w:rsidRDefault="004C74A4" w:rsidP="005A299D">
      <w:pPr>
        <w:pStyle w:val="Default"/>
        <w:spacing w:before="120" w:after="120" w:line="360" w:lineRule="auto"/>
        <w:rPr>
          <w:lang w:val="es-ES"/>
        </w:rPr>
      </w:pPr>
    </w:p>
    <w:tbl>
      <w:tblPr>
        <w:tblStyle w:val="Tablaconcuadrcula"/>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1171"/>
        <w:gridCol w:w="1296"/>
        <w:gridCol w:w="1456"/>
        <w:gridCol w:w="1297"/>
      </w:tblGrid>
      <w:tr w:rsidR="004648B2" w:rsidRPr="00E2194C" w:rsidTr="00841A6A">
        <w:trPr>
          <w:trHeight w:val="227"/>
        </w:trPr>
        <w:tc>
          <w:tcPr>
            <w:tcW w:w="5000" w:type="pct"/>
            <w:gridSpan w:val="5"/>
            <w:vAlign w:val="bottom"/>
          </w:tcPr>
          <w:p w:rsidR="004648B2" w:rsidRPr="00E2194C" w:rsidRDefault="004648B2" w:rsidP="004648B2">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lastRenderedPageBreak/>
              <w:t xml:space="preserve">Tabla </w:t>
            </w:r>
            <w:r>
              <w:rPr>
                <w:rFonts w:ascii="Times New Roman" w:eastAsia="Times New Roman" w:hAnsi="Times New Roman"/>
                <w:bCs/>
                <w:sz w:val="24"/>
                <w:szCs w:val="24"/>
                <w:lang w:eastAsia="es-AR"/>
              </w:rPr>
              <w:t>5</w:t>
            </w:r>
            <w:r>
              <w:rPr>
                <w:rFonts w:ascii="Times New Roman" w:eastAsia="Times New Roman" w:hAnsi="Times New Roman"/>
                <w:bCs/>
                <w:sz w:val="24"/>
                <w:szCs w:val="24"/>
                <w:lang w:eastAsia="es-AR"/>
              </w:rPr>
              <w:t xml:space="preserve">: </w:t>
            </w:r>
            <w:r>
              <w:rPr>
                <w:rFonts w:ascii="Times New Roman" w:eastAsia="Times New Roman" w:hAnsi="Times New Roman"/>
                <w:bCs/>
                <w:sz w:val="24"/>
                <w:szCs w:val="24"/>
                <w:lang w:eastAsia="es-AR"/>
              </w:rPr>
              <w:t>Resultados globales</w:t>
            </w:r>
            <w:r>
              <w:rPr>
                <w:rFonts w:ascii="Times New Roman" w:eastAsia="Times New Roman" w:hAnsi="Times New Roman"/>
                <w:bCs/>
                <w:sz w:val="24"/>
                <w:szCs w:val="24"/>
                <w:lang w:eastAsia="es-AR"/>
              </w:rPr>
              <w:t xml:space="preserve">. </w:t>
            </w:r>
          </w:p>
        </w:tc>
      </w:tr>
      <w:tr w:rsidR="004648B2" w:rsidRPr="00E2194C" w:rsidTr="004648B2">
        <w:trPr>
          <w:trHeight w:val="227"/>
        </w:trPr>
        <w:tc>
          <w:tcPr>
            <w:tcW w:w="1858" w:type="pct"/>
            <w:vMerge w:val="restart"/>
            <w:vAlign w:val="bottom"/>
          </w:tcPr>
          <w:p w:rsidR="004648B2" w:rsidRPr="00E2194C" w:rsidRDefault="004648B2" w:rsidP="00841A6A">
            <w:pPr>
              <w:keepNext/>
              <w:keepLines/>
              <w:spacing w:before="120" w:after="120" w:line="360" w:lineRule="auto"/>
              <w:rPr>
                <w:rFonts w:ascii="Times New Roman" w:eastAsia="Times New Roman" w:hAnsi="Times New Roman"/>
                <w:bCs/>
                <w:sz w:val="24"/>
                <w:szCs w:val="24"/>
                <w:lang w:eastAsia="es-AR"/>
              </w:rPr>
            </w:pPr>
          </w:p>
        </w:tc>
        <w:tc>
          <w:tcPr>
            <w:tcW w:w="1485" w:type="pct"/>
            <w:gridSpan w:val="2"/>
            <w:tcBorders>
              <w:top w:val="single" w:sz="4" w:space="0" w:color="auto"/>
              <w:bottom w:val="single" w:sz="4" w:space="0" w:color="auto"/>
            </w:tcBorders>
          </w:tcPr>
          <w:p w:rsidR="004648B2" w:rsidRPr="00E2194C" w:rsidRDefault="004648B2"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M2</w:t>
            </w:r>
          </w:p>
        </w:tc>
        <w:tc>
          <w:tcPr>
            <w:tcW w:w="1657" w:type="pct"/>
            <w:gridSpan w:val="2"/>
            <w:tcBorders>
              <w:top w:val="single" w:sz="4" w:space="0" w:color="auto"/>
              <w:bottom w:val="single" w:sz="4" w:space="0" w:color="auto"/>
            </w:tcBorders>
          </w:tcPr>
          <w:p w:rsidR="004648B2" w:rsidRPr="00E2194C" w:rsidRDefault="004648B2" w:rsidP="00841A6A">
            <w:pPr>
              <w:keepNext/>
              <w:keepLines/>
              <w:spacing w:before="120" w:after="120" w:line="360" w:lineRule="auto"/>
              <w:ind w:right="-126"/>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Grupo temático</w:t>
            </w:r>
          </w:p>
        </w:tc>
      </w:tr>
      <w:tr w:rsidR="004648B2" w:rsidRPr="00E2194C" w:rsidTr="004648B2">
        <w:trPr>
          <w:trHeight w:val="227"/>
        </w:trPr>
        <w:tc>
          <w:tcPr>
            <w:tcW w:w="1858" w:type="pct"/>
            <w:vMerge/>
            <w:tcBorders>
              <w:bottom w:val="single" w:sz="4" w:space="0" w:color="auto"/>
            </w:tcBorders>
            <w:vAlign w:val="bottom"/>
          </w:tcPr>
          <w:p w:rsidR="004648B2" w:rsidRPr="00E2194C" w:rsidRDefault="004648B2" w:rsidP="00841A6A">
            <w:pPr>
              <w:keepNext/>
              <w:keepLines/>
              <w:spacing w:before="120" w:after="120" w:line="360" w:lineRule="auto"/>
              <w:rPr>
                <w:rFonts w:ascii="Times New Roman" w:eastAsia="Times New Roman" w:hAnsi="Times New Roman"/>
                <w:bCs/>
                <w:sz w:val="24"/>
                <w:szCs w:val="24"/>
                <w:lang w:eastAsia="es-AR"/>
              </w:rPr>
            </w:pPr>
          </w:p>
        </w:tc>
        <w:tc>
          <w:tcPr>
            <w:tcW w:w="705" w:type="pct"/>
            <w:tcBorders>
              <w:top w:val="single" w:sz="4" w:space="0" w:color="auto"/>
              <w:bottom w:val="single" w:sz="4" w:space="0" w:color="auto"/>
            </w:tcBorders>
            <w:vAlign w:val="center"/>
          </w:tcPr>
          <w:p w:rsidR="004648B2"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NTB</w:t>
            </w:r>
          </w:p>
        </w:tc>
        <w:tc>
          <w:tcPr>
            <w:tcW w:w="780" w:type="pct"/>
            <w:tcBorders>
              <w:top w:val="single" w:sz="4" w:space="0" w:color="auto"/>
              <w:bottom w:val="single" w:sz="4" w:space="0" w:color="auto"/>
            </w:tcBorders>
            <w:vAlign w:val="center"/>
          </w:tcPr>
          <w:p w:rsidR="004648B2"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NTA</w:t>
            </w:r>
          </w:p>
        </w:tc>
        <w:tc>
          <w:tcPr>
            <w:tcW w:w="876" w:type="pct"/>
            <w:tcBorders>
              <w:top w:val="single" w:sz="4" w:space="0" w:color="auto"/>
              <w:bottom w:val="single" w:sz="4" w:space="0" w:color="auto"/>
            </w:tcBorders>
            <w:vAlign w:val="center"/>
          </w:tcPr>
          <w:p w:rsidR="004648B2"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sidRPr="00E2194C">
              <w:rPr>
                <w:rFonts w:ascii="Times New Roman" w:eastAsia="Times New Roman" w:hAnsi="Times New Roman"/>
                <w:bCs/>
                <w:sz w:val="24"/>
                <w:szCs w:val="24"/>
                <w:lang w:eastAsia="es-AR"/>
              </w:rPr>
              <w:t>N</w:t>
            </w:r>
            <w:r>
              <w:rPr>
                <w:rFonts w:ascii="Times New Roman" w:eastAsia="Times New Roman" w:hAnsi="Times New Roman"/>
                <w:bCs/>
                <w:sz w:val="24"/>
                <w:szCs w:val="24"/>
                <w:lang w:eastAsia="es-AR"/>
              </w:rPr>
              <w:t>utrición y alimentación</w:t>
            </w:r>
          </w:p>
        </w:tc>
        <w:tc>
          <w:tcPr>
            <w:tcW w:w="780" w:type="pct"/>
            <w:tcBorders>
              <w:top w:val="single" w:sz="4" w:space="0" w:color="auto"/>
              <w:bottom w:val="single" w:sz="4" w:space="0" w:color="auto"/>
            </w:tcBorders>
            <w:vAlign w:val="center"/>
          </w:tcPr>
          <w:p w:rsidR="004648B2" w:rsidRPr="00E2194C" w:rsidRDefault="004648B2"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Manejo del rodeo</w:t>
            </w:r>
          </w:p>
        </w:tc>
      </w:tr>
      <w:tr w:rsidR="004648B2" w:rsidRPr="00E2194C" w:rsidTr="004648B2">
        <w:trPr>
          <w:trHeight w:val="227"/>
        </w:trPr>
        <w:tc>
          <w:tcPr>
            <w:tcW w:w="1858" w:type="pct"/>
            <w:tcBorders>
              <w:top w:val="single" w:sz="4" w:space="0" w:color="auto"/>
            </w:tcBorders>
            <w:vAlign w:val="center"/>
          </w:tcPr>
          <w:p w:rsidR="004648B2" w:rsidRPr="00E2194C" w:rsidRDefault="004648B2" w:rsidP="00841A6A">
            <w:pPr>
              <w:keepNext/>
              <w:keepLines/>
              <w:spacing w:before="120" w:after="120" w:line="360" w:lineRule="auto"/>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Resultado económico (pesos/año)</w:t>
            </w:r>
          </w:p>
        </w:tc>
        <w:tc>
          <w:tcPr>
            <w:tcW w:w="705" w:type="pct"/>
            <w:tcBorders>
              <w:top w:val="single" w:sz="4" w:space="0" w:color="auto"/>
            </w:tcBorders>
            <w:vAlign w:val="center"/>
          </w:tcPr>
          <w:p w:rsidR="004648B2" w:rsidRPr="00E2194C" w:rsidRDefault="003B4EC0"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1.473.877</w:t>
            </w:r>
          </w:p>
        </w:tc>
        <w:tc>
          <w:tcPr>
            <w:tcW w:w="780" w:type="pct"/>
            <w:tcBorders>
              <w:top w:val="single" w:sz="4" w:space="0" w:color="auto"/>
            </w:tcBorders>
            <w:vAlign w:val="center"/>
          </w:tcPr>
          <w:p w:rsidR="004648B2" w:rsidRPr="00E2194C" w:rsidRDefault="003B4EC0"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3.043.458</w:t>
            </w:r>
          </w:p>
        </w:tc>
        <w:tc>
          <w:tcPr>
            <w:tcW w:w="876" w:type="pct"/>
            <w:tcBorders>
              <w:top w:val="single" w:sz="4" w:space="0" w:color="auto"/>
            </w:tcBorders>
            <w:vAlign w:val="center"/>
          </w:tcPr>
          <w:p w:rsidR="004648B2" w:rsidRPr="00E2194C" w:rsidRDefault="003B4EC0"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- 3.568.063</w:t>
            </w:r>
          </w:p>
        </w:tc>
        <w:tc>
          <w:tcPr>
            <w:tcW w:w="780" w:type="pct"/>
            <w:tcBorders>
              <w:top w:val="single" w:sz="4" w:space="0" w:color="auto"/>
            </w:tcBorders>
            <w:vAlign w:val="center"/>
          </w:tcPr>
          <w:p w:rsidR="004648B2" w:rsidRPr="00E2194C" w:rsidRDefault="003B4EC0"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2.846.329</w:t>
            </w:r>
          </w:p>
        </w:tc>
      </w:tr>
      <w:tr w:rsidR="004648B2" w:rsidRPr="00E2194C" w:rsidTr="004648B2">
        <w:trPr>
          <w:trHeight w:val="227"/>
        </w:trPr>
        <w:tc>
          <w:tcPr>
            <w:tcW w:w="1858" w:type="pct"/>
            <w:tcBorders>
              <w:bottom w:val="single" w:sz="4" w:space="0" w:color="auto"/>
            </w:tcBorders>
            <w:vAlign w:val="center"/>
          </w:tcPr>
          <w:p w:rsidR="004648B2" w:rsidRPr="00E2194C" w:rsidRDefault="004648B2" w:rsidP="00841A6A">
            <w:pPr>
              <w:keepNext/>
              <w:keepLines/>
              <w:spacing w:before="120" w:after="120" w:line="360" w:lineRule="auto"/>
              <w:ind w:right="-126"/>
              <w:jc w:val="left"/>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Fondos de libre disponibilidad (FLD) (pesos/año)</w:t>
            </w:r>
          </w:p>
        </w:tc>
        <w:tc>
          <w:tcPr>
            <w:tcW w:w="705" w:type="pct"/>
            <w:tcBorders>
              <w:bottom w:val="single" w:sz="4" w:space="0" w:color="auto"/>
            </w:tcBorders>
            <w:vAlign w:val="center"/>
          </w:tcPr>
          <w:p w:rsidR="004648B2" w:rsidRPr="00E2194C" w:rsidRDefault="003B4EC0" w:rsidP="00841A6A">
            <w:pPr>
              <w:keepNext/>
              <w:keepLines/>
              <w:spacing w:before="120" w:after="120" w:line="360" w:lineRule="auto"/>
              <w:ind w:right="-125"/>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3.810.930</w:t>
            </w:r>
          </w:p>
        </w:tc>
        <w:tc>
          <w:tcPr>
            <w:tcW w:w="780" w:type="pct"/>
            <w:tcBorders>
              <w:bottom w:val="single" w:sz="4" w:space="0" w:color="auto"/>
            </w:tcBorders>
            <w:vAlign w:val="center"/>
          </w:tcPr>
          <w:p w:rsidR="004648B2" w:rsidRPr="00E2194C" w:rsidRDefault="003B4EC0"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6.991.308</w:t>
            </w:r>
          </w:p>
        </w:tc>
        <w:tc>
          <w:tcPr>
            <w:tcW w:w="876" w:type="pct"/>
            <w:tcBorders>
              <w:bottom w:val="single" w:sz="4" w:space="0" w:color="auto"/>
            </w:tcBorders>
            <w:vAlign w:val="center"/>
          </w:tcPr>
          <w:p w:rsidR="004648B2" w:rsidRPr="00E2194C" w:rsidRDefault="003B4EC0"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- 1.027.664</w:t>
            </w:r>
          </w:p>
        </w:tc>
        <w:tc>
          <w:tcPr>
            <w:tcW w:w="780" w:type="pct"/>
            <w:tcBorders>
              <w:bottom w:val="single" w:sz="4" w:space="0" w:color="auto"/>
            </w:tcBorders>
            <w:vAlign w:val="center"/>
          </w:tcPr>
          <w:p w:rsidR="004648B2" w:rsidRPr="00E2194C" w:rsidRDefault="003B4EC0" w:rsidP="00841A6A">
            <w:pPr>
              <w:keepNext/>
              <w:keepLines/>
              <w:spacing w:before="120" w:after="120" w:line="360" w:lineRule="auto"/>
              <w:jc w:val="center"/>
              <w:rPr>
                <w:rFonts w:ascii="Times New Roman" w:eastAsia="Times New Roman" w:hAnsi="Times New Roman"/>
                <w:bCs/>
                <w:sz w:val="24"/>
                <w:szCs w:val="24"/>
                <w:lang w:eastAsia="es-AR"/>
              </w:rPr>
            </w:pPr>
            <w:r>
              <w:rPr>
                <w:rFonts w:ascii="Times New Roman" w:eastAsia="Times New Roman" w:hAnsi="Times New Roman"/>
                <w:bCs/>
                <w:sz w:val="24"/>
                <w:szCs w:val="24"/>
                <w:lang w:eastAsia="es-AR"/>
              </w:rPr>
              <w:t>5.183.382</w:t>
            </w:r>
          </w:p>
        </w:tc>
      </w:tr>
    </w:tbl>
    <w:p w:rsidR="008A4AD3" w:rsidRDefault="008A4AD3"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p>
    <w:p w:rsidR="001F2437" w:rsidRPr="002173D7" w:rsidRDefault="001F2437" w:rsidP="005A299D">
      <w:pPr>
        <w:pStyle w:val="Default"/>
        <w:spacing w:before="120" w:after="120" w:line="360" w:lineRule="auto"/>
        <w:rPr>
          <w:rFonts w:eastAsia="Times New Roman"/>
          <w:b/>
          <w:u w:val="single"/>
          <w:lang w:val="es-ES_tradnl" w:eastAsia="es-ES"/>
        </w:rPr>
      </w:pPr>
      <w:r w:rsidRPr="002173D7">
        <w:rPr>
          <w:rFonts w:eastAsia="Times New Roman"/>
          <w:b/>
          <w:u w:val="single"/>
          <w:lang w:val="es-ES_tradnl" w:eastAsia="es-ES"/>
        </w:rPr>
        <w:t>Conclusiones</w:t>
      </w:r>
    </w:p>
    <w:p w:rsidR="001F2437" w:rsidRPr="000167E4" w:rsidRDefault="00B26E4D" w:rsidP="005A299D">
      <w:pPr>
        <w:pStyle w:val="Default"/>
        <w:spacing w:before="120" w:after="120" w:line="360" w:lineRule="auto"/>
        <w:rPr>
          <w:lang w:val="es-ES"/>
        </w:rPr>
      </w:pPr>
      <w:r w:rsidRPr="000167E4">
        <w:rPr>
          <w:lang w:val="es-ES"/>
        </w:rPr>
        <w:t>C</w:t>
      </w:r>
      <w:r w:rsidR="005A299D">
        <w:rPr>
          <w:lang w:val="es-ES"/>
        </w:rPr>
        <w:t>uando al nivel tecnológico bajo</w:t>
      </w:r>
      <w:r w:rsidRPr="000167E4">
        <w:rPr>
          <w:lang w:val="es-ES"/>
        </w:rPr>
        <w:t xml:space="preserve"> se le incorpora</w:t>
      </w:r>
      <w:r w:rsidR="005A299D">
        <w:rPr>
          <w:lang w:val="es-ES"/>
        </w:rPr>
        <w:t>n</w:t>
      </w:r>
      <w:r w:rsidRPr="000167E4">
        <w:rPr>
          <w:lang w:val="es-ES"/>
        </w:rPr>
        <w:t xml:space="preserve"> las tecnologías agrupadas por afinidad temática en forma individual</w:t>
      </w:r>
      <w:r w:rsidR="005A299D">
        <w:rPr>
          <w:lang w:val="es-ES"/>
        </w:rPr>
        <w:t>,</w:t>
      </w:r>
      <w:r w:rsidRPr="000167E4">
        <w:rPr>
          <w:lang w:val="es-ES"/>
        </w:rPr>
        <w:t xml:space="preserve"> se observa que desde el punto de vista de los ingresos </w:t>
      </w:r>
      <w:r w:rsidR="00515B7D">
        <w:rPr>
          <w:lang w:val="es-ES"/>
        </w:rPr>
        <w:t>totales</w:t>
      </w:r>
      <w:r w:rsidRPr="000167E4">
        <w:rPr>
          <w:lang w:val="es-ES"/>
        </w:rPr>
        <w:t xml:space="preserve"> la </w:t>
      </w:r>
      <w:r w:rsidR="00371430" w:rsidRPr="000167E4">
        <w:rPr>
          <w:lang w:val="es-ES"/>
        </w:rPr>
        <w:t xml:space="preserve">mayor respuesta </w:t>
      </w:r>
      <w:r w:rsidR="005A299D">
        <w:rPr>
          <w:lang w:val="es-ES"/>
        </w:rPr>
        <w:t>la obtiene</w:t>
      </w:r>
      <w:r w:rsidR="00371430" w:rsidRPr="000167E4">
        <w:rPr>
          <w:lang w:val="es-ES"/>
        </w:rPr>
        <w:t xml:space="preserve"> el grupo temático de</w:t>
      </w:r>
      <w:r w:rsidRPr="000167E4">
        <w:rPr>
          <w:lang w:val="es-ES"/>
        </w:rPr>
        <w:t xml:space="preserve"> nutrición y alimentación</w:t>
      </w:r>
      <w:r w:rsidR="00346B35" w:rsidRPr="000167E4">
        <w:rPr>
          <w:lang w:val="es-ES"/>
        </w:rPr>
        <w:t>.</w:t>
      </w:r>
    </w:p>
    <w:p w:rsidR="00346B35" w:rsidRPr="000167E4" w:rsidRDefault="00346B35" w:rsidP="005A299D">
      <w:pPr>
        <w:pStyle w:val="Default"/>
        <w:spacing w:before="120" w:after="120" w:line="360" w:lineRule="auto"/>
        <w:rPr>
          <w:lang w:val="es-ES"/>
        </w:rPr>
      </w:pPr>
      <w:r w:rsidRPr="000167E4">
        <w:rPr>
          <w:lang w:val="es-ES"/>
        </w:rPr>
        <w:t xml:space="preserve">Al evaluar la variable de resultado económico, se visualiza que el mejor desempeño lo obtiene el grupo temático de manejo del rodeo debido a que esta tecnología genera un importante impacto físico </w:t>
      </w:r>
      <w:r w:rsidR="00515B7D">
        <w:rPr>
          <w:lang w:val="es-ES"/>
        </w:rPr>
        <w:t>que</w:t>
      </w:r>
      <w:r w:rsidRPr="000167E4">
        <w:rPr>
          <w:lang w:val="es-ES"/>
        </w:rPr>
        <w:t xml:space="preserve"> no se ve reflejado en un aumento considerable en los costos</w:t>
      </w:r>
      <w:r w:rsidR="00371430" w:rsidRPr="000167E4">
        <w:rPr>
          <w:lang w:val="es-ES"/>
        </w:rPr>
        <w:t>.</w:t>
      </w:r>
    </w:p>
    <w:p w:rsidR="00371430" w:rsidRPr="000167E4" w:rsidRDefault="00371430" w:rsidP="005A299D">
      <w:pPr>
        <w:pStyle w:val="Default"/>
        <w:spacing w:before="120" w:after="120" w:line="360" w:lineRule="auto"/>
        <w:rPr>
          <w:lang w:val="es-ES"/>
        </w:rPr>
      </w:pPr>
      <w:r w:rsidRPr="000167E4">
        <w:rPr>
          <w:lang w:val="es-ES"/>
        </w:rPr>
        <w:t xml:space="preserve">Cuando se decida incorporar </w:t>
      </w:r>
      <w:r w:rsidR="00C97EFA" w:rsidRPr="000167E4">
        <w:rPr>
          <w:lang w:val="es-ES"/>
        </w:rPr>
        <w:t>tecnología</w:t>
      </w:r>
      <w:r w:rsidRPr="000167E4">
        <w:rPr>
          <w:lang w:val="es-ES"/>
        </w:rPr>
        <w:t xml:space="preserve"> al nivel tecnológico bajo, se debe priorizar el grupo temático</w:t>
      </w:r>
      <w:r w:rsidR="00515B7D">
        <w:rPr>
          <w:lang w:val="es-ES"/>
        </w:rPr>
        <w:t xml:space="preserve"> de</w:t>
      </w:r>
      <w:r w:rsidRPr="000167E4">
        <w:rPr>
          <w:lang w:val="es-ES"/>
        </w:rPr>
        <w:t xml:space="preserve"> manejo del rodeo</w:t>
      </w:r>
      <w:r w:rsidR="00442BD9">
        <w:rPr>
          <w:lang w:val="es-ES"/>
        </w:rPr>
        <w:t>,</w:t>
      </w:r>
      <w:r w:rsidRPr="000167E4">
        <w:rPr>
          <w:lang w:val="es-ES"/>
        </w:rPr>
        <w:t xml:space="preserve"> </w:t>
      </w:r>
      <w:r w:rsidR="00515B7D">
        <w:rPr>
          <w:lang w:val="es-ES"/>
        </w:rPr>
        <w:t xml:space="preserve">dado que </w:t>
      </w:r>
      <w:r w:rsidR="00515B7D" w:rsidRPr="000167E4">
        <w:rPr>
          <w:lang w:val="es-ES"/>
        </w:rPr>
        <w:t xml:space="preserve">arroja los mejores resultados </w:t>
      </w:r>
      <w:r w:rsidR="00515B7D">
        <w:rPr>
          <w:lang w:val="es-ES"/>
        </w:rPr>
        <w:t>para los indicadores económicos, a pesar de tener</w:t>
      </w:r>
      <w:r w:rsidRPr="000167E4">
        <w:rPr>
          <w:lang w:val="es-ES"/>
        </w:rPr>
        <w:t xml:space="preserve"> similar impacto físico que el grupo</w:t>
      </w:r>
      <w:r w:rsidR="00515B7D">
        <w:rPr>
          <w:lang w:val="es-ES"/>
        </w:rPr>
        <w:t xml:space="preserve"> temático</w:t>
      </w:r>
      <w:r w:rsidRPr="000167E4">
        <w:rPr>
          <w:lang w:val="es-ES"/>
        </w:rPr>
        <w:t xml:space="preserve"> de nutrición y a</w:t>
      </w:r>
      <w:r w:rsidR="00515B7D">
        <w:rPr>
          <w:lang w:val="es-ES"/>
        </w:rPr>
        <w:t>limentación.</w:t>
      </w:r>
      <w:r w:rsidRPr="000167E4">
        <w:rPr>
          <w:lang w:val="es-ES"/>
        </w:rPr>
        <w:t xml:space="preserve"> </w:t>
      </w:r>
    </w:p>
    <w:p w:rsidR="00A2046A" w:rsidRPr="000167E4" w:rsidRDefault="00A2046A" w:rsidP="00A2046A">
      <w:pPr>
        <w:pStyle w:val="Default"/>
        <w:spacing w:before="120" w:after="120" w:line="360" w:lineRule="auto"/>
        <w:rPr>
          <w:lang w:val="es-ES"/>
        </w:rPr>
      </w:pPr>
      <w:r w:rsidRPr="000167E4">
        <w:rPr>
          <w:lang w:val="es-ES"/>
        </w:rPr>
        <w:t>Al incorporar el conjunto de tecnologías del grupo temático de nutrición y alimentación, los rubros de</w:t>
      </w:r>
      <w:r>
        <w:rPr>
          <w:lang w:val="es-ES"/>
        </w:rPr>
        <w:t xml:space="preserve"> la composición de egresos tales como</w:t>
      </w:r>
      <w:r w:rsidRPr="000167E4">
        <w:rPr>
          <w:lang w:val="es-ES"/>
        </w:rPr>
        <w:t xml:space="preserve"> gastos de estructura y amortizaciones disminuyen su participación</w:t>
      </w:r>
      <w:r>
        <w:rPr>
          <w:lang w:val="es-ES"/>
        </w:rPr>
        <w:t xml:space="preserve"> relativa</w:t>
      </w:r>
      <w:r w:rsidRPr="000167E4">
        <w:rPr>
          <w:lang w:val="es-ES"/>
        </w:rPr>
        <w:t>.</w:t>
      </w:r>
    </w:p>
    <w:p w:rsidR="00B26E4D" w:rsidRDefault="00B26E4D" w:rsidP="005A299D">
      <w:pPr>
        <w:spacing w:before="120" w:after="120"/>
        <w:rPr>
          <w:rFonts w:ascii="Times New Roman" w:eastAsia="Times New Roman" w:hAnsi="Times New Roman"/>
          <w:b/>
          <w:color w:val="000000"/>
          <w:sz w:val="24"/>
          <w:szCs w:val="24"/>
          <w:u w:val="single"/>
          <w:lang w:val="es-ES_tradnl" w:eastAsia="es-ES"/>
        </w:rPr>
      </w:pPr>
      <w:r>
        <w:rPr>
          <w:rFonts w:eastAsia="Times New Roman"/>
          <w:b/>
          <w:u w:val="single"/>
          <w:lang w:val="es-ES_tradnl" w:eastAsia="es-ES"/>
        </w:rPr>
        <w:br w:type="page"/>
      </w:r>
    </w:p>
    <w:p w:rsidR="002173D7" w:rsidRDefault="00916304" w:rsidP="005A299D">
      <w:pPr>
        <w:pStyle w:val="Default"/>
        <w:spacing w:before="120" w:after="120" w:line="360" w:lineRule="auto"/>
        <w:rPr>
          <w:rFonts w:eastAsia="Times New Roman"/>
          <w:b/>
          <w:u w:val="single"/>
          <w:lang w:val="es-ES_tradnl" w:eastAsia="es-ES"/>
        </w:rPr>
      </w:pPr>
      <w:r w:rsidRPr="00916304">
        <w:rPr>
          <w:rFonts w:eastAsia="Times New Roman"/>
          <w:b/>
          <w:u w:val="single"/>
          <w:lang w:val="es-ES_tradnl" w:eastAsia="es-ES"/>
        </w:rPr>
        <w:lastRenderedPageBreak/>
        <w:t>Bibliografía</w:t>
      </w:r>
    </w:p>
    <w:p w:rsidR="00884FB9" w:rsidRDefault="00884FB9" w:rsidP="005A299D">
      <w:pPr>
        <w:pStyle w:val="Default"/>
        <w:spacing w:before="120" w:after="120" w:line="360" w:lineRule="auto"/>
        <w:rPr>
          <w:lang w:val="es-ES"/>
        </w:rPr>
      </w:pPr>
      <w:r>
        <w:rPr>
          <w:lang w:val="es-ES"/>
        </w:rPr>
        <w:t xml:space="preserve">Andreu, F.; E. Andreu; F. Carranza; </w:t>
      </w:r>
      <w:r w:rsidR="000167E4">
        <w:rPr>
          <w:lang w:val="es-ES"/>
        </w:rPr>
        <w:t xml:space="preserve">A. </w:t>
      </w:r>
      <w:r>
        <w:rPr>
          <w:lang w:val="es-ES"/>
        </w:rPr>
        <w:t>Carranza;</w:t>
      </w:r>
      <w:r w:rsidR="000167E4">
        <w:rPr>
          <w:lang w:val="es-ES"/>
        </w:rPr>
        <w:t xml:space="preserve"> R. </w:t>
      </w:r>
      <w:r>
        <w:rPr>
          <w:lang w:val="es-ES"/>
        </w:rPr>
        <w:t xml:space="preserve">Meyer Paz; </w:t>
      </w:r>
      <w:r w:rsidR="000167E4">
        <w:rPr>
          <w:lang w:val="es-ES"/>
        </w:rPr>
        <w:t xml:space="preserve">B. </w:t>
      </w:r>
      <w:r>
        <w:rPr>
          <w:lang w:val="es-ES"/>
        </w:rPr>
        <w:t>Pedraza;</w:t>
      </w:r>
      <w:r w:rsidR="000167E4">
        <w:rPr>
          <w:lang w:val="es-ES"/>
        </w:rPr>
        <w:t xml:space="preserve"> A.</w:t>
      </w:r>
      <w:r>
        <w:rPr>
          <w:lang w:val="es-ES"/>
        </w:rPr>
        <w:t xml:space="preserve"> </w:t>
      </w:r>
      <w:proofErr w:type="spellStart"/>
      <w:r>
        <w:rPr>
          <w:lang w:val="es-ES"/>
        </w:rPr>
        <w:t>Roberi</w:t>
      </w:r>
      <w:proofErr w:type="spellEnd"/>
      <w:r>
        <w:rPr>
          <w:lang w:val="es-ES"/>
        </w:rPr>
        <w:t>;</w:t>
      </w:r>
      <w:r w:rsidR="000167E4">
        <w:rPr>
          <w:lang w:val="es-ES"/>
        </w:rPr>
        <w:t xml:space="preserve"> F.</w:t>
      </w:r>
      <w:r>
        <w:rPr>
          <w:lang w:val="es-ES"/>
        </w:rPr>
        <w:t xml:space="preserve"> </w:t>
      </w:r>
      <w:proofErr w:type="spellStart"/>
      <w:r>
        <w:rPr>
          <w:lang w:val="es-ES"/>
        </w:rPr>
        <w:t>Garcia</w:t>
      </w:r>
      <w:proofErr w:type="spellEnd"/>
      <w:r>
        <w:rPr>
          <w:lang w:val="es-ES"/>
        </w:rPr>
        <w:t xml:space="preserve">; </w:t>
      </w:r>
      <w:r w:rsidR="000167E4">
        <w:rPr>
          <w:lang w:val="es-ES"/>
        </w:rPr>
        <w:t xml:space="preserve">C. </w:t>
      </w:r>
      <w:r>
        <w:rPr>
          <w:lang w:val="es-ES"/>
        </w:rPr>
        <w:t xml:space="preserve">Ferrari; </w:t>
      </w:r>
      <w:r w:rsidR="000167E4">
        <w:rPr>
          <w:lang w:val="es-ES"/>
        </w:rPr>
        <w:t xml:space="preserve">E. </w:t>
      </w:r>
      <w:r>
        <w:rPr>
          <w:lang w:val="es-ES"/>
        </w:rPr>
        <w:t xml:space="preserve">Coronel; </w:t>
      </w:r>
      <w:r w:rsidR="000167E4">
        <w:rPr>
          <w:lang w:val="es-ES"/>
        </w:rPr>
        <w:t xml:space="preserve">J. </w:t>
      </w:r>
      <w:proofErr w:type="spellStart"/>
      <w:r>
        <w:rPr>
          <w:lang w:val="es-ES"/>
        </w:rPr>
        <w:t>Demarchi</w:t>
      </w:r>
      <w:proofErr w:type="spellEnd"/>
      <w:r>
        <w:rPr>
          <w:lang w:val="es-ES"/>
        </w:rPr>
        <w:t xml:space="preserve">. 2018. Adopción de tecnologías críticas y su impacto en sistemas ganaderos de cría bovina en el departamento </w:t>
      </w:r>
      <w:proofErr w:type="spellStart"/>
      <w:r>
        <w:rPr>
          <w:lang w:val="es-ES"/>
        </w:rPr>
        <w:t>Sobremonte</w:t>
      </w:r>
      <w:proofErr w:type="spellEnd"/>
      <w:r>
        <w:rPr>
          <w:lang w:val="es-ES"/>
        </w:rPr>
        <w:t>, provincia de Córdoba.</w:t>
      </w:r>
      <w:r w:rsidR="000167E4">
        <w:rPr>
          <w:lang w:val="es-ES"/>
        </w:rPr>
        <w:t xml:space="preserve"> IL Reunión Anual de Economía Agraria, Santa Fe</w:t>
      </w:r>
    </w:p>
    <w:p w:rsidR="002A6478" w:rsidRPr="000167E4" w:rsidRDefault="002A6478" w:rsidP="005A299D">
      <w:pPr>
        <w:pStyle w:val="Default"/>
        <w:spacing w:before="120" w:after="120" w:line="360" w:lineRule="auto"/>
        <w:rPr>
          <w:lang w:val="es-ES"/>
        </w:rPr>
      </w:pPr>
      <w:r w:rsidRPr="000167E4">
        <w:rPr>
          <w:lang w:val="es-ES"/>
        </w:rPr>
        <w:t>Bolsa de Comercio de Córdoba. 2019. Economía Argentina: habla el interior. Córdoba. ISBN: 978-987-20133-5-6</w:t>
      </w:r>
    </w:p>
    <w:p w:rsidR="007C52B6" w:rsidRPr="000167E4" w:rsidRDefault="007C52B6" w:rsidP="005A299D">
      <w:pPr>
        <w:pStyle w:val="Default"/>
        <w:spacing w:before="120" w:after="120" w:line="360" w:lineRule="auto"/>
        <w:rPr>
          <w:lang w:val="es-ES"/>
        </w:rPr>
      </w:pPr>
      <w:r w:rsidRPr="000167E4">
        <w:rPr>
          <w:lang w:val="es-ES"/>
        </w:rPr>
        <w:t xml:space="preserve">Di </w:t>
      </w:r>
      <w:proofErr w:type="spellStart"/>
      <w:r w:rsidRPr="000167E4">
        <w:rPr>
          <w:lang w:val="es-ES"/>
        </w:rPr>
        <w:t>Rienzo</w:t>
      </w:r>
      <w:proofErr w:type="spellEnd"/>
      <w:r w:rsidRPr="000167E4">
        <w:rPr>
          <w:lang w:val="es-ES"/>
        </w:rPr>
        <w:t xml:space="preserve"> J.A.; F. </w:t>
      </w:r>
      <w:proofErr w:type="spellStart"/>
      <w:r w:rsidRPr="000167E4">
        <w:rPr>
          <w:lang w:val="es-ES"/>
        </w:rPr>
        <w:t>Casanoves</w:t>
      </w:r>
      <w:proofErr w:type="spellEnd"/>
      <w:r w:rsidRPr="000167E4">
        <w:rPr>
          <w:lang w:val="es-ES"/>
        </w:rPr>
        <w:t xml:space="preserve">; M.G. </w:t>
      </w:r>
      <w:proofErr w:type="spellStart"/>
      <w:r w:rsidRPr="000167E4">
        <w:rPr>
          <w:lang w:val="es-ES"/>
        </w:rPr>
        <w:t>Balzarini</w:t>
      </w:r>
      <w:proofErr w:type="spellEnd"/>
      <w:r w:rsidRPr="000167E4">
        <w:rPr>
          <w:lang w:val="es-ES"/>
        </w:rPr>
        <w:t xml:space="preserve">; L. </w:t>
      </w:r>
      <w:proofErr w:type="spellStart"/>
      <w:r w:rsidRPr="000167E4">
        <w:rPr>
          <w:lang w:val="es-ES"/>
        </w:rPr>
        <w:t>Gonzalez</w:t>
      </w:r>
      <w:proofErr w:type="spellEnd"/>
      <w:r w:rsidRPr="000167E4">
        <w:rPr>
          <w:lang w:val="es-ES"/>
        </w:rPr>
        <w:t>;</w:t>
      </w:r>
      <w:r w:rsidR="00884FB9" w:rsidRPr="000167E4">
        <w:rPr>
          <w:lang w:val="es-ES"/>
        </w:rPr>
        <w:t xml:space="preserve"> </w:t>
      </w:r>
      <w:r w:rsidRPr="000167E4">
        <w:rPr>
          <w:lang w:val="es-ES"/>
        </w:rPr>
        <w:t xml:space="preserve">M. Tablada y C. W. Robledo. </w:t>
      </w:r>
      <w:proofErr w:type="spellStart"/>
      <w:r w:rsidRPr="000167E4">
        <w:rPr>
          <w:lang w:val="es-ES"/>
        </w:rPr>
        <w:t>InfoStat</w:t>
      </w:r>
      <w:proofErr w:type="spellEnd"/>
      <w:r w:rsidRPr="000167E4">
        <w:rPr>
          <w:lang w:val="es-ES"/>
        </w:rPr>
        <w:t xml:space="preserve"> versión 2013. Grupo </w:t>
      </w:r>
      <w:proofErr w:type="spellStart"/>
      <w:r w:rsidRPr="000167E4">
        <w:rPr>
          <w:lang w:val="es-ES"/>
        </w:rPr>
        <w:t>InfoStat</w:t>
      </w:r>
      <w:proofErr w:type="spellEnd"/>
      <w:r w:rsidRPr="000167E4">
        <w:rPr>
          <w:lang w:val="es-ES"/>
        </w:rPr>
        <w:t xml:space="preserve">, FCA, Universidad Nacional de Córdoba, Argentina. URL http://www.infostat.com.ar </w:t>
      </w:r>
    </w:p>
    <w:p w:rsidR="000B3090" w:rsidRPr="000167E4" w:rsidRDefault="000B3090" w:rsidP="005A299D">
      <w:pPr>
        <w:pStyle w:val="Default"/>
        <w:spacing w:before="120" w:after="120" w:line="360" w:lineRule="auto"/>
        <w:rPr>
          <w:lang w:val="es-ES"/>
        </w:rPr>
      </w:pPr>
      <w:r w:rsidRPr="000167E4">
        <w:rPr>
          <w:lang w:val="es-ES"/>
        </w:rPr>
        <w:t>Dirección general de estadísticas y censos del gobierno de la provincia de Córdoba. 2017.</w:t>
      </w:r>
    </w:p>
    <w:p w:rsidR="000B3090" w:rsidRPr="000167E4" w:rsidRDefault="000B3090" w:rsidP="005A299D">
      <w:pPr>
        <w:pStyle w:val="Default"/>
        <w:spacing w:before="120" w:after="120" w:line="360" w:lineRule="auto"/>
        <w:rPr>
          <w:lang w:val="es-ES"/>
        </w:rPr>
      </w:pPr>
      <w:r w:rsidRPr="000167E4">
        <w:rPr>
          <w:lang w:val="es-ES"/>
        </w:rPr>
        <w:t xml:space="preserve">Instituto Nacional de Tecnología Agropecuaria. 2015. El tambo argentino: caracterización de estratos a través de indicadores productivos. </w:t>
      </w:r>
      <w:hyperlink r:id="rId8" w:history="1">
        <w:r w:rsidRPr="000167E4">
          <w:t>http://estadistica.cba.gov.ar/Econom%C3%ADa/SectoresEcon%C3%B3micos/Agropecuario/Lecher%C3%ADa/tabid/158/language/es-AR/Default.aspx</w:t>
        </w:r>
      </w:hyperlink>
      <w:r w:rsidRPr="000167E4">
        <w:rPr>
          <w:lang w:val="es-ES"/>
        </w:rPr>
        <w:t xml:space="preserve"> (visitado en Junio 1, 2017)</w:t>
      </w:r>
    </w:p>
    <w:p w:rsidR="00BF0A8E" w:rsidRPr="000167E4" w:rsidRDefault="00BF0A8E" w:rsidP="005A299D">
      <w:pPr>
        <w:pStyle w:val="Default"/>
        <w:spacing w:before="120" w:after="120" w:line="360" w:lineRule="auto"/>
        <w:rPr>
          <w:lang w:val="es-ES"/>
        </w:rPr>
      </w:pPr>
      <w:r w:rsidRPr="000167E4">
        <w:rPr>
          <w:lang w:val="es-ES"/>
        </w:rPr>
        <w:t>Mendieta Izquierdo, G. 2015. Informantes y muestreo en investigación cualitativa. Revista de investigaciones andina. Vol.: 17 Núm.: 30 pp.:1148-1150.</w:t>
      </w:r>
    </w:p>
    <w:p w:rsidR="000B3090" w:rsidRPr="000167E4" w:rsidRDefault="000B3090" w:rsidP="005A299D">
      <w:pPr>
        <w:pStyle w:val="Default"/>
        <w:spacing w:before="120" w:after="120" w:line="360" w:lineRule="auto"/>
        <w:rPr>
          <w:lang w:val="es-ES"/>
        </w:rPr>
      </w:pPr>
      <w:r w:rsidRPr="000167E4">
        <w:rPr>
          <w:lang w:val="es-ES"/>
        </w:rPr>
        <w:t>Ministerio de Agroindustria de la Nación Argentina. 201</w:t>
      </w:r>
      <w:r w:rsidR="002A6478" w:rsidRPr="000167E4">
        <w:rPr>
          <w:lang w:val="es-ES"/>
        </w:rPr>
        <w:t>8</w:t>
      </w:r>
      <w:r w:rsidRPr="000167E4">
        <w:rPr>
          <w:lang w:val="es-ES"/>
        </w:rPr>
        <w:t xml:space="preserve">. Subsecretaría de lechería, estadísticas, producción primaria. </w:t>
      </w:r>
      <w:hyperlink r:id="rId9" w:history="1">
        <w:r w:rsidRPr="000167E4">
          <w:rPr>
            <w:lang w:val="es-ES"/>
          </w:rPr>
          <w:t>http://www.agroindustria.gob.ar/sitio/areas/ss_lecheria/estadisticas/_01_primaria/index.php</w:t>
        </w:r>
      </w:hyperlink>
      <w:r w:rsidRPr="000167E4">
        <w:rPr>
          <w:lang w:val="es-ES"/>
        </w:rPr>
        <w:t xml:space="preserve"> (visitado en </w:t>
      </w:r>
      <w:r w:rsidR="002A6478" w:rsidRPr="000167E4">
        <w:rPr>
          <w:lang w:val="es-ES"/>
        </w:rPr>
        <w:t>Mayo</w:t>
      </w:r>
      <w:r w:rsidRPr="000167E4">
        <w:rPr>
          <w:lang w:val="es-ES"/>
        </w:rPr>
        <w:t xml:space="preserve"> </w:t>
      </w:r>
      <w:r w:rsidR="002A6478" w:rsidRPr="000167E4">
        <w:rPr>
          <w:lang w:val="es-ES"/>
        </w:rPr>
        <w:t>6, 2019</w:t>
      </w:r>
      <w:r w:rsidRPr="000167E4">
        <w:rPr>
          <w:lang w:val="es-ES"/>
        </w:rPr>
        <w:t>)</w:t>
      </w:r>
    </w:p>
    <w:p w:rsidR="000B3090" w:rsidRPr="000167E4" w:rsidRDefault="000B3090" w:rsidP="005A299D">
      <w:pPr>
        <w:pStyle w:val="Default"/>
        <w:spacing w:before="120" w:after="120" w:line="360" w:lineRule="auto"/>
        <w:rPr>
          <w:lang w:val="es-ES"/>
        </w:rPr>
      </w:pPr>
      <w:proofErr w:type="spellStart"/>
      <w:r w:rsidRPr="000167E4">
        <w:rPr>
          <w:lang w:val="es-ES"/>
        </w:rPr>
        <w:t>Tieri</w:t>
      </w:r>
      <w:proofErr w:type="spellEnd"/>
      <w:r w:rsidRPr="000167E4">
        <w:rPr>
          <w:lang w:val="es-ES"/>
        </w:rPr>
        <w:t>, M.; E</w:t>
      </w:r>
      <w:r w:rsidR="00884FB9" w:rsidRPr="000167E4">
        <w:rPr>
          <w:lang w:val="es-ES"/>
        </w:rPr>
        <w:t>.</w:t>
      </w:r>
      <w:r w:rsidRPr="000167E4">
        <w:rPr>
          <w:lang w:val="es-ES"/>
        </w:rPr>
        <w:t xml:space="preserve"> </w:t>
      </w:r>
      <w:proofErr w:type="spellStart"/>
      <w:r w:rsidRPr="000167E4">
        <w:rPr>
          <w:lang w:val="es-ES"/>
        </w:rPr>
        <w:t>Comeron</w:t>
      </w:r>
      <w:proofErr w:type="gramStart"/>
      <w:r w:rsidRPr="000167E4">
        <w:rPr>
          <w:lang w:val="es-ES"/>
        </w:rPr>
        <w:t>;M</w:t>
      </w:r>
      <w:proofErr w:type="spellEnd"/>
      <w:proofErr w:type="gramEnd"/>
      <w:r w:rsidRPr="000167E4">
        <w:rPr>
          <w:lang w:val="es-ES"/>
        </w:rPr>
        <w:t xml:space="preserve"> Pece; M. Herrero; P. </w:t>
      </w:r>
      <w:proofErr w:type="spellStart"/>
      <w:r w:rsidRPr="000167E4">
        <w:rPr>
          <w:lang w:val="es-ES"/>
        </w:rPr>
        <w:t>Engler</w:t>
      </w:r>
      <w:proofErr w:type="spellEnd"/>
      <w:r w:rsidRPr="000167E4">
        <w:rPr>
          <w:lang w:val="es-ES"/>
        </w:rPr>
        <w:t>; V.</w:t>
      </w:r>
      <w:r w:rsidR="00884FB9" w:rsidRPr="000167E4">
        <w:rPr>
          <w:lang w:val="es-ES"/>
        </w:rPr>
        <w:t xml:space="preserve"> </w:t>
      </w:r>
      <w:proofErr w:type="spellStart"/>
      <w:r w:rsidRPr="000167E4">
        <w:rPr>
          <w:lang w:val="es-ES"/>
        </w:rPr>
        <w:t>Charlon</w:t>
      </w:r>
      <w:proofErr w:type="spellEnd"/>
      <w:r w:rsidRPr="000167E4">
        <w:rPr>
          <w:lang w:val="es-ES"/>
        </w:rPr>
        <w:t xml:space="preserve"> y K. García. 2014. Indicadores utilizados para evaluar la sustentabilidad integral de los sistemas de producción de leche con énfasis en el impacto ambiental. En: Instituto Nacional de Tecnología Agropecuaria (INTA), publicación miscelánea. ISSN: 2314-3126. Febrero 2014.</w:t>
      </w:r>
    </w:p>
    <w:p w:rsidR="000B3090" w:rsidRPr="000B3090" w:rsidRDefault="000B3090" w:rsidP="005A299D">
      <w:pPr>
        <w:shd w:val="clear" w:color="auto" w:fill="FFFFFF" w:themeFill="background1"/>
        <w:spacing w:before="120" w:after="120" w:line="360" w:lineRule="auto"/>
        <w:rPr>
          <w:rFonts w:ascii="Times New Roman" w:eastAsia="Times New Roman" w:hAnsi="Times New Roman"/>
          <w:sz w:val="24"/>
          <w:szCs w:val="24"/>
          <w:lang w:val="es-ES_tradnl" w:eastAsia="es-ES"/>
        </w:rPr>
      </w:pPr>
    </w:p>
    <w:p w:rsidR="000B3090" w:rsidRPr="000B3090" w:rsidRDefault="000B3090" w:rsidP="005A299D">
      <w:pPr>
        <w:pStyle w:val="Default"/>
        <w:spacing w:before="120" w:after="120" w:line="360" w:lineRule="auto"/>
        <w:rPr>
          <w:rFonts w:eastAsia="Times New Roman"/>
          <w:b/>
          <w:u w:val="single"/>
          <w:lang w:eastAsia="es-ES"/>
        </w:rPr>
      </w:pPr>
    </w:p>
    <w:sectPr w:rsidR="000B3090" w:rsidRPr="000B3090" w:rsidSect="009516FE">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07C0"/>
    <w:multiLevelType w:val="multilevel"/>
    <w:tmpl w:val="6DA6D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D4"/>
    <w:rsid w:val="0001147E"/>
    <w:rsid w:val="000167E4"/>
    <w:rsid w:val="00030048"/>
    <w:rsid w:val="00031A7B"/>
    <w:rsid w:val="00037266"/>
    <w:rsid w:val="00047904"/>
    <w:rsid w:val="000647D4"/>
    <w:rsid w:val="0007166F"/>
    <w:rsid w:val="0007443B"/>
    <w:rsid w:val="000776BA"/>
    <w:rsid w:val="000A2B16"/>
    <w:rsid w:val="000B3090"/>
    <w:rsid w:val="000B5C50"/>
    <w:rsid w:val="000D13C2"/>
    <w:rsid w:val="000D6464"/>
    <w:rsid w:val="000F4749"/>
    <w:rsid w:val="000F5213"/>
    <w:rsid w:val="0013185F"/>
    <w:rsid w:val="001443E4"/>
    <w:rsid w:val="0014749E"/>
    <w:rsid w:val="001537FF"/>
    <w:rsid w:val="00154468"/>
    <w:rsid w:val="00163A8F"/>
    <w:rsid w:val="0017203C"/>
    <w:rsid w:val="001803C3"/>
    <w:rsid w:val="00192354"/>
    <w:rsid w:val="00197F33"/>
    <w:rsid w:val="001A346B"/>
    <w:rsid w:val="001B6E49"/>
    <w:rsid w:val="001C0101"/>
    <w:rsid w:val="001D2DB0"/>
    <w:rsid w:val="001F15A6"/>
    <w:rsid w:val="001F20A4"/>
    <w:rsid w:val="001F2437"/>
    <w:rsid w:val="00206B27"/>
    <w:rsid w:val="002173D7"/>
    <w:rsid w:val="00223E82"/>
    <w:rsid w:val="002260CC"/>
    <w:rsid w:val="0025591B"/>
    <w:rsid w:val="002663E7"/>
    <w:rsid w:val="002801DB"/>
    <w:rsid w:val="00281461"/>
    <w:rsid w:val="00287B90"/>
    <w:rsid w:val="00291D5F"/>
    <w:rsid w:val="00293C5E"/>
    <w:rsid w:val="00293E63"/>
    <w:rsid w:val="002A5616"/>
    <w:rsid w:val="002A6478"/>
    <w:rsid w:val="002B7131"/>
    <w:rsid w:val="002D7CD3"/>
    <w:rsid w:val="002E225A"/>
    <w:rsid w:val="002E3E53"/>
    <w:rsid w:val="002F2F87"/>
    <w:rsid w:val="002F5DB8"/>
    <w:rsid w:val="00332112"/>
    <w:rsid w:val="0033224B"/>
    <w:rsid w:val="00333D03"/>
    <w:rsid w:val="003346C0"/>
    <w:rsid w:val="00337F3F"/>
    <w:rsid w:val="003403F1"/>
    <w:rsid w:val="003413E5"/>
    <w:rsid w:val="00346B35"/>
    <w:rsid w:val="00354054"/>
    <w:rsid w:val="00354635"/>
    <w:rsid w:val="00363759"/>
    <w:rsid w:val="00371430"/>
    <w:rsid w:val="00383AC6"/>
    <w:rsid w:val="00395643"/>
    <w:rsid w:val="003B1AC4"/>
    <w:rsid w:val="003B4EC0"/>
    <w:rsid w:val="003C4E37"/>
    <w:rsid w:val="003E0C4E"/>
    <w:rsid w:val="003E0E96"/>
    <w:rsid w:val="003E3635"/>
    <w:rsid w:val="003F6950"/>
    <w:rsid w:val="00401964"/>
    <w:rsid w:val="00415763"/>
    <w:rsid w:val="00416878"/>
    <w:rsid w:val="00432029"/>
    <w:rsid w:val="00441D75"/>
    <w:rsid w:val="0044268D"/>
    <w:rsid w:val="00442BD9"/>
    <w:rsid w:val="00444896"/>
    <w:rsid w:val="0044696B"/>
    <w:rsid w:val="00460A39"/>
    <w:rsid w:val="004648B2"/>
    <w:rsid w:val="00465A9F"/>
    <w:rsid w:val="00470667"/>
    <w:rsid w:val="004924B2"/>
    <w:rsid w:val="00492796"/>
    <w:rsid w:val="004937B2"/>
    <w:rsid w:val="004978BC"/>
    <w:rsid w:val="00497C0E"/>
    <w:rsid w:val="004A37D9"/>
    <w:rsid w:val="004B222D"/>
    <w:rsid w:val="004B6CF5"/>
    <w:rsid w:val="004C2246"/>
    <w:rsid w:val="004C2F73"/>
    <w:rsid w:val="004C3FE3"/>
    <w:rsid w:val="004C74A4"/>
    <w:rsid w:val="004D1E14"/>
    <w:rsid w:val="00515B7D"/>
    <w:rsid w:val="005162C2"/>
    <w:rsid w:val="00533680"/>
    <w:rsid w:val="00535450"/>
    <w:rsid w:val="00540B95"/>
    <w:rsid w:val="00550F06"/>
    <w:rsid w:val="00555759"/>
    <w:rsid w:val="005619DC"/>
    <w:rsid w:val="00562428"/>
    <w:rsid w:val="00566C73"/>
    <w:rsid w:val="00573BDC"/>
    <w:rsid w:val="005903B6"/>
    <w:rsid w:val="00592243"/>
    <w:rsid w:val="005942FA"/>
    <w:rsid w:val="005A21B7"/>
    <w:rsid w:val="005A299D"/>
    <w:rsid w:val="005A66FE"/>
    <w:rsid w:val="005B1BFB"/>
    <w:rsid w:val="005B62D0"/>
    <w:rsid w:val="005D79C6"/>
    <w:rsid w:val="00631F47"/>
    <w:rsid w:val="00641632"/>
    <w:rsid w:val="006477CF"/>
    <w:rsid w:val="00647A76"/>
    <w:rsid w:val="00661717"/>
    <w:rsid w:val="00663057"/>
    <w:rsid w:val="006653E0"/>
    <w:rsid w:val="006704D5"/>
    <w:rsid w:val="00682DFC"/>
    <w:rsid w:val="00687815"/>
    <w:rsid w:val="006916F2"/>
    <w:rsid w:val="00693551"/>
    <w:rsid w:val="006A4674"/>
    <w:rsid w:val="006A66C4"/>
    <w:rsid w:val="006B1AF0"/>
    <w:rsid w:val="006B3477"/>
    <w:rsid w:val="006D7D1D"/>
    <w:rsid w:val="006E44BF"/>
    <w:rsid w:val="006E5645"/>
    <w:rsid w:val="006E5A48"/>
    <w:rsid w:val="006E6259"/>
    <w:rsid w:val="006E76A7"/>
    <w:rsid w:val="007014E9"/>
    <w:rsid w:val="00704371"/>
    <w:rsid w:val="00707ADE"/>
    <w:rsid w:val="00716CD8"/>
    <w:rsid w:val="00735855"/>
    <w:rsid w:val="00735FA4"/>
    <w:rsid w:val="00740830"/>
    <w:rsid w:val="00745C82"/>
    <w:rsid w:val="00754D75"/>
    <w:rsid w:val="007557E8"/>
    <w:rsid w:val="00795E55"/>
    <w:rsid w:val="007B2A10"/>
    <w:rsid w:val="007C1448"/>
    <w:rsid w:val="007C52B6"/>
    <w:rsid w:val="007C686A"/>
    <w:rsid w:val="007D39A7"/>
    <w:rsid w:val="007D7CF3"/>
    <w:rsid w:val="007E2FD5"/>
    <w:rsid w:val="007E68FD"/>
    <w:rsid w:val="008124C1"/>
    <w:rsid w:val="00821EE5"/>
    <w:rsid w:val="00826D6C"/>
    <w:rsid w:val="008421C3"/>
    <w:rsid w:val="00842534"/>
    <w:rsid w:val="00851BC5"/>
    <w:rsid w:val="00854361"/>
    <w:rsid w:val="00854571"/>
    <w:rsid w:val="00857EF9"/>
    <w:rsid w:val="00865220"/>
    <w:rsid w:val="00884FB9"/>
    <w:rsid w:val="0089714E"/>
    <w:rsid w:val="008A4AD3"/>
    <w:rsid w:val="008B3FEA"/>
    <w:rsid w:val="008C2D38"/>
    <w:rsid w:val="008E2F0F"/>
    <w:rsid w:val="008E77A0"/>
    <w:rsid w:val="00911E7D"/>
    <w:rsid w:val="00916304"/>
    <w:rsid w:val="009200EF"/>
    <w:rsid w:val="00923869"/>
    <w:rsid w:val="009338EA"/>
    <w:rsid w:val="009516FE"/>
    <w:rsid w:val="0095372A"/>
    <w:rsid w:val="009542DE"/>
    <w:rsid w:val="009571C6"/>
    <w:rsid w:val="00961387"/>
    <w:rsid w:val="00977ACC"/>
    <w:rsid w:val="009806D1"/>
    <w:rsid w:val="0099274A"/>
    <w:rsid w:val="009A7F68"/>
    <w:rsid w:val="009C6AE3"/>
    <w:rsid w:val="009C6B73"/>
    <w:rsid w:val="009E6A74"/>
    <w:rsid w:val="00A1085D"/>
    <w:rsid w:val="00A12D22"/>
    <w:rsid w:val="00A2046A"/>
    <w:rsid w:val="00A30F9C"/>
    <w:rsid w:val="00A3258A"/>
    <w:rsid w:val="00A33436"/>
    <w:rsid w:val="00A34EBF"/>
    <w:rsid w:val="00A379A2"/>
    <w:rsid w:val="00A42852"/>
    <w:rsid w:val="00A42F8C"/>
    <w:rsid w:val="00A6157F"/>
    <w:rsid w:val="00A6364F"/>
    <w:rsid w:val="00A75524"/>
    <w:rsid w:val="00A75732"/>
    <w:rsid w:val="00AA0B44"/>
    <w:rsid w:val="00AA2232"/>
    <w:rsid w:val="00AB5D05"/>
    <w:rsid w:val="00AC00A9"/>
    <w:rsid w:val="00AC2D47"/>
    <w:rsid w:val="00AC441A"/>
    <w:rsid w:val="00AD4FCD"/>
    <w:rsid w:val="00AD5162"/>
    <w:rsid w:val="00AD5FF1"/>
    <w:rsid w:val="00AD7AB7"/>
    <w:rsid w:val="00AE08E9"/>
    <w:rsid w:val="00B031F0"/>
    <w:rsid w:val="00B03BE7"/>
    <w:rsid w:val="00B142DB"/>
    <w:rsid w:val="00B14A4A"/>
    <w:rsid w:val="00B220A7"/>
    <w:rsid w:val="00B26E4D"/>
    <w:rsid w:val="00B362E6"/>
    <w:rsid w:val="00B36AB8"/>
    <w:rsid w:val="00B5196B"/>
    <w:rsid w:val="00B63955"/>
    <w:rsid w:val="00B77691"/>
    <w:rsid w:val="00B82C45"/>
    <w:rsid w:val="00B84F9B"/>
    <w:rsid w:val="00BA07C9"/>
    <w:rsid w:val="00BA403C"/>
    <w:rsid w:val="00BC0603"/>
    <w:rsid w:val="00BC1166"/>
    <w:rsid w:val="00BC4F3C"/>
    <w:rsid w:val="00BF0A8E"/>
    <w:rsid w:val="00BF582A"/>
    <w:rsid w:val="00C06495"/>
    <w:rsid w:val="00C503AB"/>
    <w:rsid w:val="00C70648"/>
    <w:rsid w:val="00C840C0"/>
    <w:rsid w:val="00C84F2F"/>
    <w:rsid w:val="00C87499"/>
    <w:rsid w:val="00C952C4"/>
    <w:rsid w:val="00C97EFA"/>
    <w:rsid w:val="00CA75A0"/>
    <w:rsid w:val="00CC107C"/>
    <w:rsid w:val="00CC5886"/>
    <w:rsid w:val="00CD12E1"/>
    <w:rsid w:val="00CE4D79"/>
    <w:rsid w:val="00CF7DCF"/>
    <w:rsid w:val="00D01CD1"/>
    <w:rsid w:val="00D108C8"/>
    <w:rsid w:val="00D154B4"/>
    <w:rsid w:val="00D3750A"/>
    <w:rsid w:val="00D45FE4"/>
    <w:rsid w:val="00D5643F"/>
    <w:rsid w:val="00D64C27"/>
    <w:rsid w:val="00D7279E"/>
    <w:rsid w:val="00D76EEA"/>
    <w:rsid w:val="00D90405"/>
    <w:rsid w:val="00D91777"/>
    <w:rsid w:val="00DB192C"/>
    <w:rsid w:val="00DB22F1"/>
    <w:rsid w:val="00DC5C54"/>
    <w:rsid w:val="00DC6BBA"/>
    <w:rsid w:val="00DC7289"/>
    <w:rsid w:val="00DD69A9"/>
    <w:rsid w:val="00DE7F4C"/>
    <w:rsid w:val="00E023FD"/>
    <w:rsid w:val="00E0432E"/>
    <w:rsid w:val="00E1667A"/>
    <w:rsid w:val="00E20679"/>
    <w:rsid w:val="00E2194C"/>
    <w:rsid w:val="00E22119"/>
    <w:rsid w:val="00E3137B"/>
    <w:rsid w:val="00E31511"/>
    <w:rsid w:val="00E44E4E"/>
    <w:rsid w:val="00E50A47"/>
    <w:rsid w:val="00E6087B"/>
    <w:rsid w:val="00E630A1"/>
    <w:rsid w:val="00E726F0"/>
    <w:rsid w:val="00E81456"/>
    <w:rsid w:val="00E87D10"/>
    <w:rsid w:val="00EC3903"/>
    <w:rsid w:val="00EC691D"/>
    <w:rsid w:val="00EE3479"/>
    <w:rsid w:val="00EE7B1E"/>
    <w:rsid w:val="00EF0AE6"/>
    <w:rsid w:val="00EF2C2A"/>
    <w:rsid w:val="00F00F5D"/>
    <w:rsid w:val="00F044EB"/>
    <w:rsid w:val="00F056FC"/>
    <w:rsid w:val="00F125DD"/>
    <w:rsid w:val="00F1369C"/>
    <w:rsid w:val="00F13ADA"/>
    <w:rsid w:val="00F365F9"/>
    <w:rsid w:val="00F41EA6"/>
    <w:rsid w:val="00F42421"/>
    <w:rsid w:val="00F439BA"/>
    <w:rsid w:val="00F51402"/>
    <w:rsid w:val="00F536DE"/>
    <w:rsid w:val="00F5439C"/>
    <w:rsid w:val="00F6138D"/>
    <w:rsid w:val="00F744CC"/>
    <w:rsid w:val="00F76E3C"/>
    <w:rsid w:val="00F80613"/>
    <w:rsid w:val="00F84B34"/>
    <w:rsid w:val="00FA6232"/>
    <w:rsid w:val="00FB3216"/>
    <w:rsid w:val="00FC0A30"/>
    <w:rsid w:val="00FC266E"/>
    <w:rsid w:val="00FC36DB"/>
    <w:rsid w:val="00FC4FAB"/>
    <w:rsid w:val="00FC7A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7D4"/>
    <w:rPr>
      <w:rFonts w:ascii="Calibri" w:eastAsia="Calibri" w:hAnsi="Calibri" w:cs="Times New Roman"/>
    </w:rPr>
  </w:style>
  <w:style w:type="paragraph" w:styleId="Ttulo1">
    <w:name w:val="heading 1"/>
    <w:basedOn w:val="Normal"/>
    <w:next w:val="Normal"/>
    <w:link w:val="Ttulo1Car"/>
    <w:uiPriority w:val="9"/>
    <w:qFormat/>
    <w:rsid w:val="00AD4FCD"/>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258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aconcuadrcula">
    <w:name w:val="Table Grid"/>
    <w:basedOn w:val="Tablanormal"/>
    <w:uiPriority w:val="59"/>
    <w:rsid w:val="00555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E68FD"/>
    <w:rPr>
      <w:color w:val="0000FF" w:themeColor="hyperlink"/>
      <w:u w:val="single"/>
    </w:rPr>
  </w:style>
  <w:style w:type="paragraph" w:styleId="HTMLconformatoprevio">
    <w:name w:val="HTML Preformatted"/>
    <w:basedOn w:val="Normal"/>
    <w:link w:val="HTMLconformatoprevioCar"/>
    <w:uiPriority w:val="99"/>
    <w:semiHidden/>
    <w:unhideWhenUsed/>
    <w:rsid w:val="0007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07443B"/>
    <w:rPr>
      <w:rFonts w:ascii="Courier New" w:eastAsia="Times New Roman" w:hAnsi="Courier New" w:cs="Courier New"/>
      <w:sz w:val="20"/>
      <w:szCs w:val="20"/>
      <w:lang w:eastAsia="es-AR"/>
    </w:rPr>
  </w:style>
  <w:style w:type="paragraph" w:styleId="Textodeglobo">
    <w:name w:val="Balloon Text"/>
    <w:basedOn w:val="Normal"/>
    <w:link w:val="TextodegloboCar"/>
    <w:uiPriority w:val="99"/>
    <w:semiHidden/>
    <w:unhideWhenUsed/>
    <w:rsid w:val="000B30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090"/>
    <w:rPr>
      <w:rFonts w:ascii="Tahoma" w:eastAsia="Calibri" w:hAnsi="Tahoma" w:cs="Tahoma"/>
      <w:sz w:val="16"/>
      <w:szCs w:val="16"/>
    </w:rPr>
  </w:style>
  <w:style w:type="character" w:customStyle="1" w:styleId="Ttulo1Car">
    <w:name w:val="Título 1 Car"/>
    <w:basedOn w:val="Fuentedeprrafopredeter"/>
    <w:link w:val="Ttulo1"/>
    <w:uiPriority w:val="9"/>
    <w:rsid w:val="00AD4FCD"/>
    <w:rPr>
      <w:rFonts w:asciiTheme="majorHAnsi" w:eastAsiaTheme="majorEastAsia" w:hAnsiTheme="majorHAnsi" w:cstheme="majorBidi"/>
      <w:b/>
      <w:bCs/>
      <w:color w:val="365F91" w:themeColor="accent1" w:themeShade="BF"/>
      <w:sz w:val="28"/>
      <w:szCs w:val="28"/>
      <w:lang w:eastAsia="es-AR"/>
    </w:rPr>
  </w:style>
  <w:style w:type="paragraph" w:styleId="Bibliografa">
    <w:name w:val="Bibliography"/>
    <w:basedOn w:val="Normal"/>
    <w:next w:val="Normal"/>
    <w:uiPriority w:val="37"/>
    <w:unhideWhenUsed/>
    <w:rsid w:val="00AD4FCD"/>
  </w:style>
  <w:style w:type="paragraph" w:styleId="Ttulo">
    <w:name w:val="Title"/>
    <w:basedOn w:val="Normal"/>
    <w:next w:val="Normal"/>
    <w:link w:val="TtuloCar"/>
    <w:uiPriority w:val="10"/>
    <w:qFormat/>
    <w:rsid w:val="005336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336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7D4"/>
    <w:rPr>
      <w:rFonts w:ascii="Calibri" w:eastAsia="Calibri" w:hAnsi="Calibri" w:cs="Times New Roman"/>
    </w:rPr>
  </w:style>
  <w:style w:type="paragraph" w:styleId="Ttulo1">
    <w:name w:val="heading 1"/>
    <w:basedOn w:val="Normal"/>
    <w:next w:val="Normal"/>
    <w:link w:val="Ttulo1Car"/>
    <w:uiPriority w:val="9"/>
    <w:qFormat/>
    <w:rsid w:val="00AD4FCD"/>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258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aconcuadrcula">
    <w:name w:val="Table Grid"/>
    <w:basedOn w:val="Tablanormal"/>
    <w:uiPriority w:val="59"/>
    <w:rsid w:val="00555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E68FD"/>
    <w:rPr>
      <w:color w:val="0000FF" w:themeColor="hyperlink"/>
      <w:u w:val="single"/>
    </w:rPr>
  </w:style>
  <w:style w:type="paragraph" w:styleId="HTMLconformatoprevio">
    <w:name w:val="HTML Preformatted"/>
    <w:basedOn w:val="Normal"/>
    <w:link w:val="HTMLconformatoprevioCar"/>
    <w:uiPriority w:val="99"/>
    <w:semiHidden/>
    <w:unhideWhenUsed/>
    <w:rsid w:val="0007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07443B"/>
    <w:rPr>
      <w:rFonts w:ascii="Courier New" w:eastAsia="Times New Roman" w:hAnsi="Courier New" w:cs="Courier New"/>
      <w:sz w:val="20"/>
      <w:szCs w:val="20"/>
      <w:lang w:eastAsia="es-AR"/>
    </w:rPr>
  </w:style>
  <w:style w:type="paragraph" w:styleId="Textodeglobo">
    <w:name w:val="Balloon Text"/>
    <w:basedOn w:val="Normal"/>
    <w:link w:val="TextodegloboCar"/>
    <w:uiPriority w:val="99"/>
    <w:semiHidden/>
    <w:unhideWhenUsed/>
    <w:rsid w:val="000B30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090"/>
    <w:rPr>
      <w:rFonts w:ascii="Tahoma" w:eastAsia="Calibri" w:hAnsi="Tahoma" w:cs="Tahoma"/>
      <w:sz w:val="16"/>
      <w:szCs w:val="16"/>
    </w:rPr>
  </w:style>
  <w:style w:type="character" w:customStyle="1" w:styleId="Ttulo1Car">
    <w:name w:val="Título 1 Car"/>
    <w:basedOn w:val="Fuentedeprrafopredeter"/>
    <w:link w:val="Ttulo1"/>
    <w:uiPriority w:val="9"/>
    <w:rsid w:val="00AD4FCD"/>
    <w:rPr>
      <w:rFonts w:asciiTheme="majorHAnsi" w:eastAsiaTheme="majorEastAsia" w:hAnsiTheme="majorHAnsi" w:cstheme="majorBidi"/>
      <w:b/>
      <w:bCs/>
      <w:color w:val="365F91" w:themeColor="accent1" w:themeShade="BF"/>
      <w:sz w:val="28"/>
      <w:szCs w:val="28"/>
      <w:lang w:eastAsia="es-AR"/>
    </w:rPr>
  </w:style>
  <w:style w:type="paragraph" w:styleId="Bibliografa">
    <w:name w:val="Bibliography"/>
    <w:basedOn w:val="Normal"/>
    <w:next w:val="Normal"/>
    <w:uiPriority w:val="37"/>
    <w:unhideWhenUsed/>
    <w:rsid w:val="00AD4FCD"/>
  </w:style>
  <w:style w:type="paragraph" w:styleId="Ttulo">
    <w:name w:val="Title"/>
    <w:basedOn w:val="Normal"/>
    <w:next w:val="Normal"/>
    <w:link w:val="TtuloCar"/>
    <w:uiPriority w:val="10"/>
    <w:qFormat/>
    <w:rsid w:val="005336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336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8680">
      <w:bodyDiv w:val="1"/>
      <w:marLeft w:val="0"/>
      <w:marRight w:val="0"/>
      <w:marTop w:val="0"/>
      <w:marBottom w:val="0"/>
      <w:divBdr>
        <w:top w:val="none" w:sz="0" w:space="0" w:color="auto"/>
        <w:left w:val="none" w:sz="0" w:space="0" w:color="auto"/>
        <w:bottom w:val="none" w:sz="0" w:space="0" w:color="auto"/>
        <w:right w:val="none" w:sz="0" w:space="0" w:color="auto"/>
      </w:divBdr>
    </w:div>
    <w:div w:id="57286197">
      <w:bodyDiv w:val="1"/>
      <w:marLeft w:val="0"/>
      <w:marRight w:val="0"/>
      <w:marTop w:val="0"/>
      <w:marBottom w:val="0"/>
      <w:divBdr>
        <w:top w:val="none" w:sz="0" w:space="0" w:color="auto"/>
        <w:left w:val="none" w:sz="0" w:space="0" w:color="auto"/>
        <w:bottom w:val="none" w:sz="0" w:space="0" w:color="auto"/>
        <w:right w:val="none" w:sz="0" w:space="0" w:color="auto"/>
      </w:divBdr>
    </w:div>
    <w:div w:id="266550056">
      <w:bodyDiv w:val="1"/>
      <w:marLeft w:val="0"/>
      <w:marRight w:val="0"/>
      <w:marTop w:val="0"/>
      <w:marBottom w:val="0"/>
      <w:divBdr>
        <w:top w:val="none" w:sz="0" w:space="0" w:color="auto"/>
        <w:left w:val="none" w:sz="0" w:space="0" w:color="auto"/>
        <w:bottom w:val="none" w:sz="0" w:space="0" w:color="auto"/>
        <w:right w:val="none" w:sz="0" w:space="0" w:color="auto"/>
      </w:divBdr>
    </w:div>
    <w:div w:id="432287874">
      <w:bodyDiv w:val="1"/>
      <w:marLeft w:val="0"/>
      <w:marRight w:val="0"/>
      <w:marTop w:val="0"/>
      <w:marBottom w:val="0"/>
      <w:divBdr>
        <w:top w:val="none" w:sz="0" w:space="0" w:color="auto"/>
        <w:left w:val="none" w:sz="0" w:space="0" w:color="auto"/>
        <w:bottom w:val="none" w:sz="0" w:space="0" w:color="auto"/>
        <w:right w:val="none" w:sz="0" w:space="0" w:color="auto"/>
      </w:divBdr>
    </w:div>
    <w:div w:id="529729682">
      <w:bodyDiv w:val="1"/>
      <w:marLeft w:val="0"/>
      <w:marRight w:val="0"/>
      <w:marTop w:val="0"/>
      <w:marBottom w:val="0"/>
      <w:divBdr>
        <w:top w:val="none" w:sz="0" w:space="0" w:color="auto"/>
        <w:left w:val="none" w:sz="0" w:space="0" w:color="auto"/>
        <w:bottom w:val="none" w:sz="0" w:space="0" w:color="auto"/>
        <w:right w:val="none" w:sz="0" w:space="0" w:color="auto"/>
      </w:divBdr>
    </w:div>
    <w:div w:id="687878332">
      <w:bodyDiv w:val="1"/>
      <w:marLeft w:val="0"/>
      <w:marRight w:val="0"/>
      <w:marTop w:val="0"/>
      <w:marBottom w:val="0"/>
      <w:divBdr>
        <w:top w:val="none" w:sz="0" w:space="0" w:color="auto"/>
        <w:left w:val="none" w:sz="0" w:space="0" w:color="auto"/>
        <w:bottom w:val="none" w:sz="0" w:space="0" w:color="auto"/>
        <w:right w:val="none" w:sz="0" w:space="0" w:color="auto"/>
      </w:divBdr>
    </w:div>
    <w:div w:id="710492413">
      <w:bodyDiv w:val="1"/>
      <w:marLeft w:val="0"/>
      <w:marRight w:val="0"/>
      <w:marTop w:val="0"/>
      <w:marBottom w:val="0"/>
      <w:divBdr>
        <w:top w:val="none" w:sz="0" w:space="0" w:color="auto"/>
        <w:left w:val="none" w:sz="0" w:space="0" w:color="auto"/>
        <w:bottom w:val="none" w:sz="0" w:space="0" w:color="auto"/>
        <w:right w:val="none" w:sz="0" w:space="0" w:color="auto"/>
      </w:divBdr>
    </w:div>
    <w:div w:id="721513941">
      <w:bodyDiv w:val="1"/>
      <w:marLeft w:val="0"/>
      <w:marRight w:val="0"/>
      <w:marTop w:val="0"/>
      <w:marBottom w:val="0"/>
      <w:divBdr>
        <w:top w:val="none" w:sz="0" w:space="0" w:color="auto"/>
        <w:left w:val="none" w:sz="0" w:space="0" w:color="auto"/>
        <w:bottom w:val="none" w:sz="0" w:space="0" w:color="auto"/>
        <w:right w:val="none" w:sz="0" w:space="0" w:color="auto"/>
      </w:divBdr>
    </w:div>
    <w:div w:id="839193617">
      <w:bodyDiv w:val="1"/>
      <w:marLeft w:val="0"/>
      <w:marRight w:val="0"/>
      <w:marTop w:val="0"/>
      <w:marBottom w:val="0"/>
      <w:divBdr>
        <w:top w:val="none" w:sz="0" w:space="0" w:color="auto"/>
        <w:left w:val="none" w:sz="0" w:space="0" w:color="auto"/>
        <w:bottom w:val="none" w:sz="0" w:space="0" w:color="auto"/>
        <w:right w:val="none" w:sz="0" w:space="0" w:color="auto"/>
      </w:divBdr>
    </w:div>
    <w:div w:id="867064141">
      <w:bodyDiv w:val="1"/>
      <w:marLeft w:val="0"/>
      <w:marRight w:val="0"/>
      <w:marTop w:val="0"/>
      <w:marBottom w:val="0"/>
      <w:divBdr>
        <w:top w:val="none" w:sz="0" w:space="0" w:color="auto"/>
        <w:left w:val="none" w:sz="0" w:space="0" w:color="auto"/>
        <w:bottom w:val="none" w:sz="0" w:space="0" w:color="auto"/>
        <w:right w:val="none" w:sz="0" w:space="0" w:color="auto"/>
      </w:divBdr>
    </w:div>
    <w:div w:id="916591904">
      <w:bodyDiv w:val="1"/>
      <w:marLeft w:val="0"/>
      <w:marRight w:val="0"/>
      <w:marTop w:val="0"/>
      <w:marBottom w:val="0"/>
      <w:divBdr>
        <w:top w:val="none" w:sz="0" w:space="0" w:color="auto"/>
        <w:left w:val="none" w:sz="0" w:space="0" w:color="auto"/>
        <w:bottom w:val="none" w:sz="0" w:space="0" w:color="auto"/>
        <w:right w:val="none" w:sz="0" w:space="0" w:color="auto"/>
      </w:divBdr>
    </w:div>
    <w:div w:id="922763229">
      <w:bodyDiv w:val="1"/>
      <w:marLeft w:val="0"/>
      <w:marRight w:val="0"/>
      <w:marTop w:val="0"/>
      <w:marBottom w:val="0"/>
      <w:divBdr>
        <w:top w:val="none" w:sz="0" w:space="0" w:color="auto"/>
        <w:left w:val="none" w:sz="0" w:space="0" w:color="auto"/>
        <w:bottom w:val="none" w:sz="0" w:space="0" w:color="auto"/>
        <w:right w:val="none" w:sz="0" w:space="0" w:color="auto"/>
      </w:divBdr>
    </w:div>
    <w:div w:id="1015310092">
      <w:bodyDiv w:val="1"/>
      <w:marLeft w:val="0"/>
      <w:marRight w:val="0"/>
      <w:marTop w:val="0"/>
      <w:marBottom w:val="0"/>
      <w:divBdr>
        <w:top w:val="none" w:sz="0" w:space="0" w:color="auto"/>
        <w:left w:val="none" w:sz="0" w:space="0" w:color="auto"/>
        <w:bottom w:val="none" w:sz="0" w:space="0" w:color="auto"/>
        <w:right w:val="none" w:sz="0" w:space="0" w:color="auto"/>
      </w:divBdr>
    </w:div>
    <w:div w:id="1040320955">
      <w:bodyDiv w:val="1"/>
      <w:marLeft w:val="0"/>
      <w:marRight w:val="0"/>
      <w:marTop w:val="0"/>
      <w:marBottom w:val="0"/>
      <w:divBdr>
        <w:top w:val="none" w:sz="0" w:space="0" w:color="auto"/>
        <w:left w:val="none" w:sz="0" w:space="0" w:color="auto"/>
        <w:bottom w:val="none" w:sz="0" w:space="0" w:color="auto"/>
        <w:right w:val="none" w:sz="0" w:space="0" w:color="auto"/>
      </w:divBdr>
    </w:div>
    <w:div w:id="1059208019">
      <w:bodyDiv w:val="1"/>
      <w:marLeft w:val="0"/>
      <w:marRight w:val="0"/>
      <w:marTop w:val="0"/>
      <w:marBottom w:val="0"/>
      <w:divBdr>
        <w:top w:val="none" w:sz="0" w:space="0" w:color="auto"/>
        <w:left w:val="none" w:sz="0" w:space="0" w:color="auto"/>
        <w:bottom w:val="none" w:sz="0" w:space="0" w:color="auto"/>
        <w:right w:val="none" w:sz="0" w:space="0" w:color="auto"/>
      </w:divBdr>
    </w:div>
    <w:div w:id="1060978751">
      <w:bodyDiv w:val="1"/>
      <w:marLeft w:val="0"/>
      <w:marRight w:val="0"/>
      <w:marTop w:val="0"/>
      <w:marBottom w:val="0"/>
      <w:divBdr>
        <w:top w:val="none" w:sz="0" w:space="0" w:color="auto"/>
        <w:left w:val="none" w:sz="0" w:space="0" w:color="auto"/>
        <w:bottom w:val="none" w:sz="0" w:space="0" w:color="auto"/>
        <w:right w:val="none" w:sz="0" w:space="0" w:color="auto"/>
      </w:divBdr>
    </w:div>
    <w:div w:id="1133137902">
      <w:bodyDiv w:val="1"/>
      <w:marLeft w:val="0"/>
      <w:marRight w:val="0"/>
      <w:marTop w:val="0"/>
      <w:marBottom w:val="0"/>
      <w:divBdr>
        <w:top w:val="none" w:sz="0" w:space="0" w:color="auto"/>
        <w:left w:val="none" w:sz="0" w:space="0" w:color="auto"/>
        <w:bottom w:val="none" w:sz="0" w:space="0" w:color="auto"/>
        <w:right w:val="none" w:sz="0" w:space="0" w:color="auto"/>
      </w:divBdr>
    </w:div>
    <w:div w:id="1138108936">
      <w:bodyDiv w:val="1"/>
      <w:marLeft w:val="0"/>
      <w:marRight w:val="0"/>
      <w:marTop w:val="0"/>
      <w:marBottom w:val="0"/>
      <w:divBdr>
        <w:top w:val="none" w:sz="0" w:space="0" w:color="auto"/>
        <w:left w:val="none" w:sz="0" w:space="0" w:color="auto"/>
        <w:bottom w:val="none" w:sz="0" w:space="0" w:color="auto"/>
        <w:right w:val="none" w:sz="0" w:space="0" w:color="auto"/>
      </w:divBdr>
    </w:div>
    <w:div w:id="1194155526">
      <w:bodyDiv w:val="1"/>
      <w:marLeft w:val="0"/>
      <w:marRight w:val="0"/>
      <w:marTop w:val="0"/>
      <w:marBottom w:val="0"/>
      <w:divBdr>
        <w:top w:val="none" w:sz="0" w:space="0" w:color="auto"/>
        <w:left w:val="none" w:sz="0" w:space="0" w:color="auto"/>
        <w:bottom w:val="none" w:sz="0" w:space="0" w:color="auto"/>
        <w:right w:val="none" w:sz="0" w:space="0" w:color="auto"/>
      </w:divBdr>
    </w:div>
    <w:div w:id="1225989443">
      <w:bodyDiv w:val="1"/>
      <w:marLeft w:val="0"/>
      <w:marRight w:val="0"/>
      <w:marTop w:val="0"/>
      <w:marBottom w:val="0"/>
      <w:divBdr>
        <w:top w:val="none" w:sz="0" w:space="0" w:color="auto"/>
        <w:left w:val="none" w:sz="0" w:space="0" w:color="auto"/>
        <w:bottom w:val="none" w:sz="0" w:space="0" w:color="auto"/>
        <w:right w:val="none" w:sz="0" w:space="0" w:color="auto"/>
      </w:divBdr>
    </w:div>
    <w:div w:id="1317103621">
      <w:bodyDiv w:val="1"/>
      <w:marLeft w:val="0"/>
      <w:marRight w:val="0"/>
      <w:marTop w:val="0"/>
      <w:marBottom w:val="0"/>
      <w:divBdr>
        <w:top w:val="none" w:sz="0" w:space="0" w:color="auto"/>
        <w:left w:val="none" w:sz="0" w:space="0" w:color="auto"/>
        <w:bottom w:val="none" w:sz="0" w:space="0" w:color="auto"/>
        <w:right w:val="none" w:sz="0" w:space="0" w:color="auto"/>
      </w:divBdr>
    </w:div>
    <w:div w:id="1445878486">
      <w:bodyDiv w:val="1"/>
      <w:marLeft w:val="0"/>
      <w:marRight w:val="0"/>
      <w:marTop w:val="0"/>
      <w:marBottom w:val="0"/>
      <w:divBdr>
        <w:top w:val="none" w:sz="0" w:space="0" w:color="auto"/>
        <w:left w:val="none" w:sz="0" w:space="0" w:color="auto"/>
        <w:bottom w:val="none" w:sz="0" w:space="0" w:color="auto"/>
        <w:right w:val="none" w:sz="0" w:space="0" w:color="auto"/>
      </w:divBdr>
    </w:div>
    <w:div w:id="1572736127">
      <w:bodyDiv w:val="1"/>
      <w:marLeft w:val="0"/>
      <w:marRight w:val="0"/>
      <w:marTop w:val="0"/>
      <w:marBottom w:val="0"/>
      <w:divBdr>
        <w:top w:val="none" w:sz="0" w:space="0" w:color="auto"/>
        <w:left w:val="none" w:sz="0" w:space="0" w:color="auto"/>
        <w:bottom w:val="none" w:sz="0" w:space="0" w:color="auto"/>
        <w:right w:val="none" w:sz="0" w:space="0" w:color="auto"/>
      </w:divBdr>
    </w:div>
    <w:div w:id="1699349174">
      <w:bodyDiv w:val="1"/>
      <w:marLeft w:val="0"/>
      <w:marRight w:val="0"/>
      <w:marTop w:val="0"/>
      <w:marBottom w:val="0"/>
      <w:divBdr>
        <w:top w:val="none" w:sz="0" w:space="0" w:color="auto"/>
        <w:left w:val="none" w:sz="0" w:space="0" w:color="auto"/>
        <w:bottom w:val="none" w:sz="0" w:space="0" w:color="auto"/>
        <w:right w:val="none" w:sz="0" w:space="0" w:color="auto"/>
      </w:divBdr>
    </w:div>
    <w:div w:id="1874271637">
      <w:bodyDiv w:val="1"/>
      <w:marLeft w:val="0"/>
      <w:marRight w:val="0"/>
      <w:marTop w:val="0"/>
      <w:marBottom w:val="0"/>
      <w:divBdr>
        <w:top w:val="none" w:sz="0" w:space="0" w:color="auto"/>
        <w:left w:val="none" w:sz="0" w:space="0" w:color="auto"/>
        <w:bottom w:val="none" w:sz="0" w:space="0" w:color="auto"/>
        <w:right w:val="none" w:sz="0" w:space="0" w:color="auto"/>
      </w:divBdr>
    </w:div>
    <w:div w:id="1896769441">
      <w:bodyDiv w:val="1"/>
      <w:marLeft w:val="0"/>
      <w:marRight w:val="0"/>
      <w:marTop w:val="0"/>
      <w:marBottom w:val="0"/>
      <w:divBdr>
        <w:top w:val="none" w:sz="0" w:space="0" w:color="auto"/>
        <w:left w:val="none" w:sz="0" w:space="0" w:color="auto"/>
        <w:bottom w:val="none" w:sz="0" w:space="0" w:color="auto"/>
        <w:right w:val="none" w:sz="0" w:space="0" w:color="auto"/>
      </w:divBdr>
    </w:div>
    <w:div w:id="2001616791">
      <w:bodyDiv w:val="1"/>
      <w:marLeft w:val="0"/>
      <w:marRight w:val="0"/>
      <w:marTop w:val="0"/>
      <w:marBottom w:val="0"/>
      <w:divBdr>
        <w:top w:val="none" w:sz="0" w:space="0" w:color="auto"/>
        <w:left w:val="none" w:sz="0" w:space="0" w:color="auto"/>
        <w:bottom w:val="none" w:sz="0" w:space="0" w:color="auto"/>
        <w:right w:val="none" w:sz="0" w:space="0" w:color="auto"/>
      </w:divBdr>
    </w:div>
    <w:div w:id="2041390750">
      <w:bodyDiv w:val="1"/>
      <w:marLeft w:val="0"/>
      <w:marRight w:val="0"/>
      <w:marTop w:val="0"/>
      <w:marBottom w:val="0"/>
      <w:divBdr>
        <w:top w:val="none" w:sz="0" w:space="0" w:color="auto"/>
        <w:left w:val="none" w:sz="0" w:space="0" w:color="auto"/>
        <w:bottom w:val="none" w:sz="0" w:space="0" w:color="auto"/>
        <w:right w:val="none" w:sz="0" w:space="0" w:color="auto"/>
      </w:divBdr>
    </w:div>
    <w:div w:id="20969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adistica.cba.gov.ar/Econom%C3%ADa/SectoresEcon%C3%B3micos/Agropecuario/Lecher%C3%ADa/tabid/158/language/es-AR/Default.aspx" TargetMode="External"/><Relationship Id="rId3" Type="http://schemas.openxmlformats.org/officeDocument/2006/relationships/styles" Target="styles.xml"/><Relationship Id="rId7" Type="http://schemas.openxmlformats.org/officeDocument/2006/relationships/hyperlink" Target="mailto:romeyer@agro.unc.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roindustria.gob.ar/sitio/areas/ss_lecheria/estadisticas/_01_primaria/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Bol19</b:Tag>
    <b:SourceType>Book</b:SourceType>
    <b:Guid>{68FC35AD-08C4-4DC0-B65D-302BBBDC20F0}</b:Guid>
    <b:Author>
      <b:Author>
        <b:Corporate>Bolsa de Comercio de Córdoba</b:Corporate>
      </b:Author>
    </b:Author>
    <b:Title>Economía Argentina: habla el interior</b:Title>
    <b:Year>2019</b:Year>
    <b:City>Córdoba</b:City>
    <b:Publisher>Bolsa de Comercio de Córdoba</b:Publisher>
    <b:RefOrder>1</b:RefOrder>
  </b:Source>
</b:Sources>
</file>

<file path=customXml/itemProps1.xml><?xml version="1.0" encoding="utf-8"?>
<ds:datastoreItem xmlns:ds="http://schemas.openxmlformats.org/officeDocument/2006/customXml" ds:itemID="{11C2FE50-980E-4918-99B4-09F76AB4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2636</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Mariano Da Riva</cp:lastModifiedBy>
  <cp:revision>2</cp:revision>
  <cp:lastPrinted>2017-08-22T14:04:00Z</cp:lastPrinted>
  <dcterms:created xsi:type="dcterms:W3CDTF">2019-08-23T18:29:00Z</dcterms:created>
  <dcterms:modified xsi:type="dcterms:W3CDTF">2019-08-23T18:29:00Z</dcterms:modified>
</cp:coreProperties>
</file>