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document.xml.rels" ContentType="application/vnd.openxmlformats-package.relationship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hdphoto1.wdp" ContentType="image/vnd.ms-photo"/>
  <Override PartName="/word/media/image1.jpeg" ContentType="image/jpeg"/>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eastAsia="Times New Roman"/>
          <w:sz w:val="24"/>
          <w:szCs w:val="24"/>
        </w:rPr>
      </w:pPr>
      <w:r>
        <w:rPr>
          <w:rFonts w:eastAsia="Times New Roman" w:ascii="Times New Roman" w:hAnsi="Times New Roman"/>
          <w:sz w:val="24"/>
          <w:szCs w:val="24"/>
        </w:rPr>
        <w:t>XI Jornadas Interdisciplinarias de Estudios Agrarios y Agroindustriales</w:t>
      </w:r>
    </w:p>
    <w:p>
      <w:pPr>
        <w:pStyle w:val="Normal"/>
        <w:spacing w:lineRule="auto" w:line="240"/>
        <w:jc w:val="center"/>
        <w:rPr>
          <w:rFonts w:ascii="Times New Roman" w:hAnsi="Times New Roman" w:eastAsia="Times New Roman"/>
          <w:sz w:val="24"/>
          <w:szCs w:val="24"/>
        </w:rPr>
      </w:pPr>
      <w:r>
        <w:rPr>
          <w:rFonts w:eastAsia="Times New Roman" w:ascii="Times New Roman" w:hAnsi="Times New Roman"/>
          <w:sz w:val="24"/>
          <w:szCs w:val="24"/>
        </w:rPr>
        <w:t>Centro Interdisciplinario de Estudios Agrarios (CIEA) – UBA</w:t>
      </w:r>
    </w:p>
    <w:p>
      <w:pPr>
        <w:pStyle w:val="Normal"/>
        <w:spacing w:lineRule="auto" w:line="240"/>
        <w:jc w:val="center"/>
        <w:rPr>
          <w:rFonts w:ascii="Times New Roman" w:hAnsi="Times New Roman" w:eastAsia="Times New Roman"/>
          <w:sz w:val="24"/>
          <w:szCs w:val="24"/>
        </w:rPr>
      </w:pPr>
      <w:r>
        <w:rPr>
          <w:rFonts w:eastAsia="Times New Roman" w:ascii="Times New Roman" w:hAnsi="Times New Roman"/>
          <w:sz w:val="24"/>
          <w:szCs w:val="24"/>
        </w:rPr>
        <w:t>Noviembre de 2019</w:t>
      </w:r>
    </w:p>
    <w:p>
      <w:pPr>
        <w:pStyle w:val="Normal"/>
        <w:spacing w:lineRule="auto" w:line="360"/>
        <w:jc w:val="both"/>
        <w:rPr>
          <w:rFonts w:ascii="Times New Roman" w:hAnsi="Times New Roman" w:eastAsia="Times New Roman"/>
          <w:b/>
          <w:b/>
          <w:sz w:val="24"/>
          <w:szCs w:val="24"/>
        </w:rPr>
      </w:pPr>
      <w:r>
        <w:rPr>
          <w:rFonts w:eastAsia="Times New Roman" w:ascii="Times New Roman" w:hAnsi="Times New Roman"/>
          <w:b/>
          <w:sz w:val="24"/>
          <w:szCs w:val="24"/>
        </w:rPr>
        <w:t>Ponencia</w:t>
      </w:r>
    </w:p>
    <w:p>
      <w:pPr>
        <w:pStyle w:val="Normal"/>
        <w:spacing w:lineRule="auto" w:line="360"/>
        <w:jc w:val="both"/>
        <w:rPr>
          <w:rFonts w:ascii="Times New Roman" w:hAnsi="Times New Roman" w:eastAsia="Times New Roman"/>
          <w:sz w:val="24"/>
          <w:szCs w:val="24"/>
        </w:rPr>
      </w:pPr>
      <w:r>
        <w:rPr>
          <w:rFonts w:eastAsia="Times New Roman" w:ascii="Times New Roman" w:hAnsi="Times New Roman"/>
          <w:b/>
          <w:sz w:val="24"/>
          <w:szCs w:val="24"/>
        </w:rPr>
        <w:t>Mesa 3</w:t>
      </w:r>
      <w:r>
        <w:rPr>
          <w:rFonts w:eastAsia="Times New Roman" w:ascii="Times New Roman" w:hAnsi="Times New Roman"/>
          <w:sz w:val="24"/>
          <w:szCs w:val="24"/>
        </w:rPr>
        <w:t>. Transformaciones en el espacio territorial concebido como rural. Expansión agraria y organización de nuevos territorios. Frontera agropecuaria, regiones y territorios en América Latina. La problemática de la integración rural urbana. Agricultura periurbana.</w:t>
      </w:r>
    </w:p>
    <w:p>
      <w:pPr>
        <w:pStyle w:val="Normal"/>
        <w:spacing w:lineRule="auto" w:line="360"/>
        <w:jc w:val="both"/>
        <w:rPr>
          <w:rFonts w:ascii="Times New Roman" w:hAnsi="Times New Roman" w:eastAsia="Times New Roman"/>
          <w:sz w:val="24"/>
          <w:szCs w:val="24"/>
        </w:rPr>
      </w:pPr>
      <w:r>
        <w:rPr>
          <w:rFonts w:eastAsia="Times New Roman" w:ascii="Times New Roman" w:hAnsi="Times New Roman"/>
          <w:sz w:val="24"/>
          <w:szCs w:val="24"/>
        </w:rPr>
      </w:r>
    </w:p>
    <w:p>
      <w:pPr>
        <w:pStyle w:val="Normal"/>
        <w:spacing w:lineRule="auto" w:line="360"/>
        <w:jc w:val="both"/>
        <w:rPr>
          <w:rFonts w:ascii="Times New Roman" w:hAnsi="Times New Roman" w:eastAsia="Times New Roman"/>
          <w:b/>
          <w:b/>
          <w:sz w:val="24"/>
          <w:szCs w:val="24"/>
        </w:rPr>
      </w:pPr>
      <w:r>
        <w:rPr>
          <w:rFonts w:eastAsia="Times New Roman" w:ascii="Times New Roman" w:hAnsi="Times New Roman"/>
          <w:b/>
          <w:sz w:val="24"/>
          <w:szCs w:val="24"/>
        </w:rPr>
        <w:t>Título</w:t>
      </w:r>
    </w:p>
    <w:p>
      <w:pPr>
        <w:pStyle w:val="Normal"/>
        <w:spacing w:lineRule="auto" w:line="360"/>
        <w:jc w:val="both"/>
        <w:rPr>
          <w:rFonts w:ascii="Times New Roman" w:hAnsi="Times New Roman" w:eastAsia="Times New Roman"/>
          <w:b/>
          <w:b/>
          <w:sz w:val="24"/>
          <w:szCs w:val="24"/>
          <w:highlight w:val="white"/>
        </w:rPr>
      </w:pPr>
      <w:r>
        <w:rPr>
          <w:rFonts w:eastAsia="Times New Roman" w:ascii="Times New Roman" w:hAnsi="Times New Roman"/>
          <w:b/>
          <w:sz w:val="24"/>
          <w:szCs w:val="24"/>
        </w:rPr>
        <w:t>“</w:t>
      </w:r>
      <w:r>
        <w:rPr>
          <w:rFonts w:eastAsia="Times New Roman" w:ascii="Times New Roman" w:hAnsi="Times New Roman"/>
          <w:b/>
          <w:sz w:val="24"/>
          <w:szCs w:val="24"/>
        </w:rPr>
        <w:t>Acaparamiento territorial de los medios de vida y explotación de la Tierra/tierra en Có</w:t>
      </w:r>
      <w:r>
        <w:rPr>
          <w:rFonts w:eastAsia="Times New Roman" w:ascii="Times New Roman" w:hAnsi="Times New Roman"/>
          <w:b/>
          <w:sz w:val="24"/>
          <w:szCs w:val="24"/>
          <w:shd w:fill="FFFFFF" w:val="clear"/>
        </w:rPr>
        <w:t>rdoba (Argentina)”</w:t>
      </w:r>
    </w:p>
    <w:p>
      <w:pPr>
        <w:pStyle w:val="Normal"/>
        <w:spacing w:lineRule="auto" w:line="360"/>
        <w:jc w:val="both"/>
        <w:rPr>
          <w:rFonts w:ascii="Times New Roman" w:hAnsi="Times New Roman" w:eastAsia="Times New Roman"/>
          <w:b/>
          <w:b/>
          <w:sz w:val="24"/>
          <w:szCs w:val="24"/>
          <w:highlight w:val="white"/>
        </w:rPr>
      </w:pPr>
      <w:r>
        <w:rPr>
          <w:rFonts w:eastAsia="Times New Roman" w:ascii="Times New Roman" w:hAnsi="Times New Roman"/>
          <w:b/>
          <w:sz w:val="24"/>
          <w:szCs w:val="24"/>
          <w:shd w:fill="FFFFFF" w:val="clear"/>
        </w:rPr>
      </w:r>
    </w:p>
    <w:p>
      <w:pPr>
        <w:pStyle w:val="Normal"/>
        <w:spacing w:lineRule="auto" w:line="360"/>
        <w:jc w:val="both"/>
        <w:rPr/>
      </w:pPr>
      <w:r>
        <w:rPr>
          <w:rFonts w:eastAsia="Times New Roman" w:ascii="Times New Roman" w:hAnsi="Times New Roman"/>
          <w:b/>
          <w:bCs/>
          <w:sz w:val="24"/>
          <w:szCs w:val="24"/>
        </w:rPr>
        <w:t xml:space="preserve">Autora-es: </w:t>
      </w:r>
      <w:r>
        <w:rPr>
          <w:rFonts w:eastAsia="Times New Roman" w:ascii="Times New Roman" w:hAnsi="Times New Roman"/>
          <w:sz w:val="24"/>
          <w:szCs w:val="24"/>
        </w:rPr>
        <w:t xml:space="preserve">Sbuelz, Valeria; Szabó, Ana; </w:t>
      </w:r>
      <w:r>
        <w:rPr>
          <w:rFonts w:eastAsia="Times New Roman" w:ascii="Times New Roman" w:hAnsi="Times New Roman"/>
          <w:sz w:val="24"/>
          <w:szCs w:val="24"/>
          <w:lang w:val="en-US"/>
        </w:rPr>
        <w:t xml:space="preserve">Deon, Joaquín Ulises; </w:t>
      </w:r>
      <w:r>
        <w:rPr>
          <w:rFonts w:eastAsia="Times New Roman" w:ascii="Times New Roman" w:hAnsi="Times New Roman"/>
          <w:sz w:val="24"/>
          <w:szCs w:val="24"/>
          <w:highlight w:val="white"/>
        </w:rPr>
        <w:t xml:space="preserve">Hocsman, Luis Daniel. </w:t>
      </w:r>
    </w:p>
    <w:p>
      <w:pPr>
        <w:pStyle w:val="Normal"/>
        <w:spacing w:lineRule="auto" w:line="360"/>
        <w:jc w:val="both"/>
        <w:rPr>
          <w:rFonts w:ascii="Times New Roman" w:hAnsi="Times New Roman" w:eastAsia="Times New Roman"/>
          <w:sz w:val="24"/>
          <w:szCs w:val="24"/>
          <w:highlight w:val="white"/>
        </w:rPr>
      </w:pPr>
      <w:r>
        <w:rPr/>
      </w:r>
    </w:p>
    <w:p>
      <w:pPr>
        <w:pStyle w:val="Normal"/>
        <w:spacing w:lineRule="auto" w:line="360"/>
        <w:jc w:val="both"/>
        <w:rPr/>
      </w:pPr>
      <w:r>
        <w:rPr>
          <w:rFonts w:eastAsia="Times New Roman" w:ascii="Times New Roman" w:hAnsi="Times New Roman"/>
          <w:b/>
          <w:bCs/>
          <w:sz w:val="24"/>
          <w:szCs w:val="24"/>
          <w:highlight w:val="white"/>
        </w:rPr>
        <w:t xml:space="preserve">Pertenencia institucional: </w:t>
      </w:r>
      <w:bookmarkStart w:id="0" w:name="__DdeLink__1774_396280049"/>
      <w:r>
        <w:rPr>
          <w:rFonts w:eastAsia="Times New Roman" w:ascii="Times New Roman" w:hAnsi="Times New Roman"/>
          <w:sz w:val="24"/>
          <w:szCs w:val="24"/>
          <w:highlight w:val="white"/>
        </w:rPr>
        <w:t>CIECS-CONICET-UNC-DESA-CEA-UNC</w:t>
      </w:r>
      <w:bookmarkEnd w:id="0"/>
    </w:p>
    <w:p>
      <w:pPr>
        <w:pStyle w:val="Normal"/>
        <w:spacing w:lineRule="auto" w:line="360"/>
        <w:jc w:val="both"/>
        <w:rPr>
          <w:rFonts w:ascii="Times New Roman" w:hAnsi="Times New Roman" w:eastAsia="Times New Roman"/>
          <w:sz w:val="24"/>
          <w:szCs w:val="24"/>
          <w:highlight w:val="white"/>
        </w:rPr>
      </w:pPr>
      <w:r>
        <w:rPr>
          <w:b/>
          <w:bCs/>
        </w:rPr>
      </w:r>
    </w:p>
    <w:p>
      <w:pPr>
        <w:pStyle w:val="Normal"/>
        <w:spacing w:lineRule="auto" w:line="360"/>
        <w:jc w:val="both"/>
        <w:rPr/>
      </w:pPr>
      <w:r>
        <w:rPr>
          <w:rFonts w:eastAsia="Times New Roman" w:ascii="Times New Roman" w:hAnsi="Times New Roman"/>
          <w:b/>
          <w:bCs/>
          <w:sz w:val="24"/>
          <w:szCs w:val="24"/>
          <w:highlight w:val="white"/>
        </w:rPr>
        <w:t xml:space="preserve">Dirección de Correo Electrónico: </w:t>
      </w:r>
      <w:hyperlink r:id="rId2">
        <w:r>
          <w:rPr>
            <w:rStyle w:val="EnlacedeInternet"/>
            <w:rFonts w:eastAsia="Times New Roman" w:ascii="Times New Roman" w:hAnsi="Times New Roman"/>
            <w:b w:val="false"/>
            <w:bCs w:val="false"/>
            <w:sz w:val="24"/>
            <w:szCs w:val="24"/>
            <w:highlight w:val="white"/>
            <w:lang w:val="es-AR"/>
          </w:rPr>
          <w:t>milpadelibertad@gmail.com</w:t>
        </w:r>
      </w:hyperlink>
      <w:r>
        <w:rPr>
          <w:rFonts w:eastAsia="Times New Roman" w:ascii="Times New Roman" w:hAnsi="Times New Roman"/>
          <w:b w:val="false"/>
          <w:bCs w:val="false"/>
          <w:sz w:val="24"/>
          <w:szCs w:val="24"/>
          <w:highlight w:val="white"/>
          <w:lang w:val="es-AR"/>
        </w:rPr>
        <w:t xml:space="preserve">; </w:t>
      </w:r>
      <w:hyperlink r:id="rId3">
        <w:r>
          <w:rPr>
            <w:rStyle w:val="EnlacedeInternet"/>
            <w:rFonts w:eastAsia="Times New Roman" w:ascii="Times New Roman" w:hAnsi="Times New Roman"/>
            <w:b w:val="false"/>
            <w:bCs w:val="false"/>
            <w:sz w:val="24"/>
            <w:szCs w:val="24"/>
            <w:highlight w:val="white"/>
            <w:lang w:val="es-AR"/>
          </w:rPr>
          <w:t>anaszabo@hotmail.com</w:t>
        </w:r>
      </w:hyperlink>
      <w:r>
        <w:rPr>
          <w:rFonts w:eastAsia="Times New Roman" w:ascii="Times New Roman" w:hAnsi="Times New Roman"/>
          <w:b w:val="false"/>
          <w:bCs w:val="false"/>
          <w:sz w:val="24"/>
          <w:szCs w:val="24"/>
          <w:highlight w:val="white"/>
          <w:lang w:val="es-AR"/>
        </w:rPr>
        <w:t xml:space="preserve">; </w:t>
      </w:r>
      <w:hyperlink r:id="rId4">
        <w:r>
          <w:rPr>
            <w:rStyle w:val="EnlacedeInternet"/>
            <w:rFonts w:eastAsia="Times New Roman" w:ascii="Times New Roman" w:hAnsi="Times New Roman"/>
            <w:b w:val="false"/>
            <w:bCs w:val="false"/>
            <w:sz w:val="24"/>
            <w:szCs w:val="24"/>
            <w:highlight w:val="white"/>
            <w:lang w:val="es-AR"/>
          </w:rPr>
          <w:t>joaquinudeon@yahoo.com.ar</w:t>
        </w:r>
      </w:hyperlink>
      <w:r>
        <w:rPr>
          <w:rFonts w:eastAsia="Times New Roman" w:ascii="Times New Roman" w:hAnsi="Times New Roman"/>
          <w:b w:val="false"/>
          <w:bCs w:val="false"/>
          <w:sz w:val="24"/>
          <w:szCs w:val="24"/>
          <w:highlight w:val="white"/>
          <w:lang w:val="es-AR"/>
        </w:rPr>
        <w:t xml:space="preserve">; </w:t>
      </w:r>
      <w:hyperlink r:id="rId5">
        <w:r>
          <w:rPr>
            <w:rStyle w:val="EnlacedeInternet"/>
            <w:rFonts w:eastAsia="Times New Roman" w:ascii="Times New Roman" w:hAnsi="Times New Roman"/>
            <w:b w:val="false"/>
            <w:bCs w:val="false"/>
            <w:sz w:val="24"/>
            <w:szCs w:val="24"/>
            <w:highlight w:val="white"/>
            <w:lang w:val="es-AR"/>
          </w:rPr>
          <w:t>ldhocsman@gmail.com</w:t>
        </w:r>
      </w:hyperlink>
      <w:r>
        <w:rPr>
          <w:rFonts w:eastAsia="Times New Roman" w:ascii="Times New Roman" w:hAnsi="Times New Roman"/>
          <w:b w:val="false"/>
          <w:bCs w:val="false"/>
          <w:sz w:val="24"/>
          <w:szCs w:val="24"/>
          <w:highlight w:val="white"/>
          <w:lang w:val="es-AR"/>
        </w:rPr>
        <w:t xml:space="preserve"> </w:t>
      </w:r>
    </w:p>
    <w:p>
      <w:pPr>
        <w:pStyle w:val="Normal"/>
        <w:spacing w:lineRule="auto" w:line="360"/>
        <w:jc w:val="both"/>
        <w:rPr>
          <w:rFonts w:ascii="Times New Roman" w:hAnsi="Times New Roman" w:eastAsia="Times New Roman"/>
          <w:b/>
          <w:b/>
          <w:sz w:val="24"/>
          <w:szCs w:val="24"/>
          <w:highlight w:val="white"/>
        </w:rPr>
      </w:pPr>
      <w:r>
        <w:rPr>
          <w:rFonts w:eastAsia="Times New Roman" w:ascii="Times New Roman" w:hAnsi="Times New Roman"/>
          <w:b/>
          <w:sz w:val="24"/>
          <w:szCs w:val="24"/>
          <w:shd w:fill="FFFFFF" w:val="clear"/>
        </w:rPr>
      </w:r>
    </w:p>
    <w:p>
      <w:pPr>
        <w:pStyle w:val="Normal"/>
        <w:spacing w:lineRule="auto" w:line="360"/>
        <w:jc w:val="both"/>
        <w:rPr>
          <w:rFonts w:ascii="Times New Roman" w:hAnsi="Times New Roman" w:eastAsia="Times New Roman"/>
          <w:b/>
          <w:b/>
          <w:sz w:val="24"/>
          <w:szCs w:val="24"/>
        </w:rPr>
      </w:pPr>
      <w:r>
        <w:rPr>
          <w:rFonts w:eastAsia="Times New Roman" w:ascii="Times New Roman" w:hAnsi="Times New Roman"/>
          <w:b/>
          <w:sz w:val="24"/>
          <w:szCs w:val="24"/>
        </w:rPr>
        <w:t>Resumen</w:t>
      </w:r>
    </w:p>
    <w:p>
      <w:pPr>
        <w:pStyle w:val="Normal"/>
        <w:spacing w:lineRule="auto" w:line="360" w:before="240" w:after="160"/>
        <w:jc w:val="both"/>
        <w:rPr>
          <w:rFonts w:ascii="Times New Roman" w:hAnsi="Times New Roman" w:eastAsia="Times New Roman"/>
          <w:sz w:val="24"/>
          <w:szCs w:val="24"/>
        </w:rPr>
      </w:pPr>
      <w:r>
        <w:rPr>
          <w:rFonts w:eastAsia="Times New Roman" w:ascii="Times New Roman" w:hAnsi="Times New Roman"/>
          <w:sz w:val="24"/>
          <w:szCs w:val="24"/>
        </w:rPr>
        <w:t xml:space="preserve">El acaparamiento de tierras y el extractivismo son procesos del </w:t>
      </w:r>
      <w:r>
        <w:rPr>
          <w:rFonts w:eastAsia="Times New Roman" w:ascii="Times New Roman" w:hAnsi="Times New Roman"/>
          <w:i/>
          <w:sz w:val="24"/>
          <w:szCs w:val="24"/>
        </w:rPr>
        <w:t>sistema-mundo moderno-colonial capitalista-patriarcal</w:t>
      </w:r>
      <w:r>
        <w:rPr>
          <w:rFonts w:eastAsia="Times New Roman" w:ascii="Times New Roman" w:hAnsi="Times New Roman"/>
          <w:sz w:val="24"/>
          <w:szCs w:val="24"/>
        </w:rPr>
        <w:t xml:space="preserve"> que no distinguen territorialidad, </w:t>
      </w:r>
      <w:r>
        <w:rPr>
          <w:rFonts w:eastAsia="Times New Roman" w:ascii="Times New Roman" w:hAnsi="Times New Roman"/>
          <w:color w:val="auto"/>
          <w:sz w:val="24"/>
          <w:szCs w:val="24"/>
        </w:rPr>
        <w:t xml:space="preserve">territorios, ni territorialidades mientras transfiguran el campo y la ciudad. Su violencia se manifiesta en </w:t>
      </w:r>
      <w:r>
        <w:rPr>
          <w:rFonts w:eastAsia="Times New Roman" w:ascii="Times New Roman" w:hAnsi="Times New Roman"/>
          <w:sz w:val="24"/>
          <w:szCs w:val="24"/>
        </w:rPr>
        <w:t xml:space="preserve">avanzadas desarrollistas que despojan de tierras, aguas y sustento a poblaciones, territorios y ecosistemas, e intentan desarmar tramas comunitarias de la reproducción social </w:t>
      </w:r>
      <w:r>
        <w:rPr>
          <w:rFonts w:eastAsia="Times New Roman" w:ascii="Times New Roman" w:hAnsi="Times New Roman"/>
          <w:color w:val="auto"/>
          <w:sz w:val="24"/>
          <w:szCs w:val="24"/>
        </w:rPr>
        <w:t xml:space="preserve">material y también simbólica </w:t>
      </w:r>
      <w:r>
        <w:rPr>
          <w:rFonts w:eastAsia="Times New Roman" w:ascii="Times New Roman" w:hAnsi="Times New Roman"/>
          <w:sz w:val="24"/>
          <w:szCs w:val="24"/>
        </w:rPr>
        <w:t xml:space="preserve">de la vida. Tramas configuradoras de nuevos horizontes comunitario-populares (Gutiérrez Aguilar, 2017) </w:t>
      </w:r>
      <w:r>
        <w:rPr>
          <w:rFonts w:eastAsia="Times New Roman" w:ascii="Times New Roman" w:hAnsi="Times New Roman"/>
          <w:color w:val="auto"/>
          <w:sz w:val="24"/>
          <w:szCs w:val="24"/>
        </w:rPr>
        <w:t xml:space="preserve">territorializadas en el socio metabolismo </w:t>
      </w:r>
      <w:r>
        <w:rPr>
          <w:rFonts w:eastAsia="Times New Roman" w:ascii="Times New Roman" w:hAnsi="Times New Roman"/>
          <w:sz w:val="24"/>
          <w:szCs w:val="24"/>
        </w:rPr>
        <w:t xml:space="preserve">alimento-salud-trabajo-comunidad-vida y en procesos autogestivos que resisten y </w:t>
      </w:r>
      <w:r>
        <w:rPr>
          <w:rFonts w:eastAsia="Times New Roman" w:ascii="Times New Roman" w:hAnsi="Times New Roman"/>
          <w:i/>
          <w:sz w:val="24"/>
          <w:szCs w:val="24"/>
        </w:rPr>
        <w:t xml:space="preserve">r-existen </w:t>
      </w:r>
      <w:r>
        <w:rPr>
          <w:rFonts w:eastAsia="Times New Roman" w:ascii="Times New Roman" w:hAnsi="Times New Roman"/>
          <w:sz w:val="24"/>
          <w:szCs w:val="24"/>
        </w:rPr>
        <w:t>(Porto-Gonçalves, 2013) mediant</w:t>
      </w:r>
      <w:r>
        <w:rPr>
          <w:rFonts w:eastAsia="Times New Roman" w:ascii="Times New Roman" w:hAnsi="Times New Roman"/>
          <w:color w:val="auto"/>
          <w:sz w:val="24"/>
          <w:szCs w:val="24"/>
        </w:rPr>
        <w:t xml:space="preserve">e diversas formas autoorganizativas. </w:t>
      </w:r>
    </w:p>
    <w:p>
      <w:pPr>
        <w:pStyle w:val="Normal"/>
        <w:spacing w:lineRule="auto" w:line="360" w:before="240" w:after="160"/>
        <w:jc w:val="both"/>
        <w:rPr>
          <w:rFonts w:ascii="Times New Roman" w:hAnsi="Times New Roman" w:eastAsia="Times New Roman"/>
          <w:color w:val="auto"/>
          <w:sz w:val="24"/>
          <w:szCs w:val="24"/>
        </w:rPr>
      </w:pPr>
      <w:r>
        <w:rPr>
          <w:rFonts w:eastAsia="Times New Roman" w:ascii="Times New Roman" w:hAnsi="Times New Roman"/>
          <w:color w:val="auto"/>
          <w:sz w:val="24"/>
          <w:szCs w:val="24"/>
        </w:rPr>
        <w:t xml:space="preserve">El </w:t>
      </w:r>
      <w:r>
        <w:rPr>
          <w:rFonts w:eastAsia="Times New Roman" w:ascii="Times New Roman" w:hAnsi="Times New Roman"/>
          <w:b/>
          <w:color w:val="auto"/>
          <w:sz w:val="24"/>
          <w:szCs w:val="24"/>
        </w:rPr>
        <w:t>Cordobazo Ambiental</w:t>
      </w:r>
      <w:r>
        <w:rPr>
          <w:rFonts w:eastAsia="Times New Roman" w:ascii="Times New Roman" w:hAnsi="Times New Roman"/>
          <w:color w:val="auto"/>
          <w:sz w:val="24"/>
          <w:szCs w:val="24"/>
        </w:rPr>
        <w:t xml:space="preserve"> como emergente socio-ambiental reúne y visibiliza diversas territorialidades en lucha dentro y fuera de lógicas estado-céntricas que resisten el avance del desarrollismo inmobiliario, minero y del agronegocio. Accionares colectivos locales que impugnan la ley del desmonte del bosque nativo, mega-obras viales e hídricas (públicas y/o privadas), la creación de Parques Nacionales, articulando con resistencias obreras movilizadas contra el expolio de bienes comunes.  </w:t>
      </w:r>
    </w:p>
    <w:p>
      <w:pPr>
        <w:pStyle w:val="Normal"/>
        <w:spacing w:lineRule="auto" w:line="360" w:before="240" w:after="160"/>
        <w:jc w:val="both"/>
        <w:rPr>
          <w:rFonts w:ascii="Times New Roman" w:hAnsi="Times New Roman" w:eastAsia="Times New Roman"/>
          <w:color w:val="auto"/>
          <w:sz w:val="24"/>
          <w:szCs w:val="24"/>
        </w:rPr>
      </w:pPr>
      <w:bookmarkStart w:id="1" w:name="_Hlk9965589"/>
      <w:bookmarkStart w:id="2" w:name="_Hlk9965492"/>
      <w:r>
        <w:rPr>
          <w:rFonts w:eastAsia="Times New Roman" w:ascii="Times New Roman" w:hAnsi="Times New Roman"/>
          <w:color w:val="auto"/>
          <w:sz w:val="24"/>
          <w:szCs w:val="24"/>
        </w:rPr>
        <w:t xml:space="preserve">Con una metodología multidisciplinaria, situada en la escucha-acción-investigación </w:t>
      </w:r>
      <w:bookmarkEnd w:id="2"/>
      <w:r>
        <w:rPr>
          <w:rFonts w:eastAsia="Times New Roman" w:ascii="Times New Roman" w:hAnsi="Times New Roman"/>
          <w:color w:val="auto"/>
          <w:sz w:val="24"/>
          <w:szCs w:val="24"/>
        </w:rPr>
        <w:t>pretendemos mapear diversas territorialidades del desarrollismo en Córdoba</w:t>
      </w:r>
      <w:bookmarkEnd w:id="1"/>
      <w:r>
        <w:rPr>
          <w:rFonts w:eastAsia="Times New Roman" w:ascii="Times New Roman" w:hAnsi="Times New Roman"/>
          <w:color w:val="auto"/>
          <w:sz w:val="24"/>
          <w:szCs w:val="24"/>
        </w:rPr>
        <w:t xml:space="preserve">, desde una crítica a la destrucción socio-ambiental-territorial que produce la ruptura del metabolismo social y genera conflictividades transformadoras del espacio rural, urbano y natural, dando cuenta de los flujos de transformación, despojo y destrucción entre y al interior de los territorios.  </w:t>
      </w:r>
    </w:p>
    <w:p>
      <w:pPr>
        <w:pStyle w:val="Normal"/>
        <w:spacing w:lineRule="auto" w:line="360"/>
        <w:jc w:val="both"/>
        <w:rPr>
          <w:rFonts w:ascii="Times New Roman" w:hAnsi="Times New Roman" w:eastAsia="Times New Roman"/>
          <w:color w:val="auto"/>
          <w:sz w:val="24"/>
          <w:szCs w:val="24"/>
        </w:rPr>
      </w:pPr>
      <w:r>
        <w:rPr>
          <w:rFonts w:eastAsia="Times New Roman" w:ascii="Times New Roman" w:hAnsi="Times New Roman"/>
          <w:b/>
          <w:sz w:val="24"/>
          <w:szCs w:val="24"/>
        </w:rPr>
        <w:t>Palabras clave:</w:t>
      </w:r>
      <w:r>
        <w:rPr>
          <w:rFonts w:eastAsia="Times New Roman" w:ascii="Times New Roman" w:hAnsi="Times New Roman"/>
          <w:sz w:val="24"/>
          <w:szCs w:val="24"/>
        </w:rPr>
        <w:t xml:space="preserve"> Desarrollo, territorios, extractivismos, horizontes comunitario-populares.</w:t>
      </w:r>
    </w:p>
    <w:p>
      <w:pPr>
        <w:pStyle w:val="Normal"/>
        <w:spacing w:lineRule="auto" w:line="360"/>
        <w:jc w:val="both"/>
        <w:rPr>
          <w:rFonts w:ascii="Times New Roman" w:hAnsi="Times New Roman" w:eastAsia="Times New Roman"/>
          <w:sz w:val="24"/>
          <w:szCs w:val="24"/>
        </w:rPr>
      </w:pPr>
      <w:r>
        <w:rPr>
          <w:rFonts w:eastAsia="Times New Roman" w:ascii="Times New Roman" w:hAnsi="Times New Roman"/>
          <w:sz w:val="24"/>
          <w:szCs w:val="24"/>
        </w:rPr>
      </w:r>
    </w:p>
    <w:p>
      <w:pPr>
        <w:pStyle w:val="Normal"/>
        <w:spacing w:lineRule="auto" w:line="360"/>
        <w:jc w:val="both"/>
        <w:rPr>
          <w:rFonts w:ascii="Times New Roman" w:hAnsi="Times New Roman" w:eastAsia="Times New Roman"/>
          <w:b/>
          <w:b/>
          <w:sz w:val="24"/>
          <w:szCs w:val="24"/>
        </w:rPr>
      </w:pPr>
      <w:r>
        <w:rPr>
          <w:rFonts w:ascii="Times New Roman" w:hAnsi="Times New Roman"/>
          <w:b/>
          <w:sz w:val="24"/>
          <w:szCs w:val="24"/>
        </w:rPr>
        <w:t>Introduc</w:t>
      </w:r>
      <w:r>
        <w:rPr>
          <w:rFonts w:eastAsia="Times New Roman" w:ascii="Times New Roman" w:hAnsi="Times New Roman"/>
          <w:b/>
          <w:sz w:val="24"/>
          <w:szCs w:val="24"/>
        </w:rPr>
        <w:t>ción</w:t>
      </w:r>
    </w:p>
    <w:p>
      <w:pPr>
        <w:pStyle w:val="Normal"/>
        <w:spacing w:lineRule="auto" w:line="360" w:before="240" w:after="0"/>
        <w:contextualSpacing/>
        <w:jc w:val="both"/>
        <w:rPr>
          <w:rFonts w:ascii="Times New Roman" w:hAnsi="Times New Roman"/>
          <w:strike/>
          <w:color w:val="auto"/>
          <w:sz w:val="24"/>
          <w:szCs w:val="24"/>
        </w:rPr>
      </w:pPr>
      <w:r>
        <w:rPr>
          <w:rFonts w:eastAsia="Times New Roman" w:ascii="Times New Roman" w:hAnsi="Times New Roman"/>
          <w:color w:val="auto"/>
          <w:sz w:val="24"/>
          <w:szCs w:val="24"/>
        </w:rPr>
        <w:t>Las mujeres, trabajadores/as</w:t>
      </w:r>
      <w:r>
        <w:rPr>
          <w:rFonts w:ascii="Times New Roman" w:hAnsi="Times New Roman"/>
          <w:color w:val="auto"/>
          <w:sz w:val="24"/>
          <w:szCs w:val="24"/>
        </w:rPr>
        <w:t xml:space="preserve">, estudiantes y vecinos/as salieron a las calles a luchar en aquella Revolución llamada el Cordobazo, allá por 1969, principalmente contra los atropellos de la dictadura militar de Onganía. Esta revuelta social significó el puntapié inicial para la ampliación y la reconfiguración de las prácticas políticas, poniendo en crisis el accionar partidario como única manera del ejercicio de </w:t>
      </w:r>
      <w:r>
        <w:rPr>
          <w:rFonts w:ascii="Times New Roman" w:hAnsi="Times New Roman"/>
          <w:i/>
          <w:color w:val="auto"/>
          <w:sz w:val="24"/>
          <w:szCs w:val="24"/>
        </w:rPr>
        <w:t>la política</w:t>
      </w:r>
      <w:r>
        <w:rPr>
          <w:rFonts w:ascii="Times New Roman" w:hAnsi="Times New Roman"/>
          <w:color w:val="auto"/>
          <w:sz w:val="24"/>
          <w:szCs w:val="24"/>
        </w:rPr>
        <w:t xml:space="preserve">, instaurando nuevas formas de </w:t>
      </w:r>
      <w:r>
        <w:rPr>
          <w:rFonts w:ascii="Times New Roman" w:hAnsi="Times New Roman"/>
          <w:i/>
          <w:color w:val="auto"/>
          <w:sz w:val="24"/>
          <w:szCs w:val="24"/>
        </w:rPr>
        <w:t xml:space="preserve">lo político </w:t>
      </w:r>
      <w:r>
        <w:rPr>
          <w:rFonts w:ascii="Times New Roman" w:hAnsi="Times New Roman"/>
          <w:color w:val="auto"/>
          <w:sz w:val="24"/>
          <w:szCs w:val="24"/>
        </w:rPr>
        <w:t xml:space="preserve">accionadas por sujetos colectivos en lucha contra el despojo del capital. </w:t>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ascii="Times New Roman" w:hAnsi="Times New Roman"/>
          <w:color w:val="auto"/>
          <w:sz w:val="24"/>
          <w:szCs w:val="24"/>
        </w:rPr>
        <w:t>A 50 años de aquella movilización, en un contexto de luchas contra el desarrollismo extractivista agro-ganadero, minero y urbanizatorio con su consecuente destrucción socioambiental estamos ante un nuevo proceso revolucionario: el Cordobazo Ambiental.</w:t>
      </w:r>
      <w:r>
        <w:rPr>
          <w:rFonts w:ascii="Times New Roman" w:hAnsi="Times New Roman"/>
          <w:color w:val="auto"/>
          <w:sz w:val="24"/>
          <w:szCs w:val="24"/>
          <w:lang w:val="es-CO"/>
        </w:rPr>
        <w:t xml:space="preserve"> </w:t>
      </w:r>
      <w:r>
        <w:rPr>
          <w:rFonts w:ascii="Times New Roman" w:hAnsi="Times New Roman"/>
          <w:color w:val="auto"/>
          <w:sz w:val="24"/>
          <w:szCs w:val="24"/>
        </w:rPr>
        <w:t>Sin embargo, a</w:t>
      </w:r>
      <w:r>
        <w:rPr>
          <w:rFonts w:ascii="Times New Roman" w:hAnsi="Times New Roman"/>
          <w:color w:val="auto"/>
          <w:sz w:val="24"/>
          <w:szCs w:val="24"/>
          <w:lang w:val="es-CO"/>
        </w:rPr>
        <w:t>sí como cambiaron los reclamos, el sujeto de lucha también cambió. No son ya obreras/os y estudiantes solidarizadas/os quienes se movilizan principalmente sino que, en la actual etapa del capitalismo, la heterogeneidad del despojo se ha profundizado a partir de prácticas extractivas de rapiña como en la época colonial</w:t>
      </w:r>
      <w:r>
        <w:rPr>
          <w:rFonts w:ascii="Times New Roman" w:hAnsi="Times New Roman"/>
          <w:color w:val="auto"/>
          <w:sz w:val="24"/>
          <w:szCs w:val="24"/>
        </w:rPr>
        <w:t xml:space="preserve"> (Zibechi, 2015)  lo que deriva en múltiples y diversos procesos sociales de lucha que movilizan a miles de personas en las sierras y en los valles, en los llanos y ciudades, consolidando verdaderas t</w:t>
      </w:r>
      <w:r>
        <w:rPr>
          <w:rFonts w:eastAsia="Times New Roman" w:ascii="Times New Roman" w:hAnsi="Times New Roman"/>
          <w:color w:val="auto"/>
          <w:sz w:val="24"/>
          <w:szCs w:val="24"/>
        </w:rPr>
        <w:t xml:space="preserve">ramas configuradoras de nuevos horizontes comunitario-populares (Gutiérrez Aguilar, 2017). Tramas territorializadas en la simbiosis socioambiental alimento-salud-trabajo-comunidad-vida y en procesos autogestivos que resisten y </w:t>
      </w:r>
      <w:r>
        <w:rPr>
          <w:rFonts w:eastAsia="Times New Roman" w:ascii="Times New Roman" w:hAnsi="Times New Roman"/>
          <w:i/>
          <w:color w:val="auto"/>
          <w:sz w:val="24"/>
          <w:szCs w:val="24"/>
        </w:rPr>
        <w:t xml:space="preserve">r-existen </w:t>
      </w:r>
      <w:r>
        <w:rPr>
          <w:rFonts w:eastAsia="Times New Roman" w:ascii="Times New Roman" w:hAnsi="Times New Roman"/>
          <w:color w:val="auto"/>
          <w:sz w:val="24"/>
          <w:szCs w:val="24"/>
        </w:rPr>
        <w:t xml:space="preserve">(Porto-Gonçalves, 2013) mediante diversas formas autoorganizativas de base. </w:t>
      </w:r>
    </w:p>
    <w:p>
      <w:pPr>
        <w:pStyle w:val="ListParagraph"/>
        <w:spacing w:lineRule="auto" w:line="360" w:before="0" w:after="0"/>
        <w:ind w:left="0" w:hanging="0"/>
        <w:contextualSpacing/>
        <w:jc w:val="both"/>
        <w:rPr>
          <w:rFonts w:ascii="Times New Roman" w:hAnsi="Times New Roman"/>
          <w:color w:val="auto"/>
        </w:rPr>
      </w:pPr>
      <w:r>
        <w:rPr>
          <w:rFonts w:ascii="Times New Roman" w:hAnsi="Times New Roman"/>
          <w:color w:val="auto"/>
        </w:rPr>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En días en que los dos principales ecosistemas sudamericanos están siendo incendiados por los hacedores de la sojización, la bovinización y la industria maderera, las fronteras de luchas se han reconfigurado en el Gran Chaco y el Amazonas, expandiéndose regionalmente al ritmo que avanza la destrucción. Esto claramente se hace visible con millones de personas movilizadas en en comunidades, pueblos y ciudades contra los negocios desarrollistas durante 2019 en toda la región. Las más de dos millones de hectáreas</w:t>
      </w:r>
      <w:r>
        <w:rPr>
          <w:rFonts w:ascii="Times New Roman" w:hAnsi="Times New Roman"/>
          <w:color w:val="auto"/>
          <w:sz w:val="24"/>
          <w:szCs w:val="24"/>
          <w:vertAlign w:val="superscript"/>
        </w:rPr>
        <w:t xml:space="preserve"> </w:t>
      </w:r>
      <w:r>
        <w:rPr>
          <w:rFonts w:ascii="Times New Roman" w:hAnsi="Times New Roman"/>
          <w:color w:val="auto"/>
          <w:sz w:val="24"/>
          <w:szCs w:val="24"/>
        </w:rPr>
        <w:t>incineradas en el Amazonas</w:t>
      </w:r>
      <w:r>
        <w:rPr>
          <w:rStyle w:val="Ancladenotaalpie"/>
          <w:rStyle w:val="Ancladenotaalpie"/>
          <w:rFonts w:ascii="Times New Roman" w:hAnsi="Times New Roman"/>
          <w:color w:val="auto"/>
          <w:sz w:val="24"/>
          <w:szCs w:val="24"/>
        </w:rPr>
        <w:footnoteReference w:id="2"/>
      </w:r>
      <w:r>
        <w:rPr>
          <w:rFonts w:ascii="Times New Roman" w:hAnsi="Times New Roman"/>
          <w:color w:val="auto"/>
          <w:sz w:val="24"/>
          <w:szCs w:val="24"/>
        </w:rPr>
        <w:t xml:space="preserve"> (INPE, 2019) y las 840.000 en el Gran Chaco, ambos casos en los ocho primeros meses del 2019,</w:t>
      </w:r>
      <w:r>
        <w:rPr>
          <w:rFonts w:ascii="Times New Roman" w:hAnsi="Times New Roman"/>
          <w:color w:val="auto"/>
          <w:sz w:val="24"/>
          <w:szCs w:val="24"/>
          <w:vertAlign w:val="superscript"/>
        </w:rPr>
        <w:t xml:space="preserve"> </w:t>
      </w:r>
      <w:r>
        <w:rPr>
          <w:rFonts w:ascii="Times New Roman" w:hAnsi="Times New Roman"/>
          <w:color w:val="auto"/>
          <w:sz w:val="24"/>
          <w:szCs w:val="24"/>
        </w:rPr>
        <w:t xml:space="preserve">tienen en su haber la expansión de la producción de soja y maíz transgénicos, que alimenta más motores y animales de corral que bocas humanas, y el corrimiento de la frontera ganadera extensiva con la ampliación del área de pasturas para la producción de carnes. La Provincia de Córdoba no ha estado exenta de esto con 150.000 hectáreas incendiadas en el último año (P.P.M.F., 2019). Gran parte de estos incendios y los subsiguientes desmontes con mega maquinarias se suman, en el caso del bosque chaqueño, a las 240.000 hectáreas anuales desmontadas en la región. </w:t>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A pesar de las leyes vigentes en materia de ordenamiento territorial y presupuestos mínimos de los bosques nativos (Ley Nacional 26.331 y Ley Provincial 9.814), de los convenios internacionales celebrados en pos de la conservación y recuperación de los bosques nativos y de los (escasos) fondos destinados al control y combate de este ecocidio, el desastre ambiental continúa. Un problema largamente conflictivizado por las comunidades locales de los centros poblados urbanos y rurales, más aún con las implicancias de la agricultura industrial en lo que a fumigaciones con agrotóxicos respecta, ya que producen graves consecuencias sobre la vida y el ambiente (Ávila Vásquez, 2012). Implicancias del sistema alimentario-nutricional y productivo del agronegocio y los alimentos ultra procesados (Balmaceda, Deon; 2019).</w:t>
      </w:r>
    </w:p>
    <w:p>
      <w:pPr>
        <w:pStyle w:val="ListParagraph"/>
        <w:spacing w:lineRule="auto" w:line="360" w:before="0" w:after="0"/>
        <w:ind w:left="0" w:hanging="0"/>
        <w:contextualSpacing/>
        <w:jc w:val="both"/>
        <w:rPr>
          <w:rFonts w:ascii="Times New Roman" w:hAnsi="Times New Roman"/>
          <w:color w:val="auto"/>
        </w:rPr>
      </w:pPr>
      <w:r>
        <w:rPr>
          <w:rFonts w:ascii="Times New Roman" w:hAnsi="Times New Roman"/>
          <w:color w:val="auto"/>
        </w:rPr>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No es llamativo entonces que, como plantean en el comunicado por el Cordobazo Ambiental, “</w:t>
      </w:r>
      <w:r>
        <w:rPr>
          <w:rStyle w:val="Destacado"/>
          <w:rFonts w:ascii="Times New Roman" w:hAnsi="Times New Roman"/>
          <w:i w:val="false"/>
          <w:iCs w:val="false"/>
          <w:color w:val="auto"/>
          <w:sz w:val="24"/>
          <w:szCs w:val="24"/>
        </w:rPr>
        <w:t>organizaciones y colectivos se unan para hacer escuchar sus voces y reclamos en contra del desmonte, la especulación inmobiliaria, la contaminación en zonas urbanas, las fumigaciones y sus impactos en los ecosistemas y en la salud, la Ley de Semillas que busca aprobarse en detrimento de la soberanía alimentaria, entre otros tantos conflictos socio-ambientales que atraviesa la provincia y el país. (…)</w:t>
      </w:r>
      <w:r>
        <w:rPr>
          <w:rStyle w:val="Destacado"/>
          <w:rFonts w:ascii="Times New Roman" w:hAnsi="Times New Roman"/>
          <w:color w:val="auto"/>
          <w:sz w:val="24"/>
          <w:szCs w:val="24"/>
        </w:rPr>
        <w:t xml:space="preserve"> </w:t>
      </w:r>
      <w:r>
        <w:rPr>
          <w:rFonts w:ascii="Times New Roman" w:hAnsi="Times New Roman"/>
          <w:color w:val="auto"/>
          <w:sz w:val="24"/>
          <w:szCs w:val="24"/>
        </w:rPr>
        <w:t>Movilizadxs por la lucha, la rebelión popular y la fuerza colectiva, que nos inspira el aniversario del Cordobazo, consideramos urgente la necesidad de convergencia para la realización de una acción que reivindique nuestros derechos humanos a la salud y a habitar en un ambiente sano, seguro y equilibrado” (doc. 30-5-2019)</w:t>
      </w:r>
    </w:p>
    <w:p>
      <w:pPr>
        <w:pStyle w:val="ListParagraph"/>
        <w:spacing w:lineRule="auto" w:line="360" w:before="0" w:after="0"/>
        <w:ind w:left="0" w:hanging="0"/>
        <w:contextualSpacing/>
        <w:jc w:val="both"/>
        <w:rPr>
          <w:rFonts w:ascii="Times New Roman" w:hAnsi="Times New Roman"/>
          <w:color w:val="auto"/>
        </w:rPr>
      </w:pPr>
      <w:r>
        <w:rPr>
          <w:rFonts w:ascii="Times New Roman" w:hAnsi="Times New Roman"/>
          <w:color w:val="auto"/>
        </w:rPr>
      </w:r>
    </w:p>
    <w:p>
      <w:pPr>
        <w:pStyle w:val="ListParagraph"/>
        <w:spacing w:lineRule="auto" w:line="360" w:before="0" w:after="0"/>
        <w:ind w:left="0" w:hanging="0"/>
        <w:contextualSpacing/>
        <w:jc w:val="both"/>
        <w:rPr/>
      </w:pPr>
      <w:r>
        <w:rPr>
          <w:rFonts w:eastAsia="Times New Roman" w:ascii="Times New Roman" w:hAnsi="Times New Roman"/>
          <w:color w:val="auto"/>
          <w:sz w:val="24"/>
          <w:szCs w:val="24"/>
        </w:rPr>
        <w:t xml:space="preserve">El Cordobazo Ambiental, como emergente socio-ambiental, visibiliza diversas territorialidades en lucha dentro y fuera de lógicas estado-céntricas que, desde los territorios, resisten al desarrollismo inmobiliario, minero y del agronegocio </w:t>
      </w:r>
      <w:r>
        <w:rPr>
          <w:rFonts w:eastAsia="Times New Roman" w:ascii="Times New Roman" w:hAnsi="Times New Roman"/>
          <w:color w:val="auto"/>
          <w:sz w:val="24"/>
          <w:szCs w:val="24"/>
        </w:rPr>
        <w:t>(Ver anexo, Cuadro 1)</w:t>
      </w:r>
      <w:r>
        <w:rPr>
          <w:rFonts w:eastAsia="Times New Roman" w:ascii="Times New Roman" w:hAnsi="Times New Roman"/>
          <w:color w:val="auto"/>
          <w:sz w:val="24"/>
          <w:szCs w:val="24"/>
        </w:rPr>
        <w:t xml:space="preserve">. </w:t>
      </w:r>
      <w:r>
        <w:rPr>
          <w:rFonts w:ascii="Times New Roman" w:hAnsi="Times New Roman"/>
          <w:color w:val="auto"/>
          <w:sz w:val="24"/>
          <w:szCs w:val="24"/>
        </w:rPr>
        <w:t xml:space="preserve">Una trama, un tejido, una red de sujetos/as en y de lucha que accionan desde la resistencia organizada mediante dispositivos comunicativos, artísticos y políticos para subvertir el sistema desarrollista imperante. </w:t>
      </w:r>
      <w:r>
        <w:rPr>
          <w:rFonts w:eastAsia="Times New Roman" w:ascii="Times New Roman" w:hAnsi="Times New Roman"/>
          <w:color w:val="auto"/>
          <w:sz w:val="24"/>
          <w:szCs w:val="24"/>
        </w:rPr>
        <w:t>Accionares colectivos que impugnan la ley del desmonte del bosque nativo, mega-obras viales e hídricas (públicas y/o privadas), la creación de Parques Nacionales, articulando con resistencias obreras movilizadas contra el expolio de bienes comunes.</w:t>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eastAsia="Times New Roman" w:ascii="Times New Roman" w:hAnsi="Times New Roman"/>
          <w:color w:val="auto"/>
          <w:sz w:val="24"/>
          <w:szCs w:val="24"/>
        </w:rPr>
        <w:t>En el presente trabajo proponemos acercarnos a las luchas del Cordobazo Ambiental desde una metodología de escucha-acción-investigación cualitativa y descriptiva de las problemáticas y las resistencias, mapeando las luchas que buscan impugnar el desarrollismo extractivista agro-ganadero, de las mega-obras del desarrollo y de planes gubernamentales para desmontar el 3% de bosques naturales nativos que quedan en la provincia en manos del complejo desarrollista local y transnacional.</w:t>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eastAsia="Times New Roman" w:ascii="Times New Roman" w:hAnsi="Times New Roman"/>
          <w:color w:val="auto"/>
          <w:sz w:val="24"/>
          <w:szCs w:val="24"/>
        </w:rPr>
      </w:r>
    </w:p>
    <w:p>
      <w:pPr>
        <w:pStyle w:val="ListParagraph"/>
        <w:spacing w:lineRule="auto" w:line="360" w:before="0" w:after="0"/>
        <w:ind w:left="0" w:hanging="0"/>
        <w:contextualSpacing/>
        <w:jc w:val="both"/>
        <w:rPr>
          <w:rFonts w:ascii="Times New Roman" w:hAnsi="Times New Roman"/>
          <w:color w:val="auto"/>
        </w:rPr>
      </w:pPr>
      <w:r>
        <w:rPr>
          <w:rFonts w:ascii="Times New Roman" w:hAnsi="Times New Roman"/>
          <w:color w:val="auto"/>
        </w:rPr>
      </w:r>
    </w:p>
    <w:p>
      <w:pPr>
        <w:pStyle w:val="ListParagraph"/>
        <w:spacing w:lineRule="auto" w:line="360" w:before="0" w:after="0"/>
        <w:ind w:left="0" w:hanging="0"/>
        <w:contextualSpacing/>
        <w:jc w:val="both"/>
        <w:rPr>
          <w:rFonts w:ascii="Times New Roman" w:hAnsi="Times New Roman" w:eastAsia="Times New Roman"/>
          <w:b/>
          <w:b/>
          <w:color w:val="auto"/>
          <w:sz w:val="24"/>
          <w:szCs w:val="24"/>
        </w:rPr>
      </w:pPr>
      <w:r>
        <w:rPr>
          <w:rFonts w:eastAsia="Times New Roman" w:ascii="Times New Roman" w:hAnsi="Times New Roman"/>
          <w:b/>
          <w:color w:val="auto"/>
          <w:sz w:val="24"/>
          <w:szCs w:val="24"/>
        </w:rPr>
        <w:t>Mapear una provincia desarrollista</w:t>
      </w:r>
    </w:p>
    <w:p>
      <w:pPr>
        <w:pStyle w:val="ListParagraph"/>
        <w:spacing w:lineRule="auto" w:line="360" w:before="0" w:after="0"/>
        <w:ind w:left="0" w:hanging="0"/>
        <w:contextualSpacing/>
        <w:jc w:val="both"/>
        <w:rPr>
          <w:rFonts w:ascii="Times New Roman" w:hAnsi="Times New Roman" w:eastAsia="Times New Roman"/>
          <w:b/>
          <w:b/>
          <w:color w:val="auto"/>
          <w:sz w:val="24"/>
          <w:szCs w:val="24"/>
        </w:rPr>
      </w:pPr>
      <w:r>
        <w:rPr>
          <w:rFonts w:eastAsia="Times New Roman" w:ascii="Times New Roman" w:hAnsi="Times New Roman"/>
          <w:b/>
          <w:color w:val="auto"/>
          <w:sz w:val="24"/>
          <w:szCs w:val="24"/>
        </w:rPr>
      </w:r>
    </w:p>
    <w:p>
      <w:pPr>
        <w:pStyle w:val="ListParagraph"/>
        <w:spacing w:lineRule="auto" w:line="360" w:before="0" w:after="0"/>
        <w:ind w:left="0" w:hanging="0"/>
        <w:contextualSpacing/>
        <w:jc w:val="both"/>
        <w:rPr/>
      </w:pPr>
      <w:r>
        <w:rPr>
          <w:rFonts w:eastAsia="Times New Roman" w:ascii="Times New Roman" w:hAnsi="Times New Roman"/>
          <w:color w:val="auto"/>
          <w:sz w:val="24"/>
          <w:szCs w:val="24"/>
        </w:rPr>
        <w:t xml:space="preserve">La provincia de Córdoba dista mucho de aquellos aires revolucionarios de los ’70. En las últimas tres elecciones nacionales (presidencial 2015, senadores/as y diputados/as 2017 y presidencial primera vuelta 2019) se consagró la derecha con un protagonismo central de Cambiemos </w:t>
      </w:r>
      <w:r>
        <w:rPr>
          <w:rFonts w:eastAsia="Times New Roman" w:ascii="Times New Roman" w:hAnsi="Times New Roman"/>
          <w:color w:val="auto"/>
          <w:sz w:val="24"/>
          <w:szCs w:val="24"/>
        </w:rPr>
        <w:t>y Juntos por el Cambio</w:t>
      </w:r>
      <w:r>
        <w:rPr>
          <w:rFonts w:eastAsia="Times New Roman" w:ascii="Times New Roman" w:hAnsi="Times New Roman"/>
          <w:color w:val="auto"/>
          <w:sz w:val="24"/>
          <w:szCs w:val="24"/>
        </w:rPr>
        <w:t xml:space="preserve">, partido político del actual presidente el empresario Mauricio Macri, y desde 1999 es gobernada por el Partido Justicialista de manera alternada entre José Manuel de la Sota y Juan Schiaretti.  </w:t>
      </w:r>
    </w:p>
    <w:p>
      <w:pPr>
        <w:pStyle w:val="ListParagraph"/>
        <w:spacing w:lineRule="auto" w:line="360" w:before="0" w:after="0"/>
        <w:ind w:left="0" w:hanging="0"/>
        <w:contextualSpacing/>
        <w:jc w:val="both"/>
        <w:rPr>
          <w:rFonts w:ascii="Times New Roman" w:hAnsi="Times New Roman"/>
          <w:color w:val="auto"/>
        </w:rPr>
      </w:pPr>
      <w:r>
        <w:rPr>
          <w:rFonts w:eastAsia="Times New Roman" w:ascii="Times New Roman" w:hAnsi="Times New Roman"/>
          <w:color w:val="auto"/>
          <w:sz w:val="24"/>
          <w:szCs w:val="24"/>
        </w:rPr>
        <w:t xml:space="preserve">Pero en otros mapas, los de las luchas socio-ambientales, el territorio cordobés emerge como un gran puño cerrado sostenido por miles de personas con sus brazos en alto y caras dibujadas con animales, forestado con tackús, aromitos, flores de sacha huasca, con ramos de peperina, de suico, nutrido con alimentos agroecológicos cosechados (calabazas, papas, acelgas, algarrobas, </w:t>
      </w:r>
      <w:r>
        <w:rPr>
          <w:rFonts w:eastAsia="Times New Roman" w:ascii="Times New Roman" w:hAnsi="Times New Roman"/>
          <w:color w:val="auto"/>
          <w:sz w:val="24"/>
          <w:szCs w:val="24"/>
        </w:rPr>
        <w:t>chañares</w:t>
      </w:r>
      <w:r>
        <w:rPr>
          <w:rFonts w:eastAsia="Times New Roman" w:ascii="Times New Roman" w:hAnsi="Times New Roman"/>
          <w:color w:val="auto"/>
          <w:sz w:val="24"/>
          <w:szCs w:val="24"/>
        </w:rPr>
        <w:t xml:space="preserve">). Un puño de cuerpos sensibles y manos en lucha que desde hace décadas resisten desde la micropolítica de lo cotidiano, la producción de alimentos en el monte, el labrado de la tierra, del mate compartido en largas asambleas y de los abrazos al hacer comidas en las marchas, encuentros y acampes, escuchando a cantoras y músicos serranos ponerle poesía a la lucha; puños de sujetos/as en lucha, de estar sujetas/os a la lucha. </w:t>
      </w:r>
    </w:p>
    <w:p>
      <w:pPr>
        <w:pStyle w:val="ListParagraph"/>
        <w:spacing w:lineRule="auto" w:line="360" w:before="0" w:after="0"/>
        <w:ind w:left="0" w:hanging="0"/>
        <w:contextualSpacing/>
        <w:jc w:val="both"/>
        <w:rPr/>
      </w:pPr>
      <w:r>
        <w:rPr>
          <w:rFonts w:eastAsia="Times New Roman" w:ascii="Times New Roman" w:hAnsi="Times New Roman"/>
          <w:color w:val="auto"/>
          <w:sz w:val="24"/>
          <w:szCs w:val="24"/>
        </w:rPr>
        <w:t>Y este gran puño socioambiental se abre para mapear. Entraremos a la arrugada hoja de lo escrito en la asamblea de Tribunales en 201</w:t>
      </w:r>
      <w:r>
        <w:rPr>
          <w:rFonts w:eastAsia="Times New Roman" w:ascii="Times New Roman" w:hAnsi="Times New Roman"/>
          <w:color w:val="auto"/>
          <w:sz w:val="24"/>
          <w:szCs w:val="24"/>
        </w:rPr>
        <w:t>7</w:t>
      </w:r>
      <w:r>
        <w:rPr>
          <w:rFonts w:eastAsia="Times New Roman" w:ascii="Times New Roman" w:hAnsi="Times New Roman"/>
          <w:strike w:val="false"/>
          <w:dstrike w:val="false"/>
          <w:color w:val="auto"/>
          <w:sz w:val="24"/>
          <w:szCs w:val="24"/>
        </w:rPr>
        <w:t>,</w:t>
      </w:r>
      <w:r>
        <w:rPr>
          <w:rFonts w:eastAsia="Times New Roman" w:ascii="Times New Roman" w:hAnsi="Times New Roman"/>
          <w:color w:val="auto"/>
          <w:sz w:val="24"/>
          <w:szCs w:val="24"/>
        </w:rPr>
        <w:t xml:space="preserve"> donde se construyó el mapa de la resistencia cordobesa con integrantes de 180 asambleas y organizaciones de base, en el año mismo del centenario de la Reforma Universitaria. En este mapa late la reforma social del Cordobazo Ambiental. </w:t>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eastAsia="Times New Roman" w:ascii="Times New Roman" w:hAnsi="Times New Roman"/>
          <w:color w:val="auto"/>
          <w:sz w:val="24"/>
          <w:szCs w:val="24"/>
        </w:rPr>
        <w:t xml:space="preserve">Las ciudades como espacio de encuentro y de hábitat, de producción de lo común y de lucha por lo común, encontraron en la previa del verano de 2017 a miles de personas movilizadas intentando frenar a la Cámara de Empresarios Mineros de la Provincia, </w:t>
      </w:r>
      <w:r>
        <w:rPr>
          <w:rFonts w:eastAsia="Times New Roman" w:ascii="Times New Roman" w:hAnsi="Times New Roman"/>
          <w:strike/>
          <w:color w:val="auto"/>
          <w:sz w:val="24"/>
          <w:szCs w:val="24"/>
        </w:rPr>
        <w:t>a</w:t>
      </w:r>
      <w:r>
        <w:rPr>
          <w:rFonts w:eastAsia="Times New Roman" w:ascii="Times New Roman" w:hAnsi="Times New Roman"/>
          <w:color w:val="auto"/>
          <w:sz w:val="24"/>
          <w:szCs w:val="24"/>
        </w:rPr>
        <w:t xml:space="preserve"> la Confederación de Asociaciones Rurales de la Tercera Zona (CARTEZ, unión de Sociedades Rurales y Ganaderas), y la </w:t>
      </w:r>
      <w:r>
        <w:rPr>
          <w:rStyle w:val="Destacado"/>
          <w:rFonts w:eastAsia="Times New Roman" w:ascii="Times New Roman" w:hAnsi="Times New Roman"/>
          <w:i w:val="false"/>
          <w:iCs w:val="false"/>
          <w:color w:val="auto"/>
          <w:sz w:val="24"/>
          <w:szCs w:val="24"/>
        </w:rPr>
        <w:t xml:space="preserve">Cámara Empresarial de Desarrollistas Urbanos </w:t>
      </w:r>
      <w:r>
        <w:rPr>
          <w:rFonts w:eastAsia="Times New Roman" w:ascii="Times New Roman" w:hAnsi="Times New Roman"/>
          <w:color w:val="auto"/>
          <w:sz w:val="24"/>
          <w:szCs w:val="24"/>
        </w:rPr>
        <w:t xml:space="preserve">de </w:t>
      </w:r>
      <w:r>
        <w:rPr>
          <w:rStyle w:val="Destacado"/>
          <w:rFonts w:eastAsia="Times New Roman" w:ascii="Times New Roman" w:hAnsi="Times New Roman"/>
          <w:i w:val="false"/>
          <w:iCs w:val="false"/>
          <w:color w:val="auto"/>
          <w:sz w:val="24"/>
          <w:szCs w:val="24"/>
        </w:rPr>
        <w:t>Córdoba</w:t>
      </w:r>
      <w:r>
        <w:rPr>
          <w:rFonts w:eastAsia="Times New Roman" w:ascii="Times New Roman" w:hAnsi="Times New Roman"/>
          <w:color w:val="auto"/>
          <w:sz w:val="24"/>
          <w:szCs w:val="24"/>
        </w:rPr>
        <w:t xml:space="preserve"> (CEDUC) que buscaban aprobar una actualización del Ordenamiento Territorial de los Bosques Nativos de Córdoba (OTBN), completamente depredatorio de los pocos bosques nativos sobrevivientes, matorrales emergentes, pastizales y romerillares que quedan en la provincia. Esta masiva convocatoria ocurrió a sólo un año y medio de las catástrofes ambientales de Sierras Chicas y el Sur de Córdoba que se cobraron 22 vidas producto de las lluvias y las inundaciones, agravadas por el desmonte y los incendios del período 2011-2014.</w:t>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eastAsia="Times New Roman" w:ascii="Times New Roman" w:hAnsi="Times New Roman"/>
          <w:color w:val="auto"/>
          <w:sz w:val="24"/>
          <w:szCs w:val="24"/>
        </w:rPr>
        <w:t xml:space="preserve">Por ese entonces, las Madres de Barrió Ituzaingó celebraban los 15 años de su accionar colectivo sujetas a la lucha con el corolario del juicio por contaminación y muerte por fumigaciones en el barrio Ituzaingó Anexo, que declaró culpables y condenó a 3 años de prisión condicional a los primeros técnicos y aéroaplicadores de agrotóxicos detenidos y enjuiciados en toda América Latina.  </w:t>
      </w:r>
    </w:p>
    <w:p>
      <w:pPr>
        <w:pStyle w:val="ListParagraph"/>
        <w:spacing w:lineRule="auto" w:line="360" w:before="0" w:after="0"/>
        <w:ind w:left="0" w:hanging="0"/>
        <w:contextualSpacing/>
        <w:jc w:val="both"/>
        <w:rPr>
          <w:rFonts w:ascii="Times New Roman" w:hAnsi="Times New Roman"/>
          <w:color w:val="auto"/>
        </w:rPr>
      </w:pPr>
      <w:r>
        <w:rPr>
          <w:rFonts w:eastAsia="Times New Roman" w:ascii="Times New Roman" w:hAnsi="Times New Roman"/>
          <w:color w:val="auto"/>
          <w:sz w:val="24"/>
          <w:szCs w:val="24"/>
        </w:rPr>
        <w:t xml:space="preserve">Cerca de allí, en barrio Inaudi, la organización de Vecinos Unidos en Defensa del Ambiente Seguro (VUDAS) denunciaba la profundización del conflicto por las enfermedades ocasionadas a raíz de las emanaciones tóxicas de la planta de bioetanol de Porta Hermanos, cuyas emanaciones continúan contaminando el barrio y afectando la salud de la población con alergias, cáncer y mal formaciones en recién nacidos/as. </w:t>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eastAsia="Times New Roman" w:ascii="Times New Roman" w:hAnsi="Times New Roman"/>
          <w:color w:val="auto"/>
          <w:sz w:val="24"/>
          <w:szCs w:val="24"/>
        </w:rPr>
        <w:t xml:space="preserve">En Cosquín, por décima vez se realiza la Marcha por la Tierra, el Agua y los Bosques convocando a unas 10.000 personas y transformando una vez más el escenario mayor del Festival Nacional de Folclore en un espacio para la visibilización de las luchas socioambientales con canciones, poemas, danzas, expresiones artísticas y variopintas voces que enardecieron al público al grito de Basta de Desmontes, NO a la contaminación de los arroyos, entre otras. Ciudad en la que, el 17 de en Abril de 2019, se lograra la aprobación en el Concejo Deliberante de la prohibición de las fumigaciones con agrotóxicos en el ejido urbano y en zonas de reserva, transformándose en la localidad número 22 que lo hacía en la provincia, hasta que el reelecto intendente Gabriel Musso vetara la Ordenanza el 7 de mayo pasado tras ganar las elecciones, aduciendo que se perderían los ingresos del municipio por buenas prácticas agropecuarias. Este nefasto hecho marca la necesidad de profundizar la vigilancia y el trabajo en los procesos de autorganización socioambiental de base. </w:t>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 xml:space="preserve">El proyecto Cimas de Nono en Traslasierra, que duplicaría la población del pueblo con una microciudad satélite a orillas del Río de Los Sauces, y se apropiaría de los valores culturales de Nono en un claro proceso de gentrificación y contaminación de la cuenca, encontró la oposición colectiva del pueblo. Al calor de las manifestaciones, rememorando la catástrofe de las Sierras Chicas y mientras se juntaban firmas manifestando el rechazo en el cálido verano de 2017, se confluía en la lucha contra la modificación de la Ley de Bosques que surgió como un nuevo pisoteo a los saberes colectivos, un nuevo engaño a la distorsión de una ley que, aunque escasa, protegía nominalmente lo que queda de la codicia y de la depredación al bosque nativo. </w:t>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eastAsia="Times New Roman" w:ascii="Times New Roman" w:hAnsi="Times New Roman"/>
          <w:color w:val="auto"/>
          <w:sz w:val="24"/>
          <w:szCs w:val="24"/>
        </w:rPr>
        <w:t>Las Tapias, también en el gran territorio de Traslasierra, que en el 2008 logra</w:t>
      </w:r>
      <w:r>
        <w:rPr>
          <w:rFonts w:eastAsia="Times New Roman" w:ascii="Times New Roman" w:hAnsi="Times New Roman"/>
          <w:strike/>
          <w:color w:val="auto"/>
          <w:sz w:val="24"/>
          <w:szCs w:val="24"/>
        </w:rPr>
        <w:t>ra</w:t>
      </w:r>
      <w:r>
        <w:rPr>
          <w:rFonts w:eastAsia="Times New Roman" w:ascii="Times New Roman" w:hAnsi="Times New Roman"/>
          <w:color w:val="auto"/>
          <w:sz w:val="24"/>
          <w:szCs w:val="24"/>
        </w:rPr>
        <w:t xml:space="preserve"> expulsar a la CNEA que buscaba uranio en la quebrada del río de Nono, ahora enfrenta una nueva lucha  tras tomar conocimiento del proyecto para la explotación de una mina de litio en las sierras. Hecho que movilizara nuevamente al valle entero contra este proyecto y contra una veintena más en otras localidades de la costa transerrana que incluyen el desmonte ganadero, la muerte por fumigaciones de 72 millones de abejas en Luyaba, los incendios forestales en La Paz y Luyaba, y el intento de freno a los loteos financiados por la renta sojera.</w:t>
      </w:r>
    </w:p>
    <w:p>
      <w:pPr>
        <w:pStyle w:val="ListParagraph"/>
        <w:spacing w:lineRule="auto" w:line="360" w:before="0" w:after="0"/>
        <w:ind w:left="0" w:hanging="0"/>
        <w:contextualSpacing/>
        <w:jc w:val="both"/>
        <w:rPr>
          <w:rFonts w:ascii="Times New Roman" w:hAnsi="Times New Roman"/>
          <w:color w:val="auto"/>
        </w:rPr>
      </w:pPr>
      <w:r>
        <w:rPr>
          <w:rFonts w:ascii="Times New Roman" w:hAnsi="Times New Roman"/>
          <w:color w:val="auto"/>
        </w:rPr>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eastAsia="Times New Roman" w:ascii="Times New Roman" w:hAnsi="Times New Roman"/>
          <w:color w:val="auto"/>
          <w:sz w:val="24"/>
          <w:szCs w:val="24"/>
        </w:rPr>
        <w:t>Río Cuarto, sin dudarlo, se movilizó para rechazar la llegada de Monsanto a la ciudad, tras ser expulsada de Malvinas Argentinas, quedando sin licencia social para la producción de semillas transgénicas y agrotóxicos en toda la provincia, y sumándose otro triunfo contra esta transnacional, aunque luego fuera comprada y revitalizada por Bayer.</w:t>
      </w:r>
    </w:p>
    <w:p>
      <w:pPr>
        <w:pStyle w:val="ListParagraph"/>
        <w:spacing w:lineRule="auto" w:line="360" w:before="0" w:after="0"/>
        <w:ind w:left="0" w:hanging="0"/>
        <w:contextualSpacing/>
        <w:jc w:val="both"/>
        <w:rPr>
          <w:rFonts w:ascii="Times New Roman" w:hAnsi="Times New Roman"/>
          <w:color w:val="auto"/>
        </w:rPr>
      </w:pPr>
      <w:r>
        <w:rPr>
          <w:rFonts w:ascii="Times New Roman" w:hAnsi="Times New Roman"/>
          <w:color w:val="auto"/>
        </w:rPr>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eastAsia="Times New Roman" w:ascii="Times New Roman" w:hAnsi="Times New Roman"/>
          <w:color w:val="auto"/>
          <w:sz w:val="24"/>
          <w:szCs w:val="24"/>
        </w:rPr>
        <w:t>Los/as pobladores/as de San José de la Quintana y de Saldán expulsaron a las canteras que pretendían producir triturados graníticos para caminos de las áreas sojeras. Los/as vecinos/as de La Calera lograron también frenar la cantera Rumy. Pero la producción extractivista de la cantera de Villa Allende, (El Gran Ombú S.A.) aún no pudo ser detenida, quizás por ser la ciudad-golf hogar de muchos de los propietarios de empresas como PORTA Hermanos, CEMINCOR, CARTEZ, CEOs de Next Agro, Grupo Roggio, entre otros.</w:t>
      </w:r>
    </w:p>
    <w:p>
      <w:pPr>
        <w:pStyle w:val="ListParagraph"/>
        <w:spacing w:lineRule="auto" w:line="360" w:before="0" w:after="0"/>
        <w:ind w:left="0" w:hanging="0"/>
        <w:contextualSpacing/>
        <w:jc w:val="both"/>
        <w:rPr>
          <w:rFonts w:ascii="Times New Roman" w:hAnsi="Times New Roman"/>
          <w:color w:val="auto"/>
        </w:rPr>
      </w:pPr>
      <w:r>
        <w:rPr>
          <w:rFonts w:ascii="Times New Roman" w:hAnsi="Times New Roman"/>
          <w:color w:val="auto"/>
        </w:rPr>
      </w:r>
    </w:p>
    <w:p>
      <w:pPr>
        <w:pStyle w:val="ListParagraph"/>
        <w:spacing w:lineRule="auto" w:line="360" w:before="0" w:after="0"/>
        <w:ind w:left="0" w:hanging="0"/>
        <w:contextualSpacing/>
        <w:jc w:val="both"/>
        <w:rPr>
          <w:rFonts w:ascii="Times New Roman" w:hAnsi="Times New Roman" w:eastAsia="Times New Roman"/>
          <w:color w:val="auto"/>
          <w:sz w:val="24"/>
          <w:szCs w:val="24"/>
        </w:rPr>
      </w:pPr>
      <w:r>
        <w:rPr>
          <w:rFonts w:eastAsia="Times New Roman" w:ascii="Times New Roman" w:hAnsi="Times New Roman"/>
          <w:color w:val="auto"/>
          <w:sz w:val="24"/>
          <w:szCs w:val="24"/>
        </w:rPr>
        <w:t>Algunas ciudades y pueblos como Mendiolaza, San Francisco, Canals</w:t>
      </w:r>
      <w:r>
        <w:rPr>
          <w:rFonts w:eastAsia="Times New Roman" w:ascii="Times New Roman" w:hAnsi="Times New Roman"/>
          <w:strike/>
          <w:color w:val="auto"/>
          <w:sz w:val="24"/>
          <w:szCs w:val="24"/>
        </w:rPr>
        <w:t xml:space="preserve"> </w:t>
      </w:r>
      <w:r>
        <w:rPr>
          <w:rFonts w:eastAsia="Times New Roman" w:ascii="Times New Roman" w:hAnsi="Times New Roman"/>
          <w:color w:val="auto"/>
          <w:sz w:val="24"/>
          <w:szCs w:val="24"/>
        </w:rPr>
        <w:t>y Viamonte, lograron la prohibición de las fumigaciones en áreas urbanas y hoy buscan controlarla. La Comuna de Dique Chico también lo consiguió, a pesar de que los grandes productores del agronegocio se encadenaron en la Comuna con ovejas y gallinas alquiladas para evitarlo. Sin embargo, en el norte de la provincia, el Agronegocio del Sur Global continuó avanzando en el Chaco seco, desmontándose unas 120.000 hectáreas en sólo 5 años, a razón de 2.000 hectáreas mensuales.</w:t>
      </w:r>
    </w:p>
    <w:p>
      <w:pPr>
        <w:pStyle w:val="ListParagraph"/>
        <w:spacing w:lineRule="auto" w:line="360" w:before="0" w:after="0"/>
        <w:ind w:left="0" w:hanging="0"/>
        <w:contextualSpacing/>
        <w:jc w:val="both"/>
        <w:rPr>
          <w:rFonts w:ascii="Times New Roman" w:hAnsi="Times New Roman"/>
          <w:color w:val="auto"/>
        </w:rPr>
      </w:pPr>
      <w:r>
        <w:rPr>
          <w:rFonts w:ascii="Times New Roman" w:hAnsi="Times New Roman"/>
          <w:color w:val="auto"/>
        </w:rPr>
      </w:r>
    </w:p>
    <w:p>
      <w:pPr>
        <w:pStyle w:val="ListParagraph"/>
        <w:spacing w:lineRule="auto" w:line="360" w:before="0" w:after="0"/>
        <w:ind w:left="0" w:hanging="0"/>
        <w:contextualSpacing/>
        <w:jc w:val="both"/>
        <w:rPr/>
      </w:pPr>
      <w:r>
        <w:rPr>
          <w:rFonts w:eastAsia="Times New Roman" w:ascii="Times New Roman" w:hAnsi="Times New Roman"/>
          <w:sz w:val="24"/>
          <w:szCs w:val="24"/>
        </w:rPr>
        <w:t xml:space="preserve">En este mapeo de la colonialidad interna hay una dimensionalidad que son las cuencas serranas que resumen territorialmente el despojo de la tierra y el monte (el bosque nativo del Chaco Serrano Semi-árido). Los conflictos suscitados en la provincia en las últimas tres décadas se deben sobre todo a la baja disponibilidad de agua (debido a la apropiación del agua en explotaciones superficiales o subterráneas por privados) y a las inundaciones (provocadas en gran parte por los desmontes en las cuencas a manos de grupos desarrollistas inmobiliarios para apertura de calles y proyectos de urbanización </w:t>
      </w:r>
      <w:r>
        <w:rPr>
          <w:rFonts w:eastAsia="Times New Roman" w:ascii="Times New Roman" w:hAnsi="Times New Roman"/>
          <w:sz w:val="24"/>
          <w:szCs w:val="24"/>
        </w:rPr>
        <w:t xml:space="preserve">cerrada de elite, </w:t>
      </w:r>
      <w:r>
        <w:rPr>
          <w:rFonts w:eastAsia="Times New Roman" w:ascii="Times New Roman" w:hAnsi="Times New Roman"/>
          <w:sz w:val="24"/>
          <w:szCs w:val="24"/>
        </w:rPr>
        <w:t>complejos de cabañas y hoteles</w:t>
      </w:r>
      <w:r>
        <w:rPr>
          <w:rFonts w:eastAsia="Times New Roman" w:ascii="Times New Roman" w:hAnsi="Times New Roman"/>
          <w:sz w:val="24"/>
          <w:szCs w:val="24"/>
        </w:rPr>
        <w:t>). Grupos empresarios mayormente especuladores con la tierra, el fuego de los incendios que intencionalmente causan y las  comercializaciones posteriores de inmueble</w:t>
      </w:r>
      <w:r>
        <w:rPr>
          <w:rFonts w:eastAsia="Times New Roman" w:ascii="Liberation Serif" w:hAnsi="Liberation Serif"/>
          <w:sz w:val="24"/>
          <w:szCs w:val="24"/>
        </w:rPr>
        <w:t xml:space="preserve">s asociadas a movilidades del turismo y las migraciones de amenidad. </w:t>
      </w:r>
    </w:p>
    <w:p>
      <w:pPr>
        <w:pStyle w:val="ListParagraph"/>
        <w:spacing w:lineRule="auto" w:line="360" w:before="0" w:after="0"/>
        <w:ind w:left="0" w:hanging="0"/>
        <w:contextualSpacing/>
        <w:jc w:val="both"/>
        <w:rPr>
          <w:rFonts w:ascii="Liberation Serif" w:hAnsi="Liberation Serif" w:eastAsia="Times New Roman"/>
          <w:sz w:val="24"/>
          <w:szCs w:val="24"/>
        </w:rPr>
      </w:pPr>
      <w:r>
        <w:rPr>
          <w:rFonts w:eastAsia="Times New Roman" w:ascii="Liberation Serif" w:hAnsi="Liberation Serif"/>
          <w:sz w:val="24"/>
          <w:szCs w:val="24"/>
        </w:rPr>
      </w:r>
    </w:p>
    <w:p>
      <w:pPr>
        <w:pStyle w:val="ListParagraph"/>
        <w:spacing w:lineRule="auto" w:line="360" w:before="0" w:after="0"/>
        <w:ind w:left="0" w:hanging="0"/>
        <w:contextualSpacing/>
        <w:jc w:val="both"/>
        <w:rPr/>
      </w:pPr>
      <w:r>
        <w:rPr>
          <w:rFonts w:eastAsia="Times New Roman" w:ascii="Liberation Serif" w:hAnsi="Liberation Serif"/>
          <w:sz w:val="24"/>
          <w:szCs w:val="24"/>
        </w:rPr>
        <w:t xml:space="preserve">Esa residencialidad rururbana, que como exurbanización (extensión urbana sobre áreas naturales) </w:t>
      </w:r>
      <w:r>
        <w:rPr>
          <w:rFonts w:eastAsia="Times New Roman" w:ascii="Liberation Serif" w:hAnsi="Liberation Serif"/>
          <w:sz w:val="24"/>
          <w:szCs w:val="24"/>
        </w:rPr>
        <w:t xml:space="preserve">y/con migración de amenities, </w:t>
      </w:r>
      <w:r>
        <w:rPr>
          <w:rFonts w:eastAsia="Times New Roman" w:ascii="Liberation Serif" w:hAnsi="Liberation Serif"/>
          <w:sz w:val="24"/>
          <w:szCs w:val="24"/>
        </w:rPr>
        <w:t xml:space="preserve">se profundiza con un modelo configurador del extractivismo urbano-inmobiliario serrano; </w:t>
      </w:r>
      <w:r>
        <w:rPr>
          <w:rFonts w:eastAsia="Times New Roman" w:ascii="Liberation Serif" w:hAnsi="Liberation Serif"/>
          <w:sz w:val="24"/>
          <w:szCs w:val="24"/>
        </w:rPr>
        <w:t>contribuyendo</w:t>
      </w:r>
      <w:r>
        <w:rPr>
          <w:rFonts w:eastAsia="Times New Roman" w:ascii="Liberation Serif" w:hAnsi="Liberation Serif"/>
          <w:sz w:val="24"/>
          <w:szCs w:val="24"/>
        </w:rPr>
        <w:t xml:space="preserve"> a las problemáticas ambientales y a sus contradicciones en el desarrollo de centros turísticos de las sierras de Córdoba, algo que también se repite en las áreas de montaña en Argentina, como lo trabajan González, Otero y otros (2009).</w:t>
      </w:r>
    </w:p>
    <w:p>
      <w:pPr>
        <w:pStyle w:val="ListParagraph"/>
        <w:spacing w:lineRule="auto" w:line="360" w:before="0" w:after="0"/>
        <w:ind w:left="0" w:hanging="0"/>
        <w:contextualSpacing/>
        <w:jc w:val="both"/>
        <w:rPr>
          <w:rFonts w:ascii="Times New Roman" w:hAnsi="Times New Roman" w:eastAsia="Times New Roman"/>
          <w:sz w:val="24"/>
          <w:szCs w:val="24"/>
        </w:rPr>
      </w:pPr>
      <w:r>
        <w:rPr>
          <w:rFonts w:eastAsia="Times New Roman" w:ascii="Times New Roman" w:hAnsi="Times New Roman"/>
          <w:sz w:val="24"/>
          <w:szCs w:val="24"/>
        </w:rPr>
      </w:r>
    </w:p>
    <w:p>
      <w:pPr>
        <w:pStyle w:val="ListParagraph"/>
        <w:spacing w:lineRule="auto" w:line="360" w:before="0" w:after="0"/>
        <w:ind w:left="0" w:hanging="0"/>
        <w:contextualSpacing/>
        <w:jc w:val="both"/>
        <w:rPr>
          <w:rFonts w:ascii="Times New Roman" w:hAnsi="Times New Roman" w:eastAsia="Times New Roman"/>
          <w:sz w:val="24"/>
          <w:szCs w:val="24"/>
        </w:rPr>
      </w:pPr>
      <w:r>
        <w:rPr>
          <w:rFonts w:eastAsia="Times New Roman" w:ascii="Times New Roman" w:hAnsi="Times New Roman"/>
          <w:sz w:val="24"/>
          <w:szCs w:val="24"/>
        </w:rPr>
        <w:t>A esto se suma la problemática de las fumigaciones producto de la deriva de agrotóxicos en escuelas y en barrios linderos a explotaciones de monocultivos del agronegocio y de las demás empresas del sistema alimentario nutricional de ultraprocesados.</w:t>
      </w:r>
    </w:p>
    <w:p>
      <w:pPr>
        <w:pStyle w:val="ListParagraph"/>
        <w:spacing w:lineRule="auto" w:line="360" w:before="0" w:after="0"/>
        <w:ind w:left="0" w:hanging="0"/>
        <w:contextualSpacing/>
        <w:jc w:val="both"/>
        <w:rPr>
          <w:rFonts w:ascii="Times New Roman" w:hAnsi="Times New Roman" w:eastAsia="Times New Roman"/>
          <w:sz w:val="24"/>
          <w:szCs w:val="24"/>
        </w:rPr>
      </w:pPr>
      <w:r>
        <w:rPr>
          <w:rFonts w:eastAsia="Times New Roman" w:ascii="Times New Roman" w:hAnsi="Times New Roman"/>
          <w:sz w:val="24"/>
          <w:szCs w:val="24"/>
        </w:rPr>
      </w:r>
    </w:p>
    <w:p>
      <w:pPr>
        <w:pStyle w:val="ListParagraph"/>
        <w:spacing w:lineRule="auto" w:line="360" w:before="0" w:after="0"/>
        <w:ind w:left="0" w:hanging="0"/>
        <w:contextualSpacing/>
        <w:jc w:val="both"/>
        <w:rPr>
          <w:rFonts w:ascii="Times New Roman" w:hAnsi="Times New Roman"/>
          <w:b/>
          <w:b/>
          <w:bCs/>
        </w:rPr>
      </w:pPr>
      <w:r>
        <w:rPr>
          <w:rFonts w:eastAsia="Times New Roman" w:ascii="Times New Roman" w:hAnsi="Times New Roman"/>
          <w:b/>
          <w:bCs/>
          <w:sz w:val="24"/>
          <w:szCs w:val="24"/>
        </w:rPr>
        <w:t xml:space="preserve">MAPA 1: Cartografía social de la conflictividad en </w:t>
      </w:r>
      <w:r>
        <w:rPr>
          <w:rFonts w:eastAsia="Times New Roman" w:ascii="Times New Roman" w:hAnsi="Times New Roman"/>
          <w:b/>
          <w:bCs/>
          <w:color w:val="auto"/>
          <w:sz w:val="24"/>
          <w:szCs w:val="24"/>
        </w:rPr>
        <w:t>C</w:t>
      </w:r>
      <w:r>
        <w:rPr>
          <w:rFonts w:eastAsia="Times New Roman" w:ascii="Times New Roman" w:hAnsi="Times New Roman"/>
          <w:b/>
          <w:bCs/>
          <w:sz w:val="24"/>
          <w:szCs w:val="24"/>
        </w:rPr>
        <w:t>órdoba</w:t>
      </w:r>
    </w:p>
    <w:p>
      <w:pPr>
        <w:pStyle w:val="ListParagraph"/>
        <w:spacing w:lineRule="auto" w:line="360" w:before="0" w:after="0"/>
        <w:ind w:left="0" w:hanging="0"/>
        <w:contextualSpacing/>
        <w:jc w:val="both"/>
        <w:rPr>
          <w:rFonts w:ascii="Times New Roman" w:hAnsi="Times New Roman" w:eastAsia="Times New Roman"/>
          <w:b/>
          <w:b/>
          <w:bCs/>
          <w:sz w:val="20"/>
          <w:szCs w:val="20"/>
        </w:rPr>
      </w:pPr>
      <w:r>
        <w:rPr>
          <w:rFonts w:eastAsia="Times New Roman" w:ascii="Times New Roman" w:hAnsi="Times New Roman"/>
          <w:b/>
          <w:bCs/>
          <w:sz w:val="20"/>
          <w:szCs w:val="20"/>
        </w:rPr>
      </w:r>
    </w:p>
    <w:p>
      <w:pPr>
        <w:pStyle w:val="ListParagraph"/>
        <w:spacing w:lineRule="auto" w:line="360" w:before="0" w:after="0"/>
        <w:ind w:left="0" w:hanging="0"/>
        <w:contextualSpacing/>
        <w:jc w:val="both"/>
        <w:rPr>
          <w:rFonts w:ascii="Times New Roman" w:hAnsi="Times New Roman" w:eastAsia="Times New Roman"/>
          <w:sz w:val="24"/>
          <w:szCs w:val="24"/>
        </w:rPr>
      </w:pPr>
      <w:r>
        <w:rPr>
          <w:rFonts w:eastAsia="Times New Roman" w:ascii="Times New Roman" w:hAnsi="Times New Roman"/>
          <w:sz w:val="24"/>
          <w:szCs w:val="24"/>
        </w:rPr>
      </w:r>
    </w:p>
    <w:p>
      <w:pPr>
        <w:pStyle w:val="ListParagraph"/>
        <w:spacing w:lineRule="auto" w:line="360" w:before="0" w:after="0"/>
        <w:ind w:left="0" w:hanging="0"/>
        <w:contextualSpacing/>
        <w:jc w:val="both"/>
        <w:rPr>
          <w:rFonts w:ascii="Times New Roman" w:hAnsi="Times New Roman" w:eastAsia="Times New Roman"/>
          <w:sz w:val="24"/>
          <w:szCs w:val="24"/>
        </w:rPr>
      </w:pPr>
      <w:r>
        <w:rPr>
          <w:rFonts w:eastAsia="Times New Roman" w:ascii="Times New Roman" w:hAnsi="Times New Roman"/>
          <w:sz w:val="24"/>
          <w:szCs w:val="24"/>
        </w:rPr>
        <mc:AlternateContent>
          <mc:Choice Requires="wps">
            <w:drawing>
              <wp:anchor behindDoc="0" distT="0" distB="0" distL="0" distR="0" simplePos="0" locked="0" layoutInCell="1" allowOverlap="1" relativeHeight="2" wp14:anchorId="40AFEEAD">
                <wp:simplePos x="0" y="0"/>
                <wp:positionH relativeFrom="column">
                  <wp:posOffset>-629285</wp:posOffset>
                </wp:positionH>
                <wp:positionV relativeFrom="paragraph">
                  <wp:posOffset>-413385</wp:posOffset>
                </wp:positionV>
                <wp:extent cx="6892925" cy="8072755"/>
                <wp:effectExtent l="0" t="0" r="3810" b="5080"/>
                <wp:wrapSquare wrapText="largest"/>
                <wp:docPr id="1" name="Imagen1"/>
                <a:graphic xmlns:a="http://schemas.openxmlformats.org/drawingml/2006/main">
                  <a:graphicData uri="http://schemas.openxmlformats.org/drawingml/2006/picture">
                    <pic:pic xmlns:pic="http://schemas.openxmlformats.org/drawingml/2006/picture">
                      <pic:nvPicPr>
                        <pic:cNvPr id="0" name="Imagen1" descr=""/>
                        <pic:cNvPicPr/>
                      </pic:nvPicPr>
                      <pic:blipFill>
                        <a:blip r:embed="rId6">
                          <a:extLst>
                            <a:ext uri="{BEBA8EAE-BF5A-486C-A8C5-ECC9F3942E4B}">
                              <a14:imgProps xmlns:a14="http://schemas.microsoft.com/office/drawing/2010/main">
                                <a14:imgLayer r:embed="rId7">
                                  <a14:imgEffect>
                                    <a14:brightnessContrast bright="43000"/>
                                  </a14:imgEffect>
                                </a14:imgLayer>
                              </a14:imgProps>
                            </a:ext>
                          </a:extLst>
                        </a:blip>
                        <a:srcRect l="0" t="18061" r="0" b="3872"/>
                        <a:stretch/>
                      </pic:blipFill>
                      <pic:spPr>
                        <a:xfrm>
                          <a:off x="0" y="0"/>
                          <a:ext cx="6892200" cy="807228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1" stroked="f" style="position:absolute;margin-left:-49.55pt;margin-top:-32.55pt;width:542.65pt;height:635.55pt" wp14:anchorId="40AFEEAD" type="shapetype_75">
                <v:imagedata r:id="rId6" o:detectmouseclick="t"/>
                <w10:wrap type="none"/>
                <v:stroke color="#3465a4" joinstyle="round" endcap="flat"/>
              </v:shape>
            </w:pict>
          </mc:Fallback>
        </mc:AlternateContent>
      </w:r>
    </w:p>
    <w:p>
      <w:pPr>
        <w:pStyle w:val="ListParagraph"/>
        <w:spacing w:lineRule="auto" w:line="360" w:before="0" w:after="0"/>
        <w:ind w:left="0" w:hanging="0"/>
        <w:contextualSpacing/>
        <w:jc w:val="center"/>
        <w:rPr>
          <w:rFonts w:ascii="Times New Roman" w:hAnsi="Times New Roman" w:eastAsia="Times New Roman"/>
          <w:bCs/>
          <w:sz w:val="20"/>
          <w:szCs w:val="20"/>
        </w:rPr>
      </w:pPr>
      <w:r>
        <w:rPr>
          <w:rFonts w:eastAsia="Times New Roman" w:ascii="Times New Roman" w:hAnsi="Times New Roman"/>
          <w:bCs/>
          <w:sz w:val="20"/>
          <w:szCs w:val="20"/>
        </w:rPr>
      </w:r>
    </w:p>
    <w:p>
      <w:pPr>
        <w:pStyle w:val="ListParagraph"/>
        <w:spacing w:lineRule="auto" w:line="360" w:before="0" w:after="0"/>
        <w:ind w:left="0" w:hanging="0"/>
        <w:contextualSpacing/>
        <w:jc w:val="center"/>
        <w:rPr>
          <w:rFonts w:ascii="Times New Roman" w:hAnsi="Times New Roman" w:eastAsia="Times New Roman"/>
          <w:bCs/>
          <w:sz w:val="24"/>
          <w:szCs w:val="24"/>
        </w:rPr>
      </w:pPr>
      <w:r>
        <w:rPr>
          <w:rFonts w:eastAsia="Times New Roman" w:ascii="Times New Roman" w:hAnsi="Times New Roman"/>
          <w:bCs/>
          <w:sz w:val="24"/>
          <w:szCs w:val="24"/>
        </w:rPr>
        <w:t>Fuente</w:t>
      </w:r>
      <w:r>
        <w:rPr>
          <w:rFonts w:eastAsia="Times New Roman" w:ascii="Times New Roman" w:hAnsi="Times New Roman"/>
          <w:bCs/>
          <w:color w:val="C525AE"/>
          <w:sz w:val="24"/>
          <w:szCs w:val="24"/>
        </w:rPr>
        <w:t>:</w:t>
      </w:r>
      <w:r>
        <w:rPr>
          <w:rFonts w:eastAsia="Times New Roman" w:ascii="Times New Roman" w:hAnsi="Times New Roman"/>
          <w:bCs/>
          <w:sz w:val="24"/>
          <w:szCs w:val="24"/>
        </w:rPr>
        <w:t xml:space="preserve"> Gentileza </w:t>
      </w:r>
      <w:r>
        <w:rPr>
          <w:rFonts w:eastAsia="Times New Roman" w:ascii="Times New Roman" w:hAnsi="Times New Roman"/>
          <w:bCs/>
          <w:color w:val="auto"/>
          <w:sz w:val="24"/>
          <w:szCs w:val="24"/>
        </w:rPr>
        <w:t>Coordinadora en Defensa del Bosque Nativo (CoDeBoNa), 2018</w:t>
      </w:r>
      <w:r>
        <w:rPr>
          <w:rFonts w:eastAsia="Times New Roman" w:ascii="Times New Roman" w:hAnsi="Times New Roman"/>
          <w:bCs/>
          <w:sz w:val="24"/>
          <w:szCs w:val="24"/>
        </w:rPr>
        <w:t xml:space="preserve">. </w:t>
      </w:r>
    </w:p>
    <w:p>
      <w:pPr>
        <w:pStyle w:val="ListParagraph"/>
        <w:spacing w:lineRule="auto" w:line="360" w:before="0" w:after="0"/>
        <w:ind w:left="0" w:hanging="0"/>
        <w:contextualSpacing/>
        <w:jc w:val="center"/>
        <w:rPr>
          <w:rFonts w:ascii="Times New Roman" w:hAnsi="Times New Roman"/>
          <w:bCs/>
          <w:sz w:val="24"/>
          <w:szCs w:val="24"/>
        </w:rPr>
      </w:pPr>
      <w:r>
        <w:rPr>
          <w:rFonts w:eastAsia="Times New Roman" w:ascii="Times New Roman" w:hAnsi="Times New Roman"/>
          <w:bCs/>
          <w:sz w:val="24"/>
          <w:szCs w:val="24"/>
        </w:rPr>
        <w:t>Foto: Carina Tumini.</w:t>
      </w:r>
    </w:p>
    <w:p>
      <w:pPr>
        <w:pStyle w:val="Normal"/>
        <w:spacing w:lineRule="auto" w:line="360"/>
        <w:jc w:val="both"/>
        <w:rPr>
          <w:rFonts w:ascii="Times New Roman" w:hAnsi="Times New Roman"/>
          <w:b/>
          <w:b/>
          <w:sz w:val="24"/>
          <w:szCs w:val="24"/>
        </w:rPr>
      </w:pPr>
      <w:r>
        <w:rPr>
          <w:rFonts w:ascii="Times New Roman" w:hAnsi="Times New Roman"/>
          <w:b/>
          <w:sz w:val="24"/>
          <w:szCs w:val="24"/>
        </w:rPr>
      </w:r>
    </w:p>
    <w:p>
      <w:pPr>
        <w:pStyle w:val="Normal"/>
        <w:spacing w:lineRule="auto" w:line="360"/>
        <w:jc w:val="both"/>
        <w:rPr>
          <w:rFonts w:ascii="Times New Roman" w:hAnsi="Times New Roman"/>
          <w:b/>
          <w:b/>
          <w:sz w:val="24"/>
          <w:szCs w:val="24"/>
        </w:rPr>
      </w:pPr>
      <w:r>
        <w:rPr>
          <w:rFonts w:ascii="Times New Roman" w:hAnsi="Times New Roman"/>
          <w:b/>
          <w:sz w:val="24"/>
          <w:szCs w:val="24"/>
        </w:rPr>
        <w:t xml:space="preserve">Desarrollismo a la cordobesa  </w:t>
      </w:r>
    </w:p>
    <w:p>
      <w:pPr>
        <w:pStyle w:val="Normal"/>
        <w:spacing w:lineRule="auto" w:line="360"/>
        <w:jc w:val="both"/>
        <w:rPr>
          <w:rFonts w:ascii="Times New Roman" w:hAnsi="Times New Roman"/>
          <w:color w:val="auto"/>
          <w:sz w:val="24"/>
          <w:szCs w:val="24"/>
        </w:rPr>
      </w:pPr>
      <w:r>
        <w:rPr>
          <w:rFonts w:ascii="Times New Roman" w:hAnsi="Times New Roman"/>
          <w:color w:val="auto"/>
          <w:sz w:val="24"/>
          <w:szCs w:val="24"/>
        </w:rPr>
        <w:t>Durante las últimas dos décadas, los gobiernos municipales y provincial bajo el amparo de iniciativas nacionales, diseñaron e implementaron diferentes acciones tendientes al “desarrollo” de la provincia. Desde el gobierno provincial se trazaron planeamientos estratégicos focalizados en la realización de obras públicas (viales y de embalses), se definió la reducción de impuestos en la tasa a la propiedad, se promovió la mayor productividad agroindustrial con el avance de la frontera agrícola y el consecuente desplazamiento de la producción ganadera a nuevas áreas desmontadas, la especialización minera no metalífera, el favorecimiento del fraccionamiento de la tierra</w:t>
      </w:r>
      <w:r>
        <w:rPr>
          <w:rStyle w:val="Ancladenotaalpie"/>
          <w:rStyle w:val="Ancladenotaalpie"/>
          <w:rFonts w:ascii="Times New Roman" w:hAnsi="Times New Roman"/>
          <w:color w:val="auto"/>
          <w:sz w:val="24"/>
          <w:szCs w:val="24"/>
        </w:rPr>
        <w:footnoteReference w:id="3"/>
      </w:r>
      <w:r>
        <w:rPr>
          <w:rFonts w:ascii="Times New Roman" w:hAnsi="Times New Roman"/>
          <w:color w:val="auto"/>
          <w:sz w:val="24"/>
          <w:szCs w:val="24"/>
        </w:rPr>
        <w:t xml:space="preserve"> (la creación de nuevos loteos, chacras), entre otras acciones pero se continuó demandando el “desarrollo” de la Provincia a pesar de planificar desarrollarla sobre la base de estos lineamientos. Cabe preguntar para responder de aquí en adelante: Este desarrollo: ¿A qué tiende? ¿Qué no se ha desarrollado y en comparación a qué?</w:t>
      </w:r>
    </w:p>
    <w:p>
      <w:pPr>
        <w:pStyle w:val="Normal"/>
        <w:spacing w:lineRule="auto" w:line="360"/>
        <w:jc w:val="both"/>
        <w:rPr>
          <w:rFonts w:ascii="Times New Roman" w:hAnsi="Times New Roman"/>
          <w:sz w:val="24"/>
          <w:szCs w:val="24"/>
        </w:rPr>
      </w:pPr>
      <w:r>
        <w:rPr>
          <w:rFonts w:ascii="Times New Roman" w:hAnsi="Times New Roman"/>
          <w:sz w:val="24"/>
          <w:szCs w:val="24"/>
        </w:rPr>
        <w:t xml:space="preserve">El paradigma de desarrollo que se pregona nos ubica como un sector subdesarrollado, pero ¿por qué se acepta y perpetúa discursiva y políticamente esta autodiscriminación creada e impuesta a los países del Sur global durante la década de 1940 y 1950 y hecha públicas a partir de las declaraciones del ex presidente Truman cuando desde Estados Unidos proclamaba que sacaría del subdesarrollo a los subdesarrollados?    </w:t>
      </w:r>
    </w:p>
    <w:p>
      <w:pPr>
        <w:pStyle w:val="Normal"/>
        <w:spacing w:lineRule="auto" w:line="360"/>
        <w:ind w:right="-1" w:hanging="0"/>
        <w:jc w:val="both"/>
        <w:rPr>
          <w:rFonts w:ascii="Times New Roman" w:hAnsi="Times New Roman"/>
          <w:sz w:val="20"/>
          <w:szCs w:val="20"/>
        </w:rPr>
      </w:pPr>
      <w:r>
        <w:rPr>
          <w:rFonts w:ascii="Times New Roman" w:hAnsi="Times New Roman"/>
          <w:sz w:val="24"/>
          <w:szCs w:val="24"/>
        </w:rPr>
        <w:t>La primera respuesta la ensayamos desde una escala geográfica global nutriéndonos con los aportes de Gustavo Esteva (Esteva G. en Sachs G., 1996:52),</w:t>
      </w:r>
      <w:r>
        <w:rPr>
          <w:rFonts w:ascii="Times New Roman" w:hAnsi="Times New Roman"/>
          <w:sz w:val="20"/>
          <w:szCs w:val="20"/>
        </w:rPr>
        <w:t xml:space="preserve"> </w:t>
      </w:r>
      <w:r>
        <w:rPr>
          <w:rFonts w:ascii="Times New Roman" w:hAnsi="Times New Roman"/>
          <w:sz w:val="24"/>
          <w:szCs w:val="24"/>
        </w:rPr>
        <w:t>en relación a que en la actualidad:</w:t>
      </w:r>
    </w:p>
    <w:p>
      <w:pPr>
        <w:pStyle w:val="Normal"/>
        <w:spacing w:lineRule="auto" w:line="360"/>
        <w:ind w:left="567" w:right="567" w:hanging="0"/>
        <w:jc w:val="both"/>
        <w:rPr>
          <w:rFonts w:ascii="Times New Roman" w:hAnsi="Times New Roman"/>
          <w:sz w:val="20"/>
          <w:szCs w:val="20"/>
        </w:rPr>
      </w:pPr>
      <w:r>
        <w:rPr>
          <w:rFonts w:ascii="Times New Roman" w:hAnsi="Times New Roman"/>
          <w:sz w:val="20"/>
          <w:szCs w:val="20"/>
        </w:rPr>
        <w:t xml:space="preserve">(…) para dos terceras partes de la gente en el mundo, el subdesarrollo es una amenaza cumplida; una experiencia de vida subordinada y llevada por el mal camino, de discriminación y subyugación. Dada esta condición previa, el simple hecho de asociar con el desarrollo las intenciones propias las anula, las contradice, las esclaviza. Impide pensar en objetivos propios; socava la confianza en uno mismo y en la cultura propia; solicita la administración de arriba hacia abajo; convierte la participación en un truco manipulatorio para involucrar a la gente en la lucha para obtener lo que los poderosos quieren imponerle. </w:t>
      </w:r>
    </w:p>
    <w:p>
      <w:pPr>
        <w:pStyle w:val="Normal"/>
        <w:spacing w:lineRule="auto" w:line="360"/>
        <w:jc w:val="both"/>
        <w:rPr>
          <w:rFonts w:ascii="Times New Roman" w:hAnsi="Times New Roman"/>
          <w:sz w:val="24"/>
          <w:szCs w:val="24"/>
        </w:rPr>
      </w:pPr>
      <w:r>
        <w:rPr>
          <w:rFonts w:ascii="Times New Roman" w:hAnsi="Times New Roman"/>
          <w:sz w:val="24"/>
          <w:szCs w:val="24"/>
        </w:rPr>
        <w:t>La constatación y relación del planteo anterior con la planificación provincial de las últimas dos décadas se hace claramente visible en las enunciaciones y políticas públicas que estructuran al Plan Estratégico para el Desarrollo Integral de Córdoba construido por el Consejo para la Planificación Estratégica de Córdoba (COPEC). En su informe del año 2015 el gobierno provincial lo hace explícito: la demanda central de los municipios de los 26 territorios departamentales de la Provincia de Córdoba en materia de gestión pública, y por ende también del Estado provincial, es el de la obra pública como una de las priorizaciones realizadas por los/as actores/as políticos/as partidarios/as</w:t>
      </w:r>
      <w:r>
        <w:rPr>
          <w:rStyle w:val="Ancladenotaalpie"/>
          <w:rStyle w:val="Ancladenotaalpie"/>
          <w:rFonts w:ascii="Times New Roman" w:hAnsi="Times New Roman"/>
          <w:sz w:val="24"/>
          <w:szCs w:val="24"/>
        </w:rPr>
        <w:footnoteReference w:id="4"/>
      </w:r>
      <w:r>
        <w:rPr>
          <w:rFonts w:ascii="Times New Roman" w:hAnsi="Times New Roman"/>
          <w:sz w:val="24"/>
          <w:szCs w:val="24"/>
        </w:rPr>
        <w:t xml:space="preserve"> para alcanzar el “</w:t>
      </w:r>
      <w:r>
        <w:rPr>
          <w:rFonts w:ascii="Times New Roman" w:hAnsi="Times New Roman"/>
          <w:iCs/>
          <w:sz w:val="24"/>
          <w:szCs w:val="24"/>
        </w:rPr>
        <w:t>desarrollo”</w:t>
      </w:r>
      <w:r>
        <w:rPr>
          <w:rFonts w:ascii="Times New Roman" w:hAnsi="Times New Roman"/>
          <w:sz w:val="24"/>
          <w:szCs w:val="24"/>
        </w:rPr>
        <w:t xml:space="preserve"> de la Provincia. </w:t>
      </w:r>
    </w:p>
    <w:p>
      <w:pPr>
        <w:pStyle w:val="Normal"/>
        <w:spacing w:lineRule="auto" w:line="360"/>
        <w:ind w:right="-1" w:hanging="0"/>
        <w:jc w:val="both"/>
        <w:rPr>
          <w:rFonts w:ascii="Times New Roman" w:hAnsi="Times New Roman"/>
          <w:sz w:val="24"/>
          <w:szCs w:val="24"/>
        </w:rPr>
      </w:pPr>
      <w:r>
        <w:rPr>
          <w:rFonts w:ascii="Times New Roman" w:hAnsi="Times New Roman"/>
          <w:sz w:val="24"/>
          <w:szCs w:val="24"/>
        </w:rPr>
        <w:t xml:space="preserve">El interés y la participación ciudadana no son los motores propulsores de la obra pública sino el de sus representantes quienes en su totalidad evidencian en informe del COPEC (2015) que: </w:t>
      </w:r>
    </w:p>
    <w:p>
      <w:pPr>
        <w:pStyle w:val="Normal"/>
        <w:spacing w:lineRule="auto" w:line="360"/>
        <w:ind w:left="567" w:right="566" w:hanging="0"/>
        <w:jc w:val="both"/>
        <w:rPr>
          <w:rFonts w:ascii="Times New Roman" w:hAnsi="Times New Roman"/>
          <w:sz w:val="24"/>
          <w:szCs w:val="24"/>
        </w:rPr>
      </w:pPr>
      <w:r>
        <w:rPr>
          <w:rFonts w:ascii="Times New Roman" w:hAnsi="Times New Roman"/>
          <w:sz w:val="20"/>
          <w:szCs w:val="20"/>
        </w:rPr>
        <w:t>“</w:t>
      </w:r>
      <w:r>
        <w:rPr>
          <w:rFonts w:ascii="Times New Roman" w:hAnsi="Times New Roman"/>
          <w:sz w:val="20"/>
          <w:szCs w:val="20"/>
        </w:rPr>
        <w:t xml:space="preserve">más del 50% refieren al Capital Físico, posicionándose como el componente clave para el </w:t>
      </w:r>
      <w:r>
        <w:rPr>
          <w:rFonts w:ascii="Times New Roman" w:hAnsi="Times New Roman"/>
          <w:iCs/>
          <w:sz w:val="20"/>
          <w:szCs w:val="20"/>
        </w:rPr>
        <w:t>desarrollo</w:t>
      </w:r>
      <w:r>
        <w:rPr>
          <w:rFonts w:ascii="Times New Roman" w:hAnsi="Times New Roman"/>
          <w:sz w:val="20"/>
          <w:szCs w:val="20"/>
        </w:rPr>
        <w:t>. Así, la resolución de problemáticas relativas a la Vivienda, Obras -conectividad vial o Servicios de gas, agua, luz y cloacas- resulta preeminente en la provincia. A continuación del componente Capital Físico, se encuentra Capital Humano, que incorpora Salud, Ambiente y Educación. Más del 20% de las priorizaciones responden a alguna de esas tres subdimensiones (</w:t>
      </w:r>
      <w:r>
        <w:rPr>
          <w:rFonts w:ascii="Times New Roman" w:hAnsi="Times New Roman"/>
          <w:i/>
          <w:iCs/>
          <w:sz w:val="20"/>
          <w:szCs w:val="20"/>
        </w:rPr>
        <w:t>siendo para el departamento Colón, donde se encuentran Sierras Chicas, la prioridad menos importante -cursiva agregada-).</w:t>
      </w:r>
      <w:r>
        <w:rPr>
          <w:rFonts w:ascii="Times New Roman" w:hAnsi="Times New Roman"/>
          <w:sz w:val="20"/>
          <w:szCs w:val="20"/>
        </w:rPr>
        <w:t xml:space="preserve"> El tercer lugar lo ocupa el componente de Actividad Económica, representando empleo y/o Crecimiento de la Economía Regional, que incluye cerca del 20% de las priorizaciones. Por último, menos del 10% de las priorizaciones corresponden al componente Capital Social, entendiéndose por el mismo las temáticas relacionadas con la Seguridad y Convivencia o con Fortalecimiento de la Sociedad Civil.” </w:t>
      </w:r>
    </w:p>
    <w:p>
      <w:pPr>
        <w:pStyle w:val="Normal"/>
        <w:spacing w:lineRule="auto" w:line="360"/>
        <w:jc w:val="both"/>
        <w:rPr>
          <w:rFonts w:ascii="Times New Roman" w:hAnsi="Times New Roman"/>
          <w:sz w:val="24"/>
          <w:szCs w:val="24"/>
        </w:rPr>
      </w:pPr>
      <w:r>
        <w:rPr>
          <w:rFonts w:ascii="Times New Roman" w:hAnsi="Times New Roman"/>
          <w:sz w:val="24"/>
          <w:szCs w:val="24"/>
        </w:rPr>
        <w:t>Cabe aquí destacar lo que ha sido una política de estado constante del gobierno provincial, las comunidades regionales y la mayoría de los municipios y comunas que las componen: el restarle importancia a la sociedad civil, a los/as ciudadanos/as y sus organizaciones de base, organizaciones no gubernamentales, colectivos y movimientos sociales en la participación y toma de decisiones sobre el uso del suelo. Esto queda demostrado en el hecho de no hacer vinculante su participación, a excepción de algunos casos</w:t>
      </w:r>
      <w:r>
        <w:rPr>
          <w:rStyle w:val="Ancladenotaalpie"/>
          <w:rStyle w:val="Ancladenotaalpie"/>
          <w:rFonts w:ascii="Times New Roman" w:hAnsi="Times New Roman"/>
          <w:sz w:val="24"/>
          <w:szCs w:val="24"/>
        </w:rPr>
        <w:footnoteReference w:id="5"/>
      </w:r>
      <w:r>
        <w:rPr>
          <w:rFonts w:ascii="Times New Roman" w:hAnsi="Times New Roman"/>
          <w:sz w:val="24"/>
          <w:szCs w:val="24"/>
        </w:rPr>
        <w:t xml:space="preserve">, desde 2014 cuando se institucionalizó la Ley 10.208 de política ambiental de la Provincia de Córdoba. Recordemos que esto ocurre tras un fuerte reclamo de distintas territorialidades socioambientales en lucha emergido del rechazo a la instalación de Monsanto en Malvinas Argentinas y a diversos emprendimientos en Sierras Chicas, Punilla y Traslasierra, entre otros. </w:t>
      </w:r>
    </w:p>
    <w:p>
      <w:pPr>
        <w:pStyle w:val="Normal"/>
        <w:spacing w:lineRule="auto" w:line="360"/>
        <w:jc w:val="both"/>
        <w:rPr>
          <w:rFonts w:ascii="Times New Roman" w:hAnsi="Times New Roman"/>
          <w:sz w:val="24"/>
          <w:szCs w:val="24"/>
        </w:rPr>
      </w:pPr>
      <w:r>
        <w:rPr>
          <w:rFonts w:ascii="Times New Roman" w:hAnsi="Times New Roman"/>
          <w:sz w:val="24"/>
          <w:szCs w:val="24"/>
        </w:rPr>
        <w:t xml:space="preserve">Entre los antecedentes principales de planeamiento territorial y urbano-regional se encuentran las Leyes provinciales Nº 9.814 de Ordenamiento Territorial de Bosques Nativos y 10.004 de planeamiento del área metropolitana Córdoba primer y segundo anillo respectivamente, sistemas legales aprobados que en todos los casos no tuvieron la participación vinculante de la ciudadanía aunque sí de los </w:t>
      </w:r>
      <w:r>
        <w:rPr>
          <w:rFonts w:ascii="Times New Roman" w:hAnsi="Times New Roman"/>
          <w:iCs/>
          <w:sz w:val="24"/>
          <w:szCs w:val="24"/>
        </w:rPr>
        <w:t>principales actores políticos y empresariales quienes decidieron sobre su formulación e implementación</w:t>
      </w:r>
      <w:r>
        <w:rPr>
          <w:rFonts w:ascii="Times New Roman" w:hAnsi="Times New Roman"/>
          <w:sz w:val="24"/>
          <w:szCs w:val="24"/>
        </w:rPr>
        <w:t xml:space="preserve">.  </w:t>
      </w:r>
    </w:p>
    <w:p>
      <w:pPr>
        <w:pStyle w:val="Normal"/>
        <w:spacing w:lineRule="auto" w:line="360"/>
        <w:jc w:val="both"/>
        <w:rPr>
          <w:rFonts w:ascii="Times New Roman" w:hAnsi="Times New Roman"/>
          <w:sz w:val="24"/>
          <w:szCs w:val="24"/>
        </w:rPr>
      </w:pPr>
      <w:r>
        <w:rPr>
          <w:rFonts w:ascii="Times New Roman" w:hAnsi="Times New Roman"/>
          <w:sz w:val="24"/>
          <w:szCs w:val="24"/>
        </w:rPr>
        <w:t xml:space="preserve">El caso de la Ley provincial 9.814 ejemplifica claramente el por qué se sigue y se seguirá buscando el </w:t>
      </w:r>
      <w:r>
        <w:rPr>
          <w:rFonts w:ascii="Times New Roman" w:hAnsi="Times New Roman"/>
          <w:i/>
          <w:iCs/>
          <w:sz w:val="24"/>
          <w:szCs w:val="24"/>
        </w:rPr>
        <w:t>desarrollo</w:t>
      </w:r>
      <w:r>
        <w:rPr>
          <w:rFonts w:ascii="Times New Roman" w:hAnsi="Times New Roman"/>
          <w:sz w:val="24"/>
          <w:szCs w:val="24"/>
        </w:rPr>
        <w:t xml:space="preserve"> de esta porción territorial de la Argentina. Si bien Córdoba, junto a las provincias de Salta y Santiago del Estero, han sido las que más problemas han generado a la hora de la adecuación a la Ley Nacional Nº 26.331 de ordenamiento territorial de bosques, estas problemáticas y conflictos se han sostenido debido a que esta ley es facilitadora del avance desarrollista agroindustrial, urbanístico y minero en detrimento de las comunidades locales que reciben los impactos ambientales negativos del </w:t>
      </w:r>
      <w:r>
        <w:rPr>
          <w:rFonts w:ascii="Times New Roman" w:hAnsi="Times New Roman"/>
          <w:i/>
          <w:iCs/>
          <w:sz w:val="24"/>
          <w:szCs w:val="24"/>
        </w:rPr>
        <w:t>desarrollo</w:t>
      </w:r>
      <w:r>
        <w:rPr>
          <w:rFonts w:ascii="Times New Roman" w:hAnsi="Times New Roman"/>
          <w:sz w:val="24"/>
          <w:szCs w:val="24"/>
        </w:rPr>
        <w:t xml:space="preserve"> económico-empresarial; en lo que Eduardo Gudynas (2012 y Ss.) plantea como un contexto en el que el Estado progresista o el neoliberal argentino y de otros países de Latinoamérica consolida un modelo productivo neoextractivista con el que sostiene sus políticas económicas. </w:t>
      </w:r>
    </w:p>
    <w:p>
      <w:pPr>
        <w:pStyle w:val="Normal"/>
        <w:spacing w:lineRule="auto" w:line="360"/>
        <w:jc w:val="both"/>
        <w:rPr>
          <w:rFonts w:ascii="Times New Roman" w:hAnsi="Times New Roman"/>
          <w:sz w:val="24"/>
          <w:szCs w:val="24"/>
        </w:rPr>
      </w:pPr>
      <w:r>
        <w:rPr>
          <w:rFonts w:ascii="Times New Roman" w:hAnsi="Times New Roman"/>
          <w:sz w:val="24"/>
          <w:szCs w:val="24"/>
        </w:rPr>
        <w:t>Tanto la Ley 9.814 como la Ley 10.004 del Instituto de Planeamiento del Área Metropolitana (IPLAM), se hacen eco de esto y los transfiere a la escala regional metropolitana proyectando el desarrollo del uso de la tierra en el plan de movilidad, vialidad y planeamiento del uso del suelo rural, rururbano y urbano de la conurbación de Córdoba (Irós G. et al., 2014).</w:t>
      </w:r>
    </w:p>
    <w:p>
      <w:pPr>
        <w:pStyle w:val="Normal"/>
        <w:spacing w:lineRule="auto" w:line="360"/>
        <w:jc w:val="both"/>
        <w:rPr/>
      </w:pPr>
      <w:r>
        <w:rPr>
          <w:rFonts w:ascii="Times New Roman" w:hAnsi="Times New Roman"/>
          <w:sz w:val="24"/>
          <w:szCs w:val="24"/>
        </w:rPr>
        <w:t>“</w:t>
      </w:r>
      <w:r>
        <w:rPr>
          <w:rFonts w:ascii="Times New Roman" w:hAnsi="Times New Roman"/>
          <w:sz w:val="24"/>
          <w:szCs w:val="24"/>
        </w:rPr>
        <w:t xml:space="preserve">A la Provincia Córdoba le falta una planificación del uso del suelo”, declaraba el secretario de </w:t>
      </w:r>
      <w:r>
        <w:rPr>
          <w:rFonts w:ascii="Times New Roman" w:hAnsi="Times New Roman"/>
          <w:sz w:val="24"/>
          <w:szCs w:val="24"/>
        </w:rPr>
        <w:t>Recursos Hídricos</w:t>
      </w:r>
      <w:r>
        <w:rPr>
          <w:rFonts w:ascii="Times New Roman" w:hAnsi="Times New Roman"/>
          <w:sz w:val="24"/>
          <w:szCs w:val="24"/>
        </w:rPr>
        <w:t xml:space="preserve"> de la Provincia, el Ing. Edgar Casteló, el 1° de Abril de 2016 a una influyente radio comercial local. Pero Córdoba tiene muchas planificaciones de usos del suelo trazadas a lo largo de su historia reciente. Esto dispara una hipótesis central: todas estas planificaciones de uso de suelo no están controladas sino conflictivizadas en la arena (movediza) de los intereses político-económicos de las empresas desarrollistas (viales, constructoras, inmobiliarias, madereras, agrícolas y mineras) y de los gobiernos municipales, provincial y nacional que no desarrollan ni implementan políticas participativas que realmente incluyan en la toma de decisiones las opiniones e intereses de las personas afectadas por estas iniciativas, facilitando, con la conflictividad, el cambio en el uso del suelo para la reproducción del capital y el creciente riesgo de la reproducción de la vida y la garantía de sustento así como el cuidado del ambiente, especialmente en las cuencas hídricas.   </w:t>
      </w:r>
    </w:p>
    <w:p>
      <w:pPr>
        <w:pStyle w:val="Normal"/>
        <w:spacing w:lineRule="auto" w:line="360"/>
        <w:rPr>
          <w:rFonts w:ascii="Times New Roman" w:hAnsi="Times New Roman"/>
          <w:b/>
          <w:b/>
          <w:sz w:val="24"/>
          <w:szCs w:val="24"/>
          <w:lang w:val="es-AR"/>
        </w:rPr>
      </w:pPr>
      <w:r>
        <w:rPr>
          <w:rFonts w:ascii="Times New Roman" w:hAnsi="Times New Roman"/>
          <w:b/>
          <w:sz w:val="24"/>
          <w:szCs w:val="24"/>
          <w:lang w:val="es-AR"/>
        </w:rPr>
      </w:r>
    </w:p>
    <w:p>
      <w:pPr>
        <w:pStyle w:val="Normal"/>
        <w:spacing w:lineRule="auto" w:line="360"/>
        <w:rPr>
          <w:rFonts w:ascii="Times New Roman" w:hAnsi="Times New Roman"/>
          <w:b/>
          <w:b/>
          <w:sz w:val="24"/>
          <w:szCs w:val="24"/>
          <w:lang w:val="es-AR"/>
        </w:rPr>
      </w:pPr>
      <w:r>
        <w:rPr>
          <w:rFonts w:ascii="Times New Roman" w:hAnsi="Times New Roman"/>
          <w:b/>
          <w:sz w:val="24"/>
          <w:szCs w:val="24"/>
          <w:lang w:val="es-AR"/>
        </w:rPr>
        <w:t xml:space="preserve">Cartografías de territorios otros. Mapas de las resistencias y los conflictos </w:t>
      </w:r>
    </w:p>
    <w:p>
      <w:pPr>
        <w:pStyle w:val="Normal"/>
        <w:spacing w:lineRule="auto" w:line="360" w:before="120" w:after="120"/>
        <w:jc w:val="both"/>
        <w:rPr>
          <w:rFonts w:ascii="Times New Roman" w:hAnsi="Times New Roman"/>
          <w:sz w:val="24"/>
          <w:szCs w:val="24"/>
          <w:lang w:val="es-AR"/>
        </w:rPr>
      </w:pPr>
      <w:r>
        <w:rPr>
          <w:rFonts w:ascii="Times New Roman" w:hAnsi="Times New Roman"/>
          <w:sz w:val="24"/>
          <w:szCs w:val="24"/>
          <w:lang w:val="es-AR"/>
        </w:rPr>
        <w:t xml:space="preserve">Las territorialidades capitalistas expresadas en cartografías no siempre son claramente visibles para quienes habitan las localidades, pueblos y ciudades al menos hasta que se anuncian obras o inversiones empresariales “traedoras de promesas de progreso y desarrollo a las comunidades locales” o cuando se presentan en planes estratégicos, en convocatorias a audiencias públicas ambientales (en los países o estados en los que lo hacen) o se hacen </w:t>
      </w:r>
      <w:r>
        <w:rPr>
          <w:rFonts w:ascii="Times New Roman" w:hAnsi="Times New Roman"/>
          <w:i/>
          <w:sz w:val="24"/>
          <w:szCs w:val="24"/>
          <w:lang w:val="es-AR"/>
        </w:rPr>
        <w:t>vox populi</w:t>
      </w:r>
      <w:r>
        <w:rPr>
          <w:rFonts w:ascii="Times New Roman" w:hAnsi="Times New Roman"/>
          <w:sz w:val="24"/>
          <w:szCs w:val="24"/>
          <w:lang w:val="es-AR"/>
        </w:rPr>
        <w:t xml:space="preserve"> al ver a técnicos/as midiendo o proyectando en terreno, repartiendo manuales educativos en las escuelas urbanas y rurales que incluyen la enseñanza de conceptos como sustentabilidad y emprendedurismo</w:t>
      </w:r>
      <w:r>
        <w:rPr>
          <w:rStyle w:val="FootnoteCharacters"/>
          <w:rStyle w:val="Ancladenotaalpie"/>
          <w:rFonts w:ascii="Times New Roman" w:hAnsi="Times New Roman"/>
          <w:sz w:val="24"/>
          <w:szCs w:val="24"/>
          <w:lang w:val="es-AR"/>
        </w:rPr>
        <w:footnoteReference w:id="6"/>
      </w:r>
      <w:r>
        <w:rPr>
          <w:rFonts w:ascii="Times New Roman" w:hAnsi="Times New Roman"/>
          <w:sz w:val="24"/>
          <w:szCs w:val="24"/>
          <w:lang w:val="es-AR"/>
        </w:rPr>
        <w:t xml:space="preserve">, o cuando los intentos de territorialidad del complejo empresario-técnico-mediático-gubernamental-policial comienzan a ser resistidos por organizaciones, colectivos y asambleas socio ambientalistas en lucha. Territorialidades en r-existencia que trazan nuevas cartografías desde sus zonas de dignidad (Zibechi, 2017), en rechazo al despojo, el saqueo, la destrucción y la muerte, y encaminadas en la construcción de sociedades otras en movimiento. Los mapas comúnmente están asociados a una institucionalidad determinada que pretende determinar planificaciones, ubicaciones precisas o aproximadas, delimitaciones de nuevas territorialidades ejidatarias o gubernamentales, planes de gestión, proyectos desarrollistas, entre otros fines vinculados al dominio y el control. </w:t>
      </w:r>
    </w:p>
    <w:p>
      <w:pPr>
        <w:pStyle w:val="Normal"/>
        <w:spacing w:lineRule="auto" w:line="360" w:before="120" w:after="120"/>
        <w:jc w:val="both"/>
        <w:rPr>
          <w:rFonts w:ascii="Times New Roman" w:hAnsi="Times New Roman"/>
          <w:sz w:val="24"/>
          <w:szCs w:val="24"/>
          <w:lang w:val="es-AR"/>
        </w:rPr>
      </w:pPr>
      <w:r>
        <w:rPr>
          <w:rFonts w:ascii="Times New Roman" w:hAnsi="Times New Roman"/>
          <w:sz w:val="24"/>
          <w:szCs w:val="24"/>
          <w:lang w:val="es-AR"/>
        </w:rPr>
        <w:t xml:space="preserve">Los procesos de uso y construcción de mapas los seguimos viendo en películas, en espacios donde se definen políticas de seguridad y en otras oficinas públicas de gobierno. Veremos que siempre están ahí, acompañados de pines, fibrones y zonas delimitables para “controlar”, “hacer sentir segura a la gente” o simplemente patrullar. Pero es poco usual la creación y uso de mapas en espacios no institucionales para movilizar de manera colectiva y autogestiva la toma de decisiones de manera horizontal así como la creación y sostenimiento de redes de articulación de trabajo y luchas en común. </w:t>
      </w:r>
    </w:p>
    <w:p>
      <w:pPr>
        <w:pStyle w:val="Normal"/>
        <w:spacing w:lineRule="auto" w:line="360" w:before="120" w:after="120"/>
        <w:jc w:val="both"/>
        <w:rPr/>
      </w:pPr>
      <w:r>
        <w:rPr>
          <w:rFonts w:ascii="Times New Roman" w:hAnsi="Times New Roman"/>
          <w:sz w:val="24"/>
          <w:szCs w:val="24"/>
          <w:lang w:val="es-AR"/>
        </w:rPr>
        <w:t xml:space="preserve">La cartografía social, como la geografía crítica, el trabajo social, la comunicación social y la sociología aportan herramientas para la construcción participativa de mapas que se hacen </w:t>
      </w:r>
      <w:r>
        <w:rPr>
          <w:rFonts w:ascii="Times New Roman" w:hAnsi="Times New Roman"/>
          <w:sz w:val="24"/>
          <w:szCs w:val="24"/>
          <w:lang w:val="es-AR"/>
        </w:rPr>
        <w:t>d</w:t>
      </w:r>
      <w:r>
        <w:rPr>
          <w:rFonts w:ascii="Times New Roman" w:hAnsi="Times New Roman"/>
          <w:sz w:val="24"/>
          <w:szCs w:val="24"/>
          <w:lang w:val="es-AR"/>
        </w:rPr>
        <w:t xml:space="preserve">e manera colaborativa entre muchas personas, miradas y sentires, a mano, en el suelo, en afiches, o con sistemas de información geográfica y con iconografías particulares, muchas diseñadas por las/os propias/os participantes. Son mapas que para técnicos/as especialistas en teledetección, geomorfología, minería, geología o cualquier otra ciencia o ámbito donde se usen mapas temáticos oficiales, no son mapas. “La cartografía social es verso”, replican entre pasillos. </w:t>
      </w:r>
    </w:p>
    <w:p>
      <w:pPr>
        <w:pStyle w:val="Normal"/>
        <w:spacing w:lineRule="auto" w:line="360" w:before="120" w:after="120"/>
        <w:jc w:val="both"/>
        <w:rPr/>
      </w:pPr>
      <w:r>
        <w:rPr>
          <w:rFonts w:ascii="Times New Roman" w:hAnsi="Times New Roman"/>
          <w:sz w:val="24"/>
          <w:szCs w:val="24"/>
          <w:lang w:val="es-AR"/>
        </w:rPr>
        <w:t xml:space="preserve">Pero la cartografía social existe y territorializa. Es aquel espacio que estando en blanco </w:t>
      </w:r>
      <w:r>
        <w:rPr>
          <w:rFonts w:ascii="Times New Roman" w:hAnsi="Times New Roman"/>
          <w:sz w:val="24"/>
          <w:szCs w:val="24"/>
          <w:lang w:val="es-AR"/>
        </w:rPr>
        <w:t>en el papel</w:t>
      </w:r>
      <w:r>
        <w:rPr>
          <w:rFonts w:ascii="Times New Roman" w:hAnsi="Times New Roman"/>
          <w:sz w:val="24"/>
          <w:szCs w:val="24"/>
          <w:lang w:val="es-AR"/>
        </w:rPr>
        <w:t xml:space="preserve"> se trans-forma con diversos íconos, rayas, flechas y colores, recortes de revistas, dibujos, palabras a las cotidianeidades que alegran porque son una síntesis del trabajo de la lucha organizada, pero también son expresiones que enojan, enferman, re-organizan, des-aprenden y que hacen alzar la voz y movilizan los cuerpos y subjetividades en territorios urbanos o rurales. Son una herramienta-acción de representación territorial y a la vez son un acto de territorialidad frente a las cartografías cartesianas hegemónicas con nortes siempre arriba junto al despojo y el extractivismo, estes al lado del capital, oestes patriarcales y sures sometidos por el peso de la gravedad capitalista. Las cartografías sociales proponen invertir no sólo la colonialista rosa de los vientos, con nuevos sures, estes u oestes. Los nortes siempre quedan en la pregunta ¿para dónde quedó el norte? Y la respuesta varía entre: “Acá donde está la casa de tal, la plaza, el cráter de la minera o el colegio”. </w:t>
      </w:r>
    </w:p>
    <w:p>
      <w:pPr>
        <w:pStyle w:val="Normal"/>
        <w:spacing w:lineRule="auto" w:line="360" w:before="120" w:after="120"/>
        <w:jc w:val="both"/>
        <w:rPr>
          <w:rFonts w:ascii="Times New Roman" w:hAnsi="Times New Roman"/>
          <w:sz w:val="24"/>
          <w:szCs w:val="24"/>
          <w:lang w:val="es-AR"/>
        </w:rPr>
      </w:pPr>
      <w:r>
        <w:rPr>
          <w:rFonts w:ascii="Times New Roman" w:hAnsi="Times New Roman"/>
          <w:sz w:val="24"/>
          <w:szCs w:val="24"/>
          <w:lang w:val="es-AR"/>
        </w:rPr>
        <w:t xml:space="preserve">Estas cartografías siempre parten de un conocimiento común, situado, territorializado, de saberes arraigados en el sentido mismo de política de la resistencia hecha a partir del estar, del defender la tierra, del movimiento común, desde colectivos movilizados y desde ahí, con sus calendarios y sus mapas buscan hilar nuevos andares para la defensa de la vida, los territorios y el ambiente. En la cabeza y en el resto del cuerpo están las memorias del despojo, del genocidio y el ecocidio. Los mapas mismos hechos cuerpo y territorio de la planificación estatal y empresarial de la destrucción ambiental. En las manos, los colores con los que pintar los conflictos socio-ambientales, visibilizándolos para contribuir no sólo a su denuncia sino también a la construcción de otros horizontes comunitario-populares que enfrenten y se aparten del futuro proyectado por el poder maquínico </w:t>
      </w:r>
      <w:r>
        <w:rPr>
          <w:rFonts w:eastAsia="Times New Roman" w:ascii="Times New Roman" w:hAnsi="Times New Roman"/>
          <w:sz w:val="24"/>
          <w:szCs w:val="24"/>
        </w:rPr>
        <w:t>del sistema-mundo moderno-colonial capitalista-patriarcal.</w:t>
      </w:r>
    </w:p>
    <w:p>
      <w:pPr>
        <w:pStyle w:val="Normal"/>
        <w:spacing w:lineRule="auto" w:line="360" w:before="120" w:after="120"/>
        <w:jc w:val="both"/>
        <w:rPr>
          <w:rFonts w:ascii="Times New Roman" w:hAnsi="Times New Roman"/>
          <w:sz w:val="24"/>
          <w:szCs w:val="24"/>
          <w:lang w:val="es-AR"/>
        </w:rPr>
      </w:pPr>
      <w:r>
        <w:rPr>
          <w:rFonts w:ascii="Times New Roman" w:hAnsi="Times New Roman"/>
          <w:sz w:val="24"/>
          <w:szCs w:val="24"/>
          <w:lang w:val="es-AR"/>
        </w:rPr>
        <w:t xml:space="preserve">Hay quienes han creado íconos más o menos estables para estas cartografías sociales que se reparten hoy por todo el mundo representando estas resistencias y despojos, estas alternativas y movilizaciones. Estos íconos son una aproximación representativa aceptable o no, cuya significación es dada por quienes les usen. Iconoclasistas (2017) es un colectivo que hace 10 años combina el arte gráfico, la investigación y la realización de talleres creativos con el objetivo de producir recursos de libre circulación, apropiación y uso, en el marco de una propuesta que trasciende la web. Iconoclasistas realizó talleres de mapeo colectivo y cartografías junto con movimientos sociales y estudiantiles, organizaciones barriales, colectivos, asambleas socio-ambientales, comunidades indígenas y grupos de trabajo en distintas partes del mundo. La construcción de cada mapa se presenta como una manera de elaborar relatos colectivos en torno al espacio común, en donde se cuestiona la representación hegemónica que se suele tener sobre el territorio. Quienes llevan adelante esta tarea plantean que a través del diseño y los talleres buscan “potenciar la comunicación, tejer redes de solidaridad y afinidad e impulsar prácticas colaborativas de resistencia y transformación” (Iconoclasistas, 2017). </w:t>
      </w:r>
    </w:p>
    <w:p>
      <w:pPr>
        <w:pStyle w:val="Normal"/>
        <w:spacing w:lineRule="auto" w:line="360" w:before="120" w:after="120"/>
        <w:jc w:val="both"/>
        <w:rPr>
          <w:rFonts w:ascii="Times New Roman" w:hAnsi="Times New Roman"/>
          <w:sz w:val="24"/>
          <w:szCs w:val="24"/>
          <w:lang w:val="es-AR"/>
        </w:rPr>
      </w:pPr>
      <w:r>
        <w:rPr>
          <w:rFonts w:ascii="Times New Roman" w:hAnsi="Times New Roman"/>
          <w:sz w:val="24"/>
          <w:szCs w:val="24"/>
          <w:lang w:val="es-AR"/>
        </w:rPr>
        <w:t xml:space="preserve">Pero también muchas veces el esfuerzo de estas actividades de la cartografía social queda en la herramienta de implementación de una práctica visibilizatoria de lo que vemos que sucede en un territorio, pero no en el avance de la organización de la resistencia y las construcciones de los más allá reales que pudiesen configurar el acto emancipatorio de la comunidad o las comunidades movilizadas. </w:t>
      </w:r>
    </w:p>
    <w:p>
      <w:pPr>
        <w:pStyle w:val="Normal"/>
        <w:spacing w:lineRule="auto" w:line="360" w:before="120" w:after="120"/>
        <w:jc w:val="both"/>
        <w:rPr>
          <w:rFonts w:ascii="Times New Roman" w:hAnsi="Times New Roman"/>
          <w:sz w:val="24"/>
          <w:szCs w:val="24"/>
          <w:lang w:val="es-AR"/>
        </w:rPr>
      </w:pPr>
      <w:r>
        <w:rPr>
          <w:rFonts w:ascii="Times New Roman" w:hAnsi="Times New Roman"/>
          <w:sz w:val="24"/>
          <w:szCs w:val="24"/>
          <w:lang w:val="es-AR"/>
        </w:rPr>
      </w:r>
    </w:p>
    <w:p>
      <w:pPr>
        <w:pStyle w:val="ListParagraph"/>
        <w:spacing w:lineRule="auto" w:line="360" w:before="0" w:after="0"/>
        <w:ind w:left="0" w:hanging="0"/>
        <w:contextualSpacing/>
        <w:jc w:val="both"/>
        <w:rPr>
          <w:rFonts w:ascii="Times New Roman" w:hAnsi="Times New Roman"/>
          <w:b/>
          <w:b/>
          <w:bCs/>
          <w:color w:val="auto"/>
        </w:rPr>
      </w:pPr>
      <w:r>
        <w:rPr>
          <w:rFonts w:eastAsia="Times New Roman" w:ascii="Times New Roman" w:hAnsi="Times New Roman"/>
          <w:b/>
          <w:bCs/>
          <w:color w:val="auto"/>
          <w:sz w:val="24"/>
          <w:szCs w:val="24"/>
        </w:rPr>
        <w:t>Sujetos/as/es en lucha: el Cordobazo antidesarrollista</w:t>
      </w:r>
    </w:p>
    <w:p>
      <w:pPr>
        <w:pStyle w:val="ListParagraph"/>
        <w:spacing w:lineRule="auto" w:line="360" w:before="0" w:after="0"/>
        <w:ind w:left="0" w:hanging="0"/>
        <w:contextualSpacing/>
        <w:jc w:val="both"/>
        <w:rPr>
          <w:rFonts w:ascii="Times New Roman" w:hAnsi="Times New Roman"/>
          <w:sz w:val="24"/>
          <w:szCs w:val="24"/>
        </w:rPr>
      </w:pPr>
      <w:r>
        <w:rPr>
          <w:rFonts w:ascii="Times New Roman" w:hAnsi="Times New Roman"/>
          <w:sz w:val="24"/>
          <w:szCs w:val="24"/>
        </w:rPr>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Consideramos que las asambleas y organizaciones de base socio-ambientales socioambientales cordobesas son sujetos de lucha construidos en las múltiples experiencias de lucha frente a las consecuencias locales del complejo desarrollista hegemónico depredatorio de los bienes comunes. Complejo que garantiza las condiciones jurídicas, políticas y económicas para e</w:t>
      </w:r>
      <w:r>
        <w:rPr>
          <w:rFonts w:eastAsia="Times New Roman" w:ascii="Times New Roman" w:hAnsi="Times New Roman"/>
          <w:color w:val="auto"/>
          <w:sz w:val="24"/>
          <w:szCs w:val="24"/>
        </w:rPr>
        <w:t xml:space="preserve">l acaparamiento de tierras y la profundización extractivista de los procesos de despojo del </w:t>
      </w:r>
      <w:r>
        <w:rPr>
          <w:rFonts w:eastAsia="Times New Roman" w:ascii="Times New Roman" w:hAnsi="Times New Roman"/>
          <w:i/>
          <w:color w:val="auto"/>
          <w:sz w:val="24"/>
          <w:szCs w:val="24"/>
        </w:rPr>
        <w:t xml:space="preserve">sistema-mundo moderno-colonial capitalista-patriarcal. </w:t>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 xml:space="preserve">Son esos cuerpos, subjetividades y potencias comunes las que constituyen y fortalecen la acción de </w:t>
      </w:r>
      <w:r>
        <w:rPr>
          <w:rFonts w:ascii="Times New Roman" w:hAnsi="Times New Roman"/>
          <w:i/>
          <w:color w:val="auto"/>
          <w:sz w:val="24"/>
          <w:szCs w:val="24"/>
        </w:rPr>
        <w:t>lo político</w:t>
      </w:r>
      <w:r>
        <w:rPr>
          <w:rFonts w:ascii="Times New Roman" w:hAnsi="Times New Roman"/>
          <w:color w:val="auto"/>
          <w:sz w:val="24"/>
          <w:szCs w:val="24"/>
        </w:rPr>
        <w:t xml:space="preserve"> creando entramados comunitarios en aquellos territorios en lucha por la garantía de sustento de la vida (Gutiérrez Aguilar, 2017). Frente a la destrucción y el despojo para la reproducción del capital, las luchas socioambientales urbanas, rurales, rururbanas y periurbanas, recrean permanentemente procesos y acciones autorganizativas que vuelven a poner en el centro la defensa de la vida y el ambiente en la construcción de horizontes comunitario-populares, siendo convergentes en esa defensa con las luchas de las mujeres y de los/as jóvenes y realimentando la sinergia inter-social.</w:t>
      </w:r>
    </w:p>
    <w:p>
      <w:pPr>
        <w:pStyle w:val="Normal"/>
        <w:spacing w:lineRule="auto" w:line="360" w:before="0" w:after="0"/>
        <w:jc w:val="both"/>
        <w:rPr>
          <w:rFonts w:ascii="Times New Roman" w:hAnsi="Times New Roman"/>
          <w:color w:val="auto"/>
          <w:sz w:val="24"/>
          <w:szCs w:val="24"/>
        </w:rPr>
      </w:pPr>
      <w:r>
        <w:rPr>
          <w:rFonts w:ascii="Times New Roman" w:hAnsi="Times New Roman"/>
          <w:color w:val="auto"/>
          <w:sz w:val="24"/>
          <w:szCs w:val="24"/>
        </w:rPr>
        <w:t xml:space="preserve">Las potentes manifestaciones de mujeres que han poblado las calles con sus cuerpos y subjetividades a lo largo y ancho del país, legitimando derechos , poniendo en evidencia la perspectiva de género y las opresiones resultantes, y luchando para obtener la legalidad de las reinvindicaciones, hacen visibles los intentos de subalternizar y proscribir las miradas que pluralizan las tomas de decisiones. La imposición de jerarquías convierte al estado en ejecutor del monopolio de las decisiones que no vacilan en abatir el bosque, lo natural, feminizado y en posición subalterna, ejerciendo la dueñidad sobre la tierra. (Segato, 2016). El Nunca Más marca un límite a la subalternidad, habilita el NO, por aquí NO, cuando se le dice NO al Estado que impone trazados y acciones que le quitan el lugar a la vida.  </w:t>
      </w:r>
    </w:p>
    <w:p>
      <w:pPr>
        <w:pStyle w:val="ListParagraph"/>
        <w:spacing w:lineRule="auto" w:line="360" w:before="0" w:after="0"/>
        <w:ind w:left="0" w:hanging="0"/>
        <w:contextualSpacing/>
        <w:jc w:val="both"/>
        <w:rPr>
          <w:rFonts w:ascii="Times New Roman" w:hAnsi="Times New Roman"/>
          <w:color w:val="auto"/>
          <w:sz w:val="24"/>
          <w:szCs w:val="24"/>
          <w:lang w:val="es-CO"/>
        </w:rPr>
      </w:pPr>
      <w:r>
        <w:rPr>
          <w:rFonts w:ascii="Times New Roman" w:hAnsi="Times New Roman"/>
          <w:color w:val="auto"/>
          <w:sz w:val="24"/>
          <w:szCs w:val="24"/>
        </w:rPr>
        <w:t xml:space="preserve">40/60/80/100.000 mujeres organizándose, debatiendo en talleres multidisciplinarios, plurinacionales, marchando y haciéndose visibles como fuerza social en las ciudades que se eligen, desde 1985, para el Encuentro Nacional de Mujeres, marcan la potencia de los entramados comunitarios reconstruyéndose en defensa de la vida. </w:t>
      </w:r>
    </w:p>
    <w:p>
      <w:pPr>
        <w:pStyle w:val="Normal"/>
        <w:spacing w:lineRule="auto" w:line="360" w:before="0" w:after="0"/>
        <w:jc w:val="both"/>
        <w:rPr>
          <w:rFonts w:ascii="Times New Roman" w:hAnsi="Times New Roman"/>
          <w:color w:val="auto"/>
          <w:sz w:val="24"/>
          <w:szCs w:val="24"/>
        </w:rPr>
      </w:pPr>
      <w:r>
        <w:rPr>
          <w:rFonts w:ascii="Times New Roman" w:hAnsi="Times New Roman"/>
          <w:color w:val="auto"/>
          <w:sz w:val="24"/>
          <w:szCs w:val="24"/>
        </w:rPr>
        <w:t>La Marcha de la Gorra, que iniciara en 2006 contra el Código de Faltas represivo y discriminador de Córdoba y se extendiera al resto del país, es una gigante denuncia pública de la fragmentación del acceso al espacio público urbano, una gran convergencia de la potencia de los cuerpos organizados luchando contra el racismo materializado en la vulneración de los derechos de los/as jóvenes por “portación de rostro”.</w:t>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 xml:space="preserve">Desde aquí es que entendemos que el Cordobazo Ambiental se propone subvertir el sentido de participación política dado por el estado, basado en el precepto de participación ciudadana representada por los/as gobernantes en un sistema de democracia representativa, y no de reconocimiento y potenciación de los/as sujetos/as participantes en procesos de creación y sostenimiento de experiencias autónomas para la emancipación y transformación social en defensa de la vida y los bienes comunes. Y la trampa institucional radica en que los reclamos y propuestas surgidas desde las territorialidades socioambientales en lucha están legisladas por la Ley Provincial General de Ambiente 10.208 sin que estas voces recogidas en las consultas populares sean las que incidan de manera directa sobre lo común, ya que la decisión última en materia de legislación ambiental es monopolio de las/os representantes del estado. </w:t>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 xml:space="preserve">En este sentido es que nos hacemos eco de aquellas miradas y sentires que alertan sobre los peligros y engaños de las herramientas de </w:t>
      </w:r>
      <w:r>
        <w:rPr>
          <w:rFonts w:ascii="Times New Roman" w:hAnsi="Times New Roman"/>
          <w:i/>
          <w:color w:val="auto"/>
          <w:sz w:val="24"/>
          <w:szCs w:val="24"/>
        </w:rPr>
        <w:t>la política</w:t>
      </w:r>
      <w:r>
        <w:rPr>
          <w:rFonts w:ascii="Times New Roman" w:hAnsi="Times New Roman"/>
          <w:color w:val="auto"/>
          <w:sz w:val="24"/>
          <w:szCs w:val="24"/>
        </w:rPr>
        <w:t xml:space="preserve"> que devienen en una </w:t>
      </w:r>
      <w:r>
        <w:rPr>
          <w:rFonts w:ascii="Times New Roman" w:hAnsi="Times New Roman"/>
          <w:i/>
          <w:iCs/>
          <w:color w:val="auto"/>
          <w:sz w:val="24"/>
          <w:szCs w:val="24"/>
        </w:rPr>
        <w:t>participación fraguada,</w:t>
      </w:r>
      <w:r>
        <w:rPr>
          <w:rFonts w:ascii="Times New Roman" w:hAnsi="Times New Roman"/>
          <w:color w:val="auto"/>
          <w:sz w:val="24"/>
          <w:szCs w:val="24"/>
        </w:rPr>
        <w:t xml:space="preserve"> en mecanismos que simulan la participación ciudadana en audiencias públicas que no son vinculantes para quienes cumplen con todos los mecanismos necesarios para participar. De allí la importancia del Cordobazo Ambiental como trama compleja, pluriversa y a la vez común de múltiples formas autorganizativas de base, que potencia la construcción de horizontes comunitario-populares en torno a la defensa de la garantía de sustento de la vida y el ambiente sano desde la r-existencias socioambientales. </w:t>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Sin embargo, estos entramados comunitarios, a pesar de advertir los fraudes institucionales, reconocen también que la existencia de herramientas no vinculantes de participación ciudadana actuaron como instancias de fortalecimiento de la organización de redes y la construcción de discursos y accionares colectivos impugnatorios de proyectos desarrollistas extractivistas como la Autovía de montaña en el Valle de Punilla sobre las Sierras Chicas, las canteras de San José de La Quintana y Saldán, los Diques de El Carapé y Cabana, y el loteo Cimas de Nono.</w:t>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R-existencias socioambientales locales que enfrentan y buscar mitigar también las consecuencias destructivas de propuestas urbanísticas desarrollistas en zonas rururbanas o periurbanas que profundizan el acaparamiento de tierras y la apropiación del agua con fines especulatorios en el mercado habitacional. Son ejemplos de ello, proyectos como Aquavista,  loteo con 2.000 inmuebles con acceso a una laguna artificial propia, y complejos acuáticos privados en Malagueño, o las lagunas de retención de agua presentes en barrios privados de las sierras. Algunos barrios cerrados en las Sierras Chicas fueron reconvertidos en ecobarrios tras movilizaciones socioambientales, como es el caso de Villa Sol, emprendimiento de Bugliotti Desarrollos Urbanos en Salsipuedes que incluye casas con paneles solares insertas en un campo de golf. La movilización social también logró consolidar la prohibición de las fumigaciones en proximidades de escuelas y áreas pobladas, en muchas comunas y municipios, aunque sin control efectivo.</w:t>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 xml:space="preserve">A su vez se destaca que la demanda del saber legitimado por agentes con peso académico y con participación en las organizaciones sociales tiene un efecto anulatorio en la autonomía, creatividad y producción de lo común en las territorialidades socio-ambientales en conflicto consolidando la tendencia a reproducir lógicas y prácticas colonialistas del saber.  </w:t>
      </w:r>
    </w:p>
    <w:p>
      <w:pPr>
        <w:pStyle w:val="ListParagraph"/>
        <w:spacing w:lineRule="auto" w:line="360" w:before="0" w:after="0"/>
        <w:ind w:left="0" w:hanging="0"/>
        <w:contextualSpacing/>
        <w:jc w:val="both"/>
        <w:rPr>
          <w:rFonts w:ascii="Times New Roman" w:hAnsi="Times New Roman"/>
          <w:color w:val="auto"/>
          <w:sz w:val="24"/>
          <w:szCs w:val="24"/>
        </w:rPr>
      </w:pPr>
      <w:r>
        <w:rPr>
          <w:rFonts w:ascii="Times New Roman" w:hAnsi="Times New Roman"/>
          <w:color w:val="auto"/>
          <w:sz w:val="24"/>
          <w:szCs w:val="24"/>
        </w:rPr>
        <w:t xml:space="preserve">En relación a lo comunicativo es notoria una creciente tendencia de cuestionamiento de la información difundida por los medios masivos comerciales cuyos intereses y posicionamientos desdibujan, cuando no mal-versan, los acontecimientos. Ante ello, son principalmente los/as jóvenes de las luchas socio-ambientales locales periurbanas y regionales quienes contrarrestan las campañas de difamación y desinformación registrando los conflictos y procesos de lucha con diversos dispositivos y producciones comunicacionales propias tanto radiales, gráficas como audiovisuales, articulando entre asambleas, colectivos y organizaciones de base en redes como el Foro Argentino de Radios Comunitarias (FARCO), la Red Nacional de Medios Alternativos (RNMA) o Diarios y Periódicos de Córdoba (DyPCOR). De esta manera, lo mediático-organizacional-asambleario resulta fortalecido por prácticas y experiencias comunicacionales autónomas legitimadas en el tejido de lazos comunitarios entre los/as sujetos/as de las diversas luchas socio-ambientales.  </w:t>
      </w:r>
    </w:p>
    <w:p>
      <w:pPr>
        <w:pStyle w:val="Normal"/>
        <w:spacing w:lineRule="auto" w:line="360"/>
        <w:jc w:val="both"/>
        <w:rPr>
          <w:rFonts w:ascii="Times New Roman" w:hAnsi="Times New Roman" w:eastAsia="Times New Roman"/>
          <w:b/>
          <w:b/>
          <w:color w:val="auto"/>
          <w:sz w:val="24"/>
          <w:szCs w:val="24"/>
        </w:rPr>
      </w:pPr>
      <w:r>
        <w:rPr>
          <w:rFonts w:eastAsia="Times New Roman" w:ascii="Times New Roman" w:hAnsi="Times New Roman"/>
          <w:b/>
          <w:color w:val="auto"/>
          <w:sz w:val="24"/>
          <w:szCs w:val="24"/>
        </w:rPr>
        <w:t>Mapeo de una síntesis final</w:t>
      </w:r>
    </w:p>
    <w:p>
      <w:pPr>
        <w:pStyle w:val="Normal"/>
        <w:spacing w:lineRule="auto" w:line="360"/>
        <w:jc w:val="both"/>
        <w:rPr/>
      </w:pPr>
      <w:r>
        <w:rPr>
          <w:rFonts w:eastAsia="Times New Roman" w:ascii="Times New Roman" w:hAnsi="Times New Roman"/>
          <w:sz w:val="24"/>
          <w:szCs w:val="24"/>
        </w:rPr>
        <w:t xml:space="preserve">Nos falta el bosque nativo y nos sobran vientos desatados sin freno, nos sobran aglomerados urbanos con multitudes encerradas destinadas sólo a producir-consumir-producir mercancías por doquier, nos falta gente habitando el mundo, ése fuera de las ciudades, nos sobran áreas sembradas intoxicadas que luego se convierten en rastrojo y campos inertes, nos falta gente que cuide el bosque que queda, nos sobran gigantescas obras de infraestructura con kilómetros de cemento y espejos artificiales de agua, nos faltan tierras fértiles que atesoren la vida, nos falta gente que cultive sin máquinas fumigadoras, nos sobran tierras desertificadas y extenuadas, nos sobran gigantescas barreras de hormigón que garantizan el intercambio desmesurado de todo lo que se convierte en mercancía, y otras murallas gigantescas que garantizan enormes guetos de discriminación y opresión salvaje. Nos sobran los golpes en la tierra que se horada con codicia, que se demuele vorazmente ignorando toda vida. También, afortunadamente, </w:t>
      </w:r>
      <w:r>
        <w:rPr>
          <w:rFonts w:eastAsia="Times New Roman" w:ascii="Times New Roman" w:hAnsi="Times New Roman"/>
          <w:sz w:val="24"/>
          <w:szCs w:val="24"/>
        </w:rPr>
        <w:t>abundan</w:t>
      </w:r>
      <w:r>
        <w:rPr>
          <w:rFonts w:eastAsia="Times New Roman" w:ascii="Times New Roman" w:hAnsi="Times New Roman"/>
          <w:sz w:val="24"/>
          <w:szCs w:val="24"/>
        </w:rPr>
        <w:t xml:space="preserve"> muchas pequeñas organizaciones, heterogéneas, pluriversas, dinámicas, fluctuantes, como la vida misma, buscando los modos de re-existir, generando sinergia, rearmando tramas comunitarias, compartiendo horizontes… Estos pequeños </w:t>
      </w:r>
      <w:r>
        <w:rPr>
          <w:rFonts w:eastAsia="Times New Roman" w:ascii="Times New Roman" w:hAnsi="Times New Roman"/>
          <w:i/>
          <w:sz w:val="24"/>
          <w:szCs w:val="24"/>
        </w:rPr>
        <w:t>acuerpamientos</w:t>
      </w:r>
      <w:r>
        <w:rPr>
          <w:rFonts w:eastAsia="Times New Roman" w:ascii="Times New Roman" w:hAnsi="Times New Roman"/>
          <w:sz w:val="24"/>
          <w:szCs w:val="24"/>
        </w:rPr>
        <w:t>, a veces, cuando se dan las condiciones… estallan…</w:t>
      </w:r>
    </w:p>
    <w:p>
      <w:pPr>
        <w:pStyle w:val="Normal"/>
        <w:spacing w:lineRule="auto" w:line="360" w:before="0" w:after="0"/>
        <w:jc w:val="both"/>
        <w:rPr>
          <w:rFonts w:ascii="Times New Roman" w:hAnsi="Times New Roman" w:eastAsia="Times New Roman"/>
          <w:b/>
          <w:b/>
          <w:sz w:val="24"/>
          <w:szCs w:val="24"/>
        </w:rPr>
      </w:pPr>
      <w:r>
        <w:rPr>
          <w:rFonts w:eastAsia="Times New Roman" w:ascii="Times New Roman" w:hAnsi="Times New Roman"/>
          <w:b/>
          <w:sz w:val="24"/>
          <w:szCs w:val="24"/>
        </w:rPr>
      </w:r>
    </w:p>
    <w:p>
      <w:pPr>
        <w:pStyle w:val="Normal"/>
        <w:spacing w:lineRule="auto" w:line="360" w:before="0" w:after="0"/>
        <w:jc w:val="both"/>
        <w:rPr>
          <w:rFonts w:ascii="Times New Roman" w:hAnsi="Times New Roman" w:eastAsia="Times New Roman"/>
          <w:b/>
          <w:b/>
          <w:sz w:val="24"/>
          <w:szCs w:val="24"/>
        </w:rPr>
      </w:pPr>
      <w:r>
        <w:rPr>
          <w:rFonts w:eastAsia="Times New Roman" w:ascii="Times New Roman" w:hAnsi="Times New Roman"/>
          <w:b/>
          <w:sz w:val="24"/>
          <w:szCs w:val="24"/>
        </w:rPr>
        <w:t>Bibliografía</w:t>
      </w:r>
    </w:p>
    <w:p>
      <w:pPr>
        <w:pStyle w:val="Normal"/>
        <w:spacing w:lineRule="auto" w:line="360" w:before="0" w:after="0"/>
        <w:jc w:val="both"/>
        <w:rPr>
          <w:rFonts w:ascii="Times New Roman" w:hAnsi="Times New Roman" w:eastAsia="Times New Roman"/>
          <w:sz w:val="24"/>
          <w:szCs w:val="24"/>
        </w:rPr>
      </w:pPr>
      <w:r>
        <w:rPr>
          <w:rFonts w:eastAsia="Times New Roman" w:ascii="Times New Roman" w:hAnsi="Times New Roman"/>
          <w:sz w:val="24"/>
          <w:szCs w:val="24"/>
        </w:rPr>
        <w:t>Ávila Vásquez, Medardo (2014). Agricultura tóxica y pueblos fumigados en Argentina. Revista + E, 2014, vol. 4, no 4. Ene-Dic, p. 28-34.</w:t>
      </w:r>
    </w:p>
    <w:p>
      <w:pPr>
        <w:pStyle w:val="Normal"/>
        <w:spacing w:lineRule="auto" w:line="360" w:before="0" w:after="0"/>
        <w:jc w:val="both"/>
        <w:rPr/>
      </w:pPr>
      <w:r>
        <w:rPr>
          <w:rFonts w:eastAsia="Times New Roman" w:ascii="Times New Roman" w:hAnsi="Times New Roman"/>
          <w:sz w:val="24"/>
          <w:szCs w:val="24"/>
        </w:rPr>
        <w:t xml:space="preserve">Balmaceda, </w:t>
      </w:r>
      <w:r>
        <w:rPr>
          <w:rFonts w:eastAsia="Times New Roman" w:ascii="Times New Roman" w:hAnsi="Times New Roman"/>
          <w:sz w:val="24"/>
          <w:szCs w:val="24"/>
        </w:rPr>
        <w:t>Nadia</w:t>
      </w:r>
      <w:r>
        <w:rPr>
          <w:rFonts w:eastAsia="Times New Roman" w:ascii="Times New Roman" w:hAnsi="Times New Roman"/>
          <w:sz w:val="24"/>
          <w:szCs w:val="24"/>
        </w:rPr>
        <w:t xml:space="preserve"> y Deon, </w:t>
      </w:r>
      <w:r>
        <w:rPr>
          <w:rFonts w:eastAsia="Times New Roman" w:ascii="Times New Roman" w:hAnsi="Times New Roman"/>
          <w:sz w:val="24"/>
          <w:szCs w:val="24"/>
        </w:rPr>
        <w:t>Joaquín Ulises</w:t>
      </w:r>
      <w:r>
        <w:rPr>
          <w:rFonts w:eastAsia="Times New Roman" w:ascii="Times New Roman" w:hAnsi="Times New Roman"/>
          <w:sz w:val="24"/>
          <w:szCs w:val="24"/>
        </w:rPr>
        <w:t xml:space="preserve"> (2019). Desafíos de la agroecología en territorios suburbanos. </w:t>
      </w:r>
      <w:r>
        <w:rPr>
          <w:rStyle w:val="Muydestacado"/>
          <w:rFonts w:eastAsia="Times New Roman" w:ascii="Times New Roman" w:hAnsi="Times New Roman"/>
          <w:b w:val="false"/>
          <w:sz w:val="24"/>
          <w:szCs w:val="24"/>
        </w:rPr>
        <w:t>E+E: Estudios de Extensión en Humanidades</w:t>
      </w:r>
      <w:r>
        <w:rPr>
          <w:rFonts w:eastAsia="Times New Roman" w:ascii="Times New Roman" w:hAnsi="Times New Roman"/>
          <w:b/>
          <w:sz w:val="24"/>
          <w:szCs w:val="24"/>
        </w:rPr>
        <w:t xml:space="preserve">, </w:t>
      </w:r>
      <w:r>
        <w:rPr>
          <w:rFonts w:eastAsia="Times New Roman" w:ascii="Times New Roman" w:hAnsi="Times New Roman"/>
          <w:sz w:val="24"/>
          <w:szCs w:val="24"/>
        </w:rPr>
        <w:t>[S.l.], v. 6, n. 7, apr. 2019. ISSN 1853-8088. Disponible en: &lt;</w:t>
      </w:r>
      <w:hyperlink r:id="rId8" w:tgtFrame="_new">
        <w:r>
          <w:rPr>
            <w:rStyle w:val="EnlacedeInternet"/>
            <w:rFonts w:eastAsia="Times New Roman" w:ascii="Times New Roman" w:hAnsi="Times New Roman"/>
            <w:sz w:val="24"/>
            <w:szCs w:val="24"/>
          </w:rPr>
          <w:t>https://revistas.unc.edu.ar/index.php/EEH/article/view/24193</w:t>
        </w:r>
      </w:hyperlink>
      <w:r>
        <w:rPr>
          <w:rFonts w:eastAsia="Times New Roman" w:ascii="Times New Roman" w:hAnsi="Times New Roman"/>
          <w:sz w:val="24"/>
          <w:szCs w:val="24"/>
        </w:rPr>
        <w:t xml:space="preserve">&gt;. Fecha de acceso: 25 Aug. 2019.  </w:t>
      </w:r>
    </w:p>
    <w:p>
      <w:pPr>
        <w:pStyle w:val="Normal"/>
        <w:spacing w:lineRule="auto" w:line="360" w:before="0" w:after="0"/>
        <w:jc w:val="both"/>
        <w:rPr/>
      </w:pPr>
      <w:r>
        <w:rPr>
          <w:rFonts w:eastAsia="Times New Roman" w:ascii="Times New Roman" w:hAnsi="Times New Roman"/>
          <w:sz w:val="24"/>
          <w:szCs w:val="24"/>
        </w:rPr>
        <w:t>Balmaceda, Nadia y Deon, Joaquín Ulises (2019).</w:t>
      </w:r>
      <w:r>
        <w:rPr>
          <w:rFonts w:eastAsia="Times New Roman" w:ascii="Times New Roman" w:hAnsi="Times New Roman"/>
          <w:b w:val="false"/>
          <w:bCs w:val="false"/>
          <w:sz w:val="24"/>
          <w:szCs w:val="24"/>
        </w:rPr>
        <w:t xml:space="preserve"> </w:t>
      </w:r>
      <w:r>
        <w:rPr>
          <w:rStyle w:val="Muydestacado"/>
          <w:rFonts w:eastAsia="Times New Roman" w:ascii="Times New Roman" w:hAnsi="Times New Roman"/>
          <w:b w:val="false"/>
          <w:bCs w:val="false"/>
          <w:sz w:val="24"/>
          <w:szCs w:val="24"/>
        </w:rPr>
        <w:t>Desafíos del sistema alimentario nutricional de agroecológicos en Argentina, el caso de la Provincia Córdoba</w:t>
      </w:r>
      <w:r>
        <w:rPr>
          <w:rFonts w:eastAsia="Times New Roman" w:ascii="Times New Roman" w:hAnsi="Times New Roman"/>
          <w:b w:val="false"/>
          <w:bCs w:val="false"/>
          <w:sz w:val="24"/>
          <w:szCs w:val="24"/>
        </w:rPr>
        <w:t xml:space="preserve">. </w:t>
      </w:r>
      <w:r>
        <w:rPr>
          <w:rFonts w:eastAsia="Times New Roman" w:ascii="Times New Roman" w:hAnsi="Times New Roman"/>
          <w:sz w:val="24"/>
          <w:szCs w:val="24"/>
        </w:rPr>
        <w:t xml:space="preserve">Ponencia del III° Seminario Latinoamericano de Teoría Social julio-agosto 2019. UBA, Buenos Aires. Disponible en: </w:t>
      </w:r>
      <w:hyperlink r:id="rId9">
        <w:r>
          <w:rPr>
            <w:rStyle w:val="EnlacedeInternet"/>
            <w:rFonts w:eastAsia="Times New Roman" w:ascii="Times New Roman" w:hAnsi="Times New Roman"/>
            <w:sz w:val="24"/>
            <w:szCs w:val="24"/>
          </w:rPr>
          <w:t>https://www.academia.edu/s/bda51cc01c/desafios-del-sistema-alimentario-nutricional-de-agroecologicos-en-argentina-el-caso-de-la-provincia-cordoba?source=link</w:t>
        </w:r>
      </w:hyperlink>
      <w:r>
        <w:rPr>
          <w:rFonts w:eastAsia="Times New Roman" w:ascii="Times New Roman" w:hAnsi="Times New Roman"/>
          <w:sz w:val="24"/>
          <w:szCs w:val="24"/>
        </w:rPr>
        <w:t xml:space="preserve"> [consultado el 27.08.2019]</w:t>
      </w:r>
    </w:p>
    <w:p>
      <w:pPr>
        <w:pStyle w:val="Normal"/>
        <w:spacing w:lineRule="auto" w:line="360" w:before="0" w:after="0"/>
        <w:jc w:val="both"/>
        <w:rPr>
          <w:rFonts w:ascii="Times New Roman" w:hAnsi="Times New Roman"/>
          <w:sz w:val="24"/>
          <w:szCs w:val="24"/>
        </w:rPr>
      </w:pPr>
      <w:r>
        <w:rPr>
          <w:rFonts w:eastAsia="Times New Roman" w:ascii="Times New Roman" w:hAnsi="Times New Roman"/>
          <w:sz w:val="24"/>
          <w:szCs w:val="24"/>
        </w:rPr>
        <w:t xml:space="preserve">Deon, Joaquín Ulises (2016). ¿Caminando hacia el Movimiento contra el desmonte en Córdoba? </w:t>
      </w:r>
      <w:r>
        <w:rPr>
          <w:rFonts w:eastAsia="Times New Roman" w:ascii="Times New Roman" w:hAnsi="Times New Roman"/>
          <w:i/>
          <w:sz w:val="24"/>
          <w:szCs w:val="24"/>
        </w:rPr>
        <w:t>Revista Cardinalis</w:t>
      </w:r>
      <w:r>
        <w:rPr>
          <w:rFonts w:eastAsia="Times New Roman" w:ascii="Times New Roman" w:hAnsi="Times New Roman"/>
          <w:sz w:val="24"/>
          <w:szCs w:val="24"/>
        </w:rPr>
        <w:t>, p. 63-90. UNC. Córdoba.</w:t>
      </w:r>
    </w:p>
    <w:p>
      <w:pPr>
        <w:pStyle w:val="Normal"/>
        <w:spacing w:lineRule="auto" w:line="360" w:before="0" w:after="0"/>
        <w:rPr>
          <w:rFonts w:ascii="Times New Roman" w:hAnsi="Times New Roman"/>
          <w:sz w:val="24"/>
          <w:szCs w:val="24"/>
        </w:rPr>
      </w:pPr>
      <w:r>
        <w:rPr>
          <w:rFonts w:ascii="Times New Roman" w:hAnsi="Times New Roman"/>
          <w:sz w:val="24"/>
          <w:szCs w:val="24"/>
        </w:rPr>
        <w:t xml:space="preserve">Esteva, Gustavo, &amp; Sachs, W. (1996). Diccionario del desarrollo. </w:t>
      </w:r>
      <w:r>
        <w:rPr>
          <w:rFonts w:ascii="Times New Roman" w:hAnsi="Times New Roman"/>
          <w:i/>
          <w:sz w:val="24"/>
          <w:szCs w:val="24"/>
        </w:rPr>
        <w:t xml:space="preserve">Una guía del conocimiento como poder. </w:t>
      </w:r>
      <w:r>
        <w:rPr>
          <w:rFonts w:ascii="Times New Roman" w:hAnsi="Times New Roman"/>
          <w:sz w:val="24"/>
          <w:szCs w:val="24"/>
        </w:rPr>
        <w:t>W. SACHS (editor), PRATEC, Perú, (primera edición en inglés en 1992).</w:t>
      </w:r>
    </w:p>
    <w:p>
      <w:pPr>
        <w:pStyle w:val="Normal"/>
        <w:spacing w:lineRule="auto" w:line="360" w:before="0" w:after="0"/>
        <w:jc w:val="both"/>
        <w:rPr>
          <w:rFonts w:ascii="Times New Roman" w:hAnsi="Times New Roman"/>
          <w:sz w:val="24"/>
          <w:szCs w:val="24"/>
        </w:rPr>
      </w:pPr>
      <w:r>
        <w:rPr>
          <w:rFonts w:eastAsia="Noto Sans CJK SC Regular" w:ascii="Times New Roman" w:hAnsi="Times New Roman"/>
          <w:sz w:val="24"/>
          <w:szCs w:val="24"/>
          <w:lang w:val="es-AR" w:eastAsia="zh-CN" w:bidi="hi-IN"/>
        </w:rPr>
        <w:t xml:space="preserve">Federici, Silvia (2015). </w:t>
      </w:r>
      <w:r>
        <w:rPr>
          <w:rFonts w:eastAsia="Noto Sans CJK SC Regular" w:ascii="Times New Roman" w:hAnsi="Times New Roman"/>
          <w:i/>
          <w:sz w:val="24"/>
          <w:szCs w:val="24"/>
          <w:lang w:val="es-AR" w:eastAsia="zh-CN" w:bidi="hi-IN"/>
        </w:rPr>
        <w:t xml:space="preserve">El calibán y la bruja. Mujeres, cuerpo y acumulación. </w:t>
      </w:r>
      <w:r>
        <w:rPr>
          <w:rFonts w:eastAsia="Noto Sans CJK SC Regular" w:ascii="Times New Roman" w:hAnsi="Times New Roman"/>
          <w:sz w:val="24"/>
          <w:szCs w:val="24"/>
          <w:lang w:val="es-AR" w:eastAsia="zh-CN" w:bidi="hi-IN"/>
        </w:rPr>
        <w:t xml:space="preserve">Editorial Tinta Limón y Mapas ediciones. Ciudad Autónoma de Buenos Aires. </w:t>
      </w:r>
    </w:p>
    <w:p>
      <w:pPr>
        <w:pStyle w:val="Normal"/>
        <w:spacing w:lineRule="auto" w:line="360" w:before="0" w:after="0"/>
        <w:jc w:val="both"/>
        <w:rPr/>
      </w:pPr>
      <w:r>
        <w:rPr>
          <w:rFonts w:eastAsia="Times New Roman" w:ascii="Times New Roman" w:hAnsi="Times New Roman"/>
          <w:sz w:val="24"/>
          <w:szCs w:val="24"/>
        </w:rPr>
        <w:t xml:space="preserve">González, Rodrigo, Otero, Adriana, Nakayama, Lía, &amp; Marioni, Susana (2009). Las movilidades del turismo y las migraciones de amenidad: problemáticas y contradicciones en el desarrollo de centros turísticos de montaña. </w:t>
      </w:r>
      <w:r>
        <w:rPr>
          <w:rFonts w:eastAsia="Times New Roman" w:ascii="Times New Roman" w:hAnsi="Times New Roman"/>
          <w:i/>
          <w:sz w:val="24"/>
          <w:szCs w:val="24"/>
        </w:rPr>
        <w:t>Revista de geografía Norte Grande</w:t>
      </w:r>
      <w:r>
        <w:rPr>
          <w:rFonts w:eastAsia="Times New Roman" w:ascii="Times New Roman" w:hAnsi="Times New Roman"/>
          <w:sz w:val="24"/>
          <w:szCs w:val="24"/>
        </w:rPr>
        <w:t xml:space="preserve">, (44), 75-92. </w:t>
      </w:r>
      <w:hyperlink r:id="rId10">
        <w:r>
          <w:rPr>
            <w:rStyle w:val="EnlacedeInternet"/>
            <w:rFonts w:eastAsia="Times New Roman" w:ascii="Times New Roman" w:hAnsi="Times New Roman"/>
            <w:color w:val="00000A"/>
            <w:sz w:val="24"/>
            <w:szCs w:val="24"/>
          </w:rPr>
          <w:t>https://dx.doi.org/10.4067/S0718-34022009000300004</w:t>
        </w:r>
      </w:hyperlink>
      <w:r>
        <w:rPr>
          <w:rStyle w:val="EnlacedeInternet"/>
          <w:rFonts w:eastAsia="Times New Roman" w:ascii="Times New Roman" w:hAnsi="Times New Roman"/>
          <w:color w:val="00000A"/>
          <w:sz w:val="24"/>
          <w:szCs w:val="24"/>
        </w:rPr>
        <w:t>.</w:t>
      </w:r>
      <w:r>
        <w:rPr>
          <w:rStyle w:val="EnlacedeInternet"/>
          <w:rFonts w:eastAsia="Times New Roman" w:ascii="Times New Roman" w:hAnsi="Times New Roman"/>
          <w:color w:val="00000A"/>
          <w:sz w:val="24"/>
          <w:szCs w:val="24"/>
          <w:u w:val="none"/>
        </w:rPr>
        <w:t xml:space="preserve"> C</w:t>
      </w:r>
      <w:r>
        <w:rPr>
          <w:rFonts w:eastAsia="Times New Roman" w:ascii="Times New Roman" w:hAnsi="Times New Roman"/>
          <w:sz w:val="24"/>
          <w:szCs w:val="24"/>
        </w:rPr>
        <w:t>onsultado el 11-08-2019.</w:t>
      </w:r>
    </w:p>
    <w:p>
      <w:pPr>
        <w:pStyle w:val="Normal"/>
        <w:spacing w:lineRule="auto" w:line="360" w:before="0" w:after="0"/>
        <w:jc w:val="both"/>
        <w:rPr>
          <w:rFonts w:ascii="Times New Roman" w:hAnsi="Times New Roman"/>
          <w:sz w:val="24"/>
          <w:szCs w:val="24"/>
        </w:rPr>
      </w:pPr>
      <w:r>
        <w:rPr>
          <w:rFonts w:ascii="Times New Roman" w:hAnsi="Times New Roman"/>
          <w:sz w:val="24"/>
          <w:szCs w:val="24"/>
        </w:rPr>
        <w:t xml:space="preserve">Gutiérrez Aguilar, Raquel, Sosa, María Noel y Reyes, Itandehui (Junio 2018). El </w:t>
      </w:r>
      <w:r>
        <w:rPr>
          <w:rFonts w:ascii="Times New Roman" w:hAnsi="Times New Roman"/>
          <w:i/>
          <w:sz w:val="24"/>
          <w:szCs w:val="24"/>
        </w:rPr>
        <w:t>entre mujeres</w:t>
      </w:r>
      <w:r>
        <w:rPr>
          <w:rFonts w:ascii="Times New Roman" w:hAnsi="Times New Roman"/>
          <w:sz w:val="24"/>
          <w:szCs w:val="24"/>
        </w:rPr>
        <w:t xml:space="preserve"> como negación de las formas de interdependencia impuestas por el patriarcado capitalista y colonial. Reflexiones en torno a la violencia y la mediación patriarcal. Revista Heterotopías del Área de Estudios del Discurso de FFyH. Vol  1, N° 1, ISSN: 2618-2726. Córdoba. </w:t>
      </w:r>
    </w:p>
    <w:p>
      <w:pPr>
        <w:pStyle w:val="Normal"/>
        <w:spacing w:lineRule="auto" w:line="360" w:before="0" w:after="0"/>
        <w:jc w:val="both"/>
        <w:rPr>
          <w:rFonts w:ascii="Times New Roman" w:hAnsi="Times New Roman"/>
          <w:sz w:val="24"/>
          <w:szCs w:val="24"/>
        </w:rPr>
      </w:pPr>
      <w:r>
        <w:rPr>
          <w:rFonts w:eastAsia="Noto Sans CJK SC Regular" w:ascii="Times New Roman" w:hAnsi="Times New Roman"/>
          <w:sz w:val="24"/>
          <w:szCs w:val="24"/>
          <w:lang w:val="es-AR" w:eastAsia="zh-CN" w:bidi="hi-IN"/>
        </w:rPr>
        <w:t xml:space="preserve">Gutiérrez, Raquel; Linsalata, Lucia; Navarro, M. (2017). Repensar lo político, pensar lo común. Claves para la discusión. </w:t>
      </w:r>
      <w:r>
        <w:rPr>
          <w:rFonts w:eastAsia="Noto Sans CJK SC Regular" w:ascii="Times New Roman" w:hAnsi="Times New Roman"/>
          <w:i/>
          <w:sz w:val="24"/>
          <w:szCs w:val="24"/>
          <w:lang w:val="es-AR" w:eastAsia="zh-CN" w:bidi="hi-IN"/>
        </w:rPr>
        <w:t>Inclán, Daniel, Linsalata, Lucia y Millán Márgara (Coords.) Modernidades alternativas</w:t>
      </w:r>
      <w:r>
        <w:rPr>
          <w:rFonts w:eastAsia="Noto Sans CJK SC Regular" w:ascii="Times New Roman" w:hAnsi="Times New Roman"/>
          <w:sz w:val="24"/>
          <w:szCs w:val="24"/>
          <w:lang w:val="es-AR" w:eastAsia="zh-CN" w:bidi="hi-IN"/>
        </w:rPr>
        <w:t>. UNAM. México.</w:t>
      </w:r>
    </w:p>
    <w:p>
      <w:pPr>
        <w:pStyle w:val="Normal"/>
        <w:spacing w:lineRule="auto" w:line="360" w:before="0" w:after="0"/>
        <w:jc w:val="both"/>
        <w:rPr>
          <w:rFonts w:ascii="Times New Roman" w:hAnsi="Times New Roman"/>
          <w:sz w:val="24"/>
          <w:szCs w:val="24"/>
        </w:rPr>
      </w:pPr>
      <w:r>
        <w:rPr>
          <w:rFonts w:ascii="Times New Roman" w:hAnsi="Times New Roman"/>
          <w:sz w:val="24"/>
          <w:szCs w:val="24"/>
        </w:rPr>
        <w:t xml:space="preserve">Gutiérrez Aguilar, Raquel (2017). </w:t>
      </w:r>
      <w:r>
        <w:rPr>
          <w:rFonts w:ascii="Times New Roman" w:hAnsi="Times New Roman"/>
          <w:i/>
          <w:sz w:val="24"/>
          <w:szCs w:val="24"/>
        </w:rPr>
        <w:t>Horizontes comunitario-populares. Producción de lo común más allá de las políticas estado-céntricas.</w:t>
      </w:r>
      <w:r>
        <w:rPr>
          <w:rFonts w:ascii="Times New Roman" w:hAnsi="Times New Roman"/>
          <w:sz w:val="24"/>
          <w:szCs w:val="24"/>
        </w:rPr>
        <w:t xml:space="preserve"> Traficantes de sueños. Madrid. </w:t>
      </w:r>
    </w:p>
    <w:p>
      <w:pPr>
        <w:pStyle w:val="Normal"/>
        <w:spacing w:lineRule="auto" w:line="360" w:before="0" w:after="0"/>
        <w:jc w:val="both"/>
        <w:rPr>
          <w:rFonts w:ascii="Times New Roman" w:hAnsi="Times New Roman"/>
          <w:sz w:val="24"/>
          <w:szCs w:val="24"/>
        </w:rPr>
      </w:pPr>
      <w:r>
        <w:rPr>
          <w:rFonts w:eastAsia="Noto Sans CJK SC Regular" w:ascii="Times New Roman" w:hAnsi="Times New Roman"/>
          <w:sz w:val="24"/>
          <w:szCs w:val="24"/>
          <w:lang w:val="es-AR" w:eastAsia="zh-CN" w:bidi="hi-IN"/>
        </w:rPr>
        <w:t xml:space="preserve">---------------------------------- (2015). Políticas en femenino: transformaciones y subversiones no centradas en el estado. </w:t>
      </w:r>
      <w:r>
        <w:rPr>
          <w:rFonts w:eastAsia="Noto Sans CJK SC Regular" w:ascii="Times New Roman" w:hAnsi="Times New Roman"/>
          <w:i/>
          <w:sz w:val="24"/>
          <w:szCs w:val="24"/>
          <w:lang w:val="es-AR" w:eastAsia="zh-CN" w:bidi="hi-IN"/>
        </w:rPr>
        <w:t>Movimientos sociales. Nuevos escenarios, viejos dilemas.</w:t>
      </w:r>
      <w:r>
        <w:rPr>
          <w:rFonts w:eastAsia="Noto Sans CJK SC Regular" w:ascii="Times New Roman" w:hAnsi="Times New Roman"/>
          <w:sz w:val="24"/>
          <w:szCs w:val="24"/>
          <w:lang w:val="es-AR" w:eastAsia="zh-CN" w:bidi="hi-IN"/>
        </w:rPr>
        <w:t>, p. 123.</w:t>
      </w:r>
    </w:p>
    <w:p>
      <w:pPr>
        <w:pStyle w:val="Normal"/>
        <w:spacing w:lineRule="auto" w:line="360" w:before="0" w:after="0"/>
        <w:jc w:val="both"/>
        <w:rPr>
          <w:rFonts w:ascii="Times New Roman" w:hAnsi="Times New Roman"/>
          <w:sz w:val="24"/>
          <w:szCs w:val="24"/>
        </w:rPr>
      </w:pPr>
      <w:r>
        <w:rPr>
          <w:rFonts w:eastAsia="Noto Sans CJK SC Regular" w:ascii="Times New Roman" w:hAnsi="Times New Roman"/>
          <w:sz w:val="24"/>
          <w:szCs w:val="24"/>
          <w:lang w:val="es-AR" w:eastAsia="zh-CN" w:bidi="hi-IN"/>
        </w:rPr>
        <w:t>---------------------------------- (2015)</w:t>
      </w:r>
      <w:r>
        <w:rPr>
          <w:rFonts w:eastAsia="Noto Sans CJK SC Regular" w:ascii="Times New Roman" w:hAnsi="Times New Roman"/>
          <w:i/>
          <w:sz w:val="24"/>
          <w:szCs w:val="24"/>
          <w:lang w:val="es-AR" w:eastAsia="zh-CN" w:bidi="hi-IN"/>
        </w:rPr>
        <w:t xml:space="preserve">. Horizonte comunitario-popular. Antagonismo y producción de lo común en América Latina. </w:t>
      </w:r>
      <w:r>
        <w:rPr>
          <w:rFonts w:eastAsia="Noto Sans CJK SC Regular" w:ascii="Times New Roman" w:hAnsi="Times New Roman"/>
          <w:sz w:val="24"/>
          <w:szCs w:val="24"/>
          <w:lang w:val="es-AR" w:eastAsia="zh-CN" w:bidi="hi-IN"/>
        </w:rPr>
        <w:t>S/D.</w:t>
      </w:r>
    </w:p>
    <w:p>
      <w:pPr>
        <w:pStyle w:val="Normal"/>
        <w:spacing w:lineRule="auto" w:line="360" w:before="0" w:after="0"/>
        <w:rPr>
          <w:rFonts w:ascii="Times New Roman" w:hAnsi="Times New Roman"/>
          <w:sz w:val="24"/>
          <w:szCs w:val="24"/>
        </w:rPr>
      </w:pPr>
      <w:r>
        <w:rPr>
          <w:rFonts w:ascii="Times New Roman" w:hAnsi="Times New Roman"/>
          <w:sz w:val="24"/>
          <w:szCs w:val="24"/>
        </w:rPr>
        <w:t xml:space="preserve">Iconoclasistas. Cartografías sociales (2017). Manual de Mapeo colectivo. UNLP. </w:t>
      </w:r>
    </w:p>
    <w:p>
      <w:pPr>
        <w:pStyle w:val="Normal"/>
        <w:spacing w:lineRule="auto" w:line="360" w:before="0" w:after="0"/>
        <w:rPr>
          <w:rFonts w:ascii="Times New Roman" w:hAnsi="Times New Roman"/>
          <w:sz w:val="24"/>
          <w:szCs w:val="24"/>
        </w:rPr>
      </w:pPr>
      <w:r>
        <w:rPr>
          <w:rFonts w:ascii="Times New Roman" w:hAnsi="Times New Roman"/>
          <w:sz w:val="24"/>
          <w:szCs w:val="24"/>
        </w:rPr>
        <w:t xml:space="preserve">Irós, Guillermo, et al. (2014). Urbanización y movilidad en el Área Metropolitana de Córdoba. En </w:t>
      </w:r>
      <w:r>
        <w:rPr>
          <w:rFonts w:ascii="Times New Roman" w:hAnsi="Times New Roman"/>
          <w:i/>
          <w:sz w:val="24"/>
          <w:szCs w:val="24"/>
        </w:rPr>
        <w:t xml:space="preserve">XI Simposio de la Asociación Internacional de Planificación Urbana y Ambiente (UPE 11). </w:t>
      </w:r>
      <w:r>
        <w:rPr>
          <w:rFonts w:ascii="Times New Roman" w:hAnsi="Times New Roman"/>
          <w:sz w:val="24"/>
          <w:szCs w:val="24"/>
        </w:rPr>
        <w:t>La Plata.</w:t>
      </w:r>
    </w:p>
    <w:p>
      <w:pPr>
        <w:pStyle w:val="Normal"/>
        <w:spacing w:lineRule="auto" w:line="360" w:before="0" w:after="0"/>
        <w:jc w:val="both"/>
        <w:rPr>
          <w:rFonts w:ascii="Times New Roman" w:hAnsi="Times New Roman"/>
          <w:sz w:val="24"/>
          <w:szCs w:val="24"/>
        </w:rPr>
      </w:pPr>
      <w:r>
        <w:rPr>
          <w:rFonts w:eastAsia="Noto Sans CJK SC Regular" w:ascii="Times New Roman" w:hAnsi="Times New Roman"/>
          <w:sz w:val="24"/>
          <w:szCs w:val="24"/>
          <w:lang w:val="es-AR" w:eastAsia="zh-CN" w:bidi="hi-IN"/>
        </w:rPr>
        <w:t xml:space="preserve">Machado Aráoz, Horacio (2015). Ecología política del extractivismo. </w:t>
      </w:r>
      <w:r>
        <w:rPr>
          <w:rFonts w:eastAsia="Noto Sans CJK SC Regular" w:ascii="Times New Roman" w:hAnsi="Times New Roman"/>
          <w:i/>
          <w:sz w:val="24"/>
          <w:szCs w:val="24"/>
          <w:lang w:val="es-AR" w:eastAsia="zh-CN" w:bidi="hi-IN"/>
        </w:rPr>
        <w:t xml:space="preserve">Clase Nº10. Curso Ecología Política Latinoamericana. </w:t>
      </w:r>
      <w:r>
        <w:rPr>
          <w:rFonts w:eastAsia="Noto Sans CJK SC Regular" w:ascii="Times New Roman" w:hAnsi="Times New Roman"/>
          <w:sz w:val="24"/>
          <w:szCs w:val="24"/>
          <w:lang w:val="es-AR" w:eastAsia="zh-CN" w:bidi="hi-IN"/>
        </w:rPr>
        <w:t>Campus CLACSO Mimeo. Buenos Aires.</w:t>
      </w:r>
    </w:p>
    <w:p>
      <w:pPr>
        <w:pStyle w:val="Normal"/>
        <w:spacing w:lineRule="auto" w:line="360" w:before="0" w:after="0"/>
        <w:jc w:val="both"/>
        <w:textAlignment w:val="baseline"/>
        <w:rPr>
          <w:rFonts w:ascii="Times New Roman" w:hAnsi="Times New Roman"/>
          <w:sz w:val="24"/>
          <w:szCs w:val="24"/>
        </w:rPr>
      </w:pPr>
      <w:r>
        <w:rPr>
          <w:rFonts w:eastAsia="Times New Roman" w:ascii="Times New Roman" w:hAnsi="Times New Roman"/>
          <w:kern w:val="2"/>
          <w:sz w:val="24"/>
          <w:szCs w:val="24"/>
          <w:lang w:eastAsia="es-PE"/>
        </w:rPr>
        <w:t xml:space="preserve">Porto Gonçalves, Carlos Walter (2009). </w:t>
      </w:r>
      <w:r>
        <w:rPr>
          <w:rFonts w:eastAsia="Times New Roman" w:ascii="Times New Roman" w:hAnsi="Times New Roman"/>
          <w:i/>
          <w:kern w:val="2"/>
          <w:sz w:val="24"/>
          <w:szCs w:val="24"/>
          <w:lang w:eastAsia="es-PE"/>
        </w:rPr>
        <w:t xml:space="preserve">Territorialidades y lucha por el territorio en América Latina. Geografía de los movimientos sociales en América Latina. </w:t>
      </w:r>
      <w:r>
        <w:rPr>
          <w:rFonts w:eastAsia="Times New Roman" w:ascii="Times New Roman" w:hAnsi="Times New Roman"/>
          <w:kern w:val="2"/>
          <w:sz w:val="24"/>
          <w:szCs w:val="24"/>
          <w:lang w:eastAsia="es-PE"/>
        </w:rPr>
        <w:t>Instituto Venezolano de Ciencia y Tecnología. Caracas.</w:t>
      </w:r>
    </w:p>
    <w:p>
      <w:pPr>
        <w:pStyle w:val="Normal"/>
        <w:spacing w:lineRule="auto" w:line="360" w:before="0" w:after="0"/>
        <w:jc w:val="both"/>
        <w:rPr>
          <w:rFonts w:ascii="Times New Roman" w:hAnsi="Times New Roman"/>
          <w:sz w:val="24"/>
          <w:szCs w:val="24"/>
        </w:rPr>
      </w:pPr>
      <w:r>
        <w:rPr>
          <w:rFonts w:eastAsia="Times New Roman" w:ascii="Times New Roman" w:hAnsi="Times New Roman"/>
          <w:sz w:val="24"/>
          <w:szCs w:val="24"/>
        </w:rPr>
        <w:t xml:space="preserve">----------------------------------------- (2013). </w:t>
      </w:r>
      <w:r>
        <w:rPr>
          <w:rFonts w:eastAsia="Times New Roman" w:ascii="Times New Roman" w:hAnsi="Times New Roman"/>
          <w:i/>
          <w:sz w:val="24"/>
          <w:szCs w:val="24"/>
        </w:rPr>
        <w:t>Territorios y Territorialidades en América Latina.</w:t>
      </w:r>
      <w:r>
        <w:rPr>
          <w:rFonts w:eastAsia="Times New Roman" w:ascii="Times New Roman" w:hAnsi="Times New Roman"/>
          <w:sz w:val="24"/>
          <w:szCs w:val="24"/>
        </w:rPr>
        <w:t xml:space="preserve"> EGAL-UIG. Lima.</w:t>
      </w:r>
    </w:p>
    <w:p>
      <w:pPr>
        <w:pStyle w:val="Normal"/>
        <w:spacing w:lineRule="auto" w:line="360" w:before="0" w:after="0"/>
        <w:jc w:val="both"/>
        <w:rPr>
          <w:rFonts w:ascii="Times New Roman" w:hAnsi="Times New Roman"/>
          <w:sz w:val="24"/>
          <w:szCs w:val="24"/>
        </w:rPr>
      </w:pPr>
      <w:r>
        <w:rPr>
          <w:rFonts w:ascii="Times New Roman" w:hAnsi="Times New Roman"/>
          <w:sz w:val="24"/>
          <w:szCs w:val="24"/>
        </w:rPr>
        <w:t xml:space="preserve">Segato, Rita Laura (2016). </w:t>
      </w:r>
      <w:r>
        <w:rPr>
          <w:rFonts w:ascii="Times New Roman" w:hAnsi="Times New Roman"/>
          <w:i/>
          <w:sz w:val="24"/>
          <w:szCs w:val="24"/>
        </w:rPr>
        <w:t xml:space="preserve">La guerra contra las mujeres. </w:t>
      </w:r>
      <w:r>
        <w:rPr>
          <w:rFonts w:ascii="Times New Roman" w:hAnsi="Times New Roman"/>
          <w:sz w:val="24"/>
          <w:szCs w:val="24"/>
        </w:rPr>
        <w:t>Tinta Limón-Traficantes de sueños. Madrid.</w:t>
      </w:r>
    </w:p>
    <w:p>
      <w:pPr>
        <w:pStyle w:val="Normal"/>
        <w:spacing w:lineRule="auto" w:line="360" w:before="0" w:after="0"/>
        <w:jc w:val="both"/>
        <w:rPr>
          <w:rFonts w:ascii="Times New Roman" w:hAnsi="Times New Roman"/>
          <w:sz w:val="24"/>
          <w:szCs w:val="24"/>
        </w:rPr>
      </w:pPr>
      <w:r>
        <w:rPr>
          <w:rFonts w:ascii="Times New Roman" w:hAnsi="Times New Roman"/>
          <w:sz w:val="24"/>
          <w:szCs w:val="24"/>
        </w:rPr>
        <w:t xml:space="preserve">Wallerstein Immanuel (2005). </w:t>
      </w:r>
      <w:r>
        <w:rPr>
          <w:rFonts w:ascii="Times New Roman" w:hAnsi="Times New Roman"/>
          <w:i/>
          <w:sz w:val="24"/>
          <w:szCs w:val="24"/>
        </w:rPr>
        <w:t>Análisis de sistemas-mundo: una introducción.</w:t>
      </w:r>
      <w:r>
        <w:rPr>
          <w:rFonts w:ascii="Times New Roman" w:hAnsi="Times New Roman"/>
          <w:sz w:val="24"/>
          <w:szCs w:val="24"/>
        </w:rPr>
        <w:t xml:space="preserve"> Siglo XXI. México.</w:t>
      </w:r>
    </w:p>
    <w:p>
      <w:pPr>
        <w:pStyle w:val="Normal"/>
        <w:spacing w:lineRule="auto" w:line="360" w:before="0" w:after="0"/>
        <w:jc w:val="both"/>
        <w:rPr>
          <w:rFonts w:ascii="Times New Roman" w:hAnsi="Times New Roman"/>
          <w:sz w:val="24"/>
          <w:szCs w:val="24"/>
        </w:rPr>
      </w:pPr>
      <w:r>
        <w:rPr>
          <w:rFonts w:ascii="Times New Roman" w:hAnsi="Times New Roman"/>
          <w:sz w:val="24"/>
          <w:szCs w:val="24"/>
          <w:lang w:val="es-AR"/>
        </w:rPr>
        <w:t xml:space="preserve">Zibechi, Raúl (2017). </w:t>
      </w:r>
      <w:r>
        <w:rPr>
          <w:rFonts w:ascii="Times New Roman" w:hAnsi="Times New Roman"/>
          <w:i/>
          <w:sz w:val="24"/>
          <w:szCs w:val="24"/>
          <w:lang w:val="es-AR"/>
        </w:rPr>
        <w:t>Zonas de dignidad. Extractivismo y resistencias.</w:t>
      </w:r>
      <w:r>
        <w:rPr>
          <w:rFonts w:ascii="Times New Roman" w:hAnsi="Times New Roman"/>
          <w:sz w:val="24"/>
          <w:szCs w:val="24"/>
          <w:lang w:val="es-AR"/>
        </w:rPr>
        <w:t xml:space="preserve"> Cooperativa editorial Tierra del Sur. Barracas.</w:t>
      </w:r>
    </w:p>
    <w:p>
      <w:pPr>
        <w:pStyle w:val="Normal"/>
        <w:spacing w:lineRule="auto" w:line="360" w:before="0" w:after="0"/>
        <w:jc w:val="both"/>
        <w:rPr>
          <w:rFonts w:ascii="Times New Roman" w:hAnsi="Times New Roman"/>
          <w:sz w:val="24"/>
          <w:szCs w:val="24"/>
          <w:lang w:val="es-AR"/>
        </w:rPr>
      </w:pPr>
      <w:r>
        <w:rPr>
          <w:rFonts w:ascii="Times New Roman" w:hAnsi="Times New Roman"/>
          <w:sz w:val="24"/>
          <w:szCs w:val="24"/>
          <w:lang w:val="es-AR"/>
        </w:rPr>
        <w:t xml:space="preserve">---------------- (2015). </w:t>
      </w:r>
      <w:r>
        <w:rPr>
          <w:rFonts w:ascii="Times New Roman" w:hAnsi="Times New Roman"/>
          <w:i/>
          <w:sz w:val="24"/>
          <w:szCs w:val="24"/>
          <w:lang w:val="es-AR"/>
        </w:rPr>
        <w:t xml:space="preserve">Entrevista a Raúl Zibechi “Es necesario descolonizar y despatriarcalizar el concepto de poder popular”. </w:t>
      </w:r>
      <w:r>
        <w:rPr>
          <w:rFonts w:ascii="Times New Roman" w:hAnsi="Times New Roman"/>
          <w:sz w:val="24"/>
          <w:szCs w:val="24"/>
          <w:lang w:val="es-AR"/>
        </w:rPr>
        <w:t>Crítica y Resistencias. Revista de conflictos sociales latinoamericanos, (1), 6-18.</w:t>
      </w:r>
    </w:p>
    <w:p>
      <w:pPr>
        <w:pStyle w:val="Normal"/>
        <w:spacing w:lineRule="auto" w:line="360" w:before="0" w:after="0"/>
        <w:contextualSpacing/>
        <w:jc w:val="both"/>
        <w:rPr>
          <w:rFonts w:ascii="Times New Roman" w:hAnsi="Times New Roman"/>
          <w:sz w:val="24"/>
          <w:szCs w:val="24"/>
          <w:lang w:val="es-AR"/>
        </w:rPr>
      </w:pPr>
      <w:r>
        <w:rPr>
          <w:rFonts w:ascii="Times New Roman" w:hAnsi="Times New Roman"/>
          <w:sz w:val="24"/>
          <w:szCs w:val="24"/>
          <w:lang w:val="es-AR"/>
        </w:rPr>
      </w:r>
    </w:p>
    <w:p>
      <w:pPr>
        <w:pStyle w:val="Normal"/>
        <w:spacing w:lineRule="auto" w:line="360"/>
        <w:jc w:val="both"/>
        <w:rPr>
          <w:rFonts w:ascii="Times New Roman" w:hAnsi="Times New Roman" w:eastAsia="Times New Roman"/>
          <w:b/>
          <w:b/>
          <w:sz w:val="24"/>
          <w:szCs w:val="24"/>
        </w:rPr>
      </w:pPr>
      <w:r>
        <w:rPr>
          <w:rFonts w:eastAsia="Times New Roman" w:ascii="Times New Roman" w:hAnsi="Times New Roman"/>
          <w:b/>
          <w:sz w:val="24"/>
          <w:szCs w:val="24"/>
        </w:rPr>
        <w:t xml:space="preserve">Anexo. Cuadro 1  </w:t>
      </w:r>
    </w:p>
    <w:p>
      <w:pPr>
        <w:pStyle w:val="Normal"/>
        <w:spacing w:lineRule="auto" w:line="360"/>
        <w:jc w:val="both"/>
        <w:rPr>
          <w:rFonts w:ascii="Times New Roman" w:hAnsi="Times New Roman" w:eastAsia="Times New Roman"/>
          <w:b/>
          <w:b/>
          <w:sz w:val="24"/>
          <w:szCs w:val="24"/>
        </w:rPr>
      </w:pPr>
      <w:r>
        <w:rPr>
          <w:rFonts w:eastAsia="Times New Roman" w:ascii="Times New Roman" w:hAnsi="Times New Roman"/>
          <w:b/>
          <w:sz w:val="24"/>
          <w:szCs w:val="24"/>
        </w:rPr>
        <w:t>Conflictividades, agentes y logros que resisten las políticas del acaparamiento del desarrollismo cordobés</w:t>
      </w:r>
    </w:p>
    <w:tbl>
      <w:tblPr>
        <w:tblW w:w="9265" w:type="dxa"/>
        <w:jc w:val="left"/>
        <w:tblInd w:w="40" w:type="dxa"/>
        <w:tblBorders>
          <w:top w:val="single" w:sz="2" w:space="0" w:color="000001"/>
          <w:left w:val="single" w:sz="2" w:space="0" w:color="000001"/>
          <w:bottom w:val="single" w:sz="2" w:space="0" w:color="000001"/>
          <w:insideH w:val="single" w:sz="2" w:space="0" w:color="000001"/>
        </w:tblBorders>
        <w:tblCellMar>
          <w:top w:w="55" w:type="dxa"/>
          <w:left w:w="47" w:type="dxa"/>
          <w:bottom w:w="55" w:type="dxa"/>
          <w:right w:w="55" w:type="dxa"/>
        </w:tblCellMar>
        <w:tblLook w:noVBand="1" w:val="04a0" w:noHBand="0" w:lastColumn="0" w:firstColumn="1" w:lastRow="0" w:firstRow="1"/>
      </w:tblPr>
      <w:tblGrid>
        <w:gridCol w:w="1751"/>
        <w:gridCol w:w="2127"/>
        <w:gridCol w:w="2126"/>
        <w:gridCol w:w="3260"/>
      </w:tblGrid>
      <w:tr>
        <w:trPr>
          <w:trHeight w:val="620"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jc w:val="center"/>
              <w:rPr>
                <w:rFonts w:ascii="Liberation Serif" w:hAnsi="Liberation Serif"/>
                <w:b/>
                <w:b/>
                <w:bCs/>
                <w:sz w:val="18"/>
                <w:szCs w:val="18"/>
              </w:rPr>
            </w:pPr>
            <w:r>
              <w:rPr>
                <w:rFonts w:ascii="Liberation Serif" w:hAnsi="Liberation Serif"/>
                <w:b/>
                <w:bCs/>
                <w:sz w:val="18"/>
                <w:szCs w:val="18"/>
              </w:rPr>
              <w:t xml:space="preserve">LOCALIDAD </w:t>
            </w:r>
            <w:r>
              <w:rPr>
                <w:rFonts w:ascii="Liberation Serif" w:hAnsi="Liberation Serif"/>
                <w:b/>
                <w:bCs/>
                <w:sz w:val="18"/>
                <w:szCs w:val="18"/>
              </w:rPr>
              <w:t>DE</w:t>
            </w:r>
            <w:r>
              <w:rPr>
                <w:rFonts w:ascii="Liberation Serif" w:hAnsi="Liberation Serif"/>
                <w:b/>
                <w:bCs/>
                <w:sz w:val="18"/>
                <w:szCs w:val="18"/>
              </w:rPr>
              <w:t xml:space="preserve"> CÓRDOBA</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jc w:val="center"/>
              <w:rPr>
                <w:rFonts w:ascii="Liberation Serif" w:hAnsi="Liberation Serif"/>
                <w:b/>
                <w:b/>
                <w:bCs/>
                <w:sz w:val="18"/>
                <w:szCs w:val="18"/>
              </w:rPr>
            </w:pPr>
            <w:r>
              <w:rPr>
                <w:rFonts w:ascii="Liberation Serif" w:hAnsi="Liberation Serif"/>
                <w:b/>
                <w:bCs/>
                <w:sz w:val="18"/>
                <w:szCs w:val="18"/>
              </w:rPr>
              <w:t>AGENTES</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jc w:val="center"/>
              <w:rPr>
                <w:rFonts w:ascii="Liberation Serif" w:hAnsi="Liberation Serif"/>
                <w:b/>
                <w:b/>
                <w:bCs/>
                <w:sz w:val="18"/>
                <w:szCs w:val="18"/>
              </w:rPr>
            </w:pPr>
            <w:r>
              <w:rPr>
                <w:rFonts w:ascii="Liberation Serif" w:hAnsi="Liberation Serif"/>
                <w:b/>
                <w:bCs/>
                <w:sz w:val="18"/>
                <w:szCs w:val="18"/>
              </w:rPr>
              <w:t>LUCHAS RECHAZOS A ...</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jc w:val="center"/>
              <w:rPr>
                <w:rFonts w:ascii="Liberation Serif" w:hAnsi="Liberation Serif"/>
                <w:b/>
                <w:b/>
                <w:bCs/>
                <w:sz w:val="18"/>
                <w:szCs w:val="18"/>
              </w:rPr>
            </w:pPr>
            <w:r>
              <w:rPr>
                <w:rFonts w:ascii="Liberation Serif" w:hAnsi="Liberation Serif"/>
                <w:b/>
                <w:bCs/>
                <w:sz w:val="18"/>
                <w:szCs w:val="18"/>
              </w:rPr>
              <w:t>LOGROS               RESULTADOS</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Traslasierra</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Ongamira</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CNEA</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año 2007</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Explotación de uranio</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Ley 9.526 prohibición megaminería metalífera a cielo abierto en Córdoba</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Las Tapias</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Secretaría de Minería </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Dark Horse</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Explotación de litio</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Marcha y Asamblea multitudinaria de repudio. Pronunciamiento de intendentes locales en contra del proyecto.</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Nono</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Gobierno provincial</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Vialidad</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Prolongación Ruta 34 en Traslasierra</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En conflicto.              </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Visibilización de la problemática.</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Nono</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Cimas de Nono</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Rechazo al loteo. </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Se impugna la Audiencia pública </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Impugnación de loteo. </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Acción pública de recolección de firmas. </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Municipio dicta Ordenanza Preservación Áreas protegidas.</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Nono</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Demora en la sanción de la Ordenanza de protección contra agrotóxicos</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Contaminación con agrotóxicos. Uso irresponsable de glifosato en parquizaciones.</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Recolección de firmas para presentación de Ordenanza contra uso de agroquímicos. </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Debate en el Concejo Deliberante.</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Nono </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Pasos del Valle, emprendimiento inmobiliario de gentrificación rural.</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Municipalidad de Nono.</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Autorización de loteos en zona roja y amarilla.</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Creación de reservas privadas. Privatización de los bienes comunes.</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Ordenamiento Territorial Municipal autoriza avances y cambio de uso de suelo en zona roja y amarilla.</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Las Calles</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Consorcio Altos de La Quebrada</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Falta de agua en los lotes. Desvío de cuencas próximas.</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Conflicto por el acceso al agua.</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Conciencia ambiental.</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Mina Clavero</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Vertido cloacal y otros efluentes en Río de Los Sauces</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Contaminación cloacal</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Inspecciones.</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Luyaba</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Fumigaciones agrícolas</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Mueren 72 millones  de abejas por fumigaciones.</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Juicios.</w:t>
            </w:r>
          </w:p>
        </w:tc>
      </w:tr>
      <w:tr>
        <w:trPr>
          <w:trHeight w:val="812" w:hRule="atLeast"/>
        </w:trPr>
        <w:tc>
          <w:tcPr>
            <w:tcW w:w="1751"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Punilla</w:t>
            </w:r>
          </w:p>
        </w:tc>
        <w:tc>
          <w:tcPr>
            <w:tcW w:w="21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Punilla NO se Toca</w:t>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Rechazo proyecto Autovía de Montaña en Punilla.</w:t>
            </w:r>
            <w:r>
              <w:rPr>
                <w:rFonts w:ascii="Times New Roman" w:hAnsi="Times New Roman"/>
                <w:sz w:val="18"/>
                <w:szCs w:val="18"/>
              </w:rPr>
              <w:t xml:space="preserve"> </w:t>
            </w:r>
            <w:r>
              <w:rPr>
                <w:rFonts w:ascii="Times New Roman" w:hAnsi="Times New Roman"/>
                <w:sz w:val="18"/>
                <w:szCs w:val="18"/>
              </w:rPr>
              <w:t>Proyecto en el marco del plan IIRSA.</w:t>
            </w:r>
          </w:p>
        </w:tc>
        <w:tc>
          <w:tcPr>
            <w:tcW w:w="32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Por asamblea revocatoria de proyecto, la Comuna de San Roque impugnó el proyecto pre-aprobado por la jefa comunal para el paso de la Autovía.</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Unquillo</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Loteo Los Cigarrales y El Montecito</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Creación de barrio cerrado de elite, re-denominado como ECO Country.</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Movilizaciones y rechazo colectivo en audiencia pública ambiental.</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Río Ceballos</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Reserva Hídrica y Natural Los Manantiales</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Impugnación de proyectos inmobiliarios empresa Ceballos Bienes Raíces.</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Ordenamiento Territorial autogestivo, plan de gestión y comité de coordinación vinculante para la Reserva Hídrica Natural Los Manantiales (con sus barrios y caceríos incluidos)</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Villa Allende</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Área Serrana y de conservación del bosque nativo: Reserva Hídrica y Recreativa Natural Villa Allende</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Movilizaciones por el avance inmobiliario por parte de la empres Holik y Cárdenas S.A. y de la Minera El Gran Ombú S.A.</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Movilizaciones, construcción colectiva de los Pensar Villa Allende (jornadas de planeamiento territorial colectivo). Suspensión de las obras inmobiliarias por 9 meses en el 2012. Rechazo gubernamental del proyecto de ordenamiento territorial comunitario,</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Mendiolaza</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El Terrón de Grupo Tagle S.A.</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Judicialización del plan de urbanización de bosques protegidos del Parque Chaqueño, distrito del Chaco Serrano.</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Dos fallos a favor y una apelación en la Corte Suprema de Justicia de la Provincia que llevó a la aprobación de las obras.</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Agua de Oro, El Manzano y Villa Cerro Azul</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Villa Candonga, Barrio Cerrado de Montaña Ticupil S.A.</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Judicialización de los desmontes y de los agentes estatales implicados en las autorizaciones. Imputación del Ex Secretario de Ambiente Raúl Costa. </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Cese definitivo de las obras solicitado por la justicia provincial en tres oportunidades.</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La Granja (Ascochinga)</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Embalse Carapé</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El Gobierno de la Provincia de Córdoba, junto a CARTEZ y la Sociedad Rural de Jesús María obtienen préstamo del Banco Mundial para realizar obras de retención de excesos de crecidas del Río Ascochinga-Santa Catalina. Solicitan la construcción de embalse en el Valle del Carapé </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Impugnación total vecinal: Audiencia pública con reclamo unánime de no otorgarle la licencia social al dique y su proyecto de riego del área extrapampeana sojera y ganadera.</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La Calera (Rumy)</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Proyecto de Cantera de 150 hectáreas.</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Explotación minera próxima a barrio de Rumy.</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Rechazo colectivo y movilización social para ejercer presión para el cese del proyecto. Suspensión de la audiencia pública y retiro de la prefactibilidad dada por la Comunidad Regional Colón.</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San José de la Quintana</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Proyecto de Cantera en unas 80 hectáreas</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Explotación minera próxima a viviendas</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Retiro del proyecto por movilización vecinal.</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Villa Parque Santa Ana</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Corporación Metropolitana Córdoba, para el tratamiento y deposición final de los Residuos Sólidos Urbanos (RSU). </w:t>
            </w:r>
            <w:r>
              <w:rPr>
                <w:rFonts w:ascii="Liberation Serif" w:hAnsi="Liberation Serif"/>
                <w:sz w:val="18"/>
                <w:szCs w:val="18"/>
              </w:rPr>
              <w:t>Santa Ana sin Basura.</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Planta ubicada en ejido comunal de Santa Ana, movilización social y visibilización d</w:t>
            </w:r>
            <w:r>
              <w:rPr>
                <w:rFonts w:ascii="Liberation Serif" w:hAnsi="Liberation Serif"/>
                <w:sz w:val="18"/>
                <w:szCs w:val="18"/>
              </w:rPr>
              <w:t xml:space="preserve">e </w:t>
            </w:r>
            <w:r>
              <w:rPr>
                <w:rFonts w:ascii="Liberation Serif" w:hAnsi="Liberation Serif"/>
                <w:sz w:val="18"/>
                <w:szCs w:val="18"/>
              </w:rPr>
              <w:t>las consecuencias en Bower.</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Judicialización de la lucha ante amenaza de localización del basural a escasos cientos de metros del pueblo. Acampe permanente en camino de acceso.</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Dique Chico</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Agronegocio </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Producción agrocontaminante.</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Prohibición de las fumigaciones. Judicialización, por parte del grupo de empresarios del agronegocio, de la resolución prohibitiva.</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Provincia de Córdoba</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CODEBONA </w:t>
            </w:r>
            <w:r>
              <w:rPr>
                <w:rFonts w:ascii="Liberation Serif" w:hAnsi="Liberation Serif"/>
                <w:sz w:val="18"/>
                <w:szCs w:val="18"/>
              </w:rPr>
              <w:t>(Coordinadora en Defensa del Bosque Nativo)</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Ley agroforestal (influ</w:t>
            </w:r>
            <w:r>
              <w:rPr>
                <w:rFonts w:ascii="Liberation Serif" w:hAnsi="Liberation Serif"/>
                <w:sz w:val="18"/>
                <w:szCs w:val="18"/>
              </w:rPr>
              <w:t>yen empresas como</w:t>
            </w:r>
            <w:r>
              <w:rPr>
                <w:rFonts w:ascii="Liberation Serif" w:hAnsi="Liberation Serif"/>
                <w:sz w:val="18"/>
                <w:szCs w:val="18"/>
              </w:rPr>
              <w:t xml:space="preserve"> ARAUCO</w:t>
            </w:r>
            <w:r>
              <w:rPr>
                <w:rFonts w:ascii="Liberation Serif" w:hAnsi="Liberation Serif"/>
                <w:sz w:val="18"/>
                <w:szCs w:val="18"/>
              </w:rPr>
              <w:t>)</w:t>
            </w:r>
            <w:r>
              <w:rPr>
                <w:rFonts w:ascii="Liberation Serif" w:hAnsi="Liberation Serif"/>
                <w:sz w:val="18"/>
                <w:szCs w:val="18"/>
              </w:rPr>
              <w:t xml:space="preserve"> </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Actualización del OTBN</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Aprobación de ley para la efectivización del plan agrario provincial, incluyendo ahora a la industria forestal</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Impugnación colectiva en marchas de decenas de miles de personas en diversas ciudades.</w:t>
            </w:r>
          </w:p>
          <w:p>
            <w:pPr>
              <w:pStyle w:val="Normal"/>
              <w:pBdr>
                <w:bottom w:val="single" w:sz="2" w:space="2" w:color="000000"/>
              </w:pBdr>
              <w:spacing w:lineRule="auto" w:line="360" w:before="0" w:after="0"/>
              <w:contextualSpacing/>
              <w:rPr>
                <w:rFonts w:ascii="Liberation Serif" w:hAnsi="Liberation Serif"/>
                <w:sz w:val="18"/>
                <w:szCs w:val="18"/>
              </w:rPr>
            </w:pPr>
            <w:r>
              <w:rPr>
                <w:rFonts w:ascii="Liberation Serif" w:hAnsi="Liberation Serif"/>
                <w:sz w:val="18"/>
                <w:szCs w:val="18"/>
              </w:rPr>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Debate actual sobre las especies nativas a ser utilizadas para las reforestaciones e impugnación de listado de especies introducidas e invasoras con potencial manejo forestal industrial del bosque.</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Área Metropolitana de Córdoba y municipios de localidades </w:t>
            </w:r>
            <w:r>
              <w:rPr>
                <w:rFonts w:ascii="Liberation Serif" w:hAnsi="Liberation Serif"/>
                <w:sz w:val="18"/>
                <w:szCs w:val="18"/>
              </w:rPr>
              <w:t>turísticas</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Municipios </w:t>
            </w:r>
            <w:r>
              <w:rPr>
                <w:rFonts w:ascii="Liberation Serif" w:hAnsi="Liberation Serif"/>
                <w:sz w:val="18"/>
                <w:szCs w:val="18"/>
              </w:rPr>
              <w:t>de Villa Allende, La Calera, Agua de Oro.</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Solicitud al gobierno provincial para que defina el futuro d</w:t>
            </w:r>
            <w:r>
              <w:rPr>
                <w:rFonts w:ascii="Liberation Serif" w:hAnsi="Liberation Serif"/>
                <w:sz w:val="18"/>
                <w:szCs w:val="18"/>
              </w:rPr>
              <w:t>e l</w:t>
            </w:r>
            <w:r>
              <w:rPr>
                <w:rFonts w:ascii="Liberation Serif" w:hAnsi="Liberation Serif"/>
                <w:sz w:val="18"/>
                <w:szCs w:val="18"/>
              </w:rPr>
              <w:t>a minerí</w:t>
            </w:r>
            <w:r>
              <w:rPr>
                <w:rFonts w:ascii="Liberation Serif" w:hAnsi="Liberation Serif"/>
                <w:sz w:val="18"/>
                <w:szCs w:val="18"/>
              </w:rPr>
              <w:t>a en favor del desmonte en áreas donde alguna ve hubo minería.</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Solicitud de autorización para reducir zonas rojas de </w:t>
            </w:r>
            <w:r>
              <w:rPr>
                <w:rFonts w:ascii="Liberation Serif" w:hAnsi="Liberation Serif"/>
                <w:sz w:val="18"/>
                <w:szCs w:val="18"/>
              </w:rPr>
              <w:t>máxima</w:t>
            </w:r>
            <w:r>
              <w:rPr>
                <w:rFonts w:ascii="Liberation Serif" w:hAnsi="Liberation Serif"/>
                <w:sz w:val="18"/>
                <w:szCs w:val="18"/>
              </w:rPr>
              <w:t xml:space="preserve"> protección  la ley 9814 de Ordenamiento Territorial de los Bosques Nativos </w:t>
            </w:r>
            <w:r>
              <w:rPr>
                <w:rFonts w:ascii="Liberation Serif" w:hAnsi="Liberation Serif"/>
                <w:sz w:val="18"/>
                <w:szCs w:val="18"/>
              </w:rPr>
              <w:t>en pos de facilitar el avance desarrollista inmobiliario en áreas con bosques nativos.</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Rechazo público de esta propuesta emergida de la Pre Conferencia de Partes preparatoria de la Cumbre de Cambio Climático a celebrarse en 2020 en Chile.</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La Granja-Agua de Oro</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Empresa minera</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Proyecto de explotación  minera junto al río Carnero</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Audiencia Pública impugnada por la movilización social y la masiva inscripción de personas rechazando la propuesta.</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Ciudad de Córdoba</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 xml:space="preserve">PORTA S.A. (Alcoholes y bebidas) </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Localización de planta de bioetanol</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Judicialización de las actividades de PORTA S.A. por la contaminación generada por la empresa en Barrio San Antonio, Inaudi y otros.</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21 localidades de la Provincia (ver Balmaceda, Deon, 2019). Más de 180.000 hectáreas de superficie en total.</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Fumigaciones con agrotóxicos en áreas periurbanas, acopio de agrotóxicos.</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Proyectos de cese de explotación agroindustrial con agrotóxicos en 91 localidades de la provincia.</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21 localidades ha restringido estas prácticas. La Primera Mendiolaza (2004), la última Dique Chico (2018).</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Sierras Chicas y Punilla</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Grupo SICER- TAGLE, Enduro Córdoba.</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Asociación Cordobesa de Rally.</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Circuitos de enduro y carreras de automóviles de competición (rally) en áreas protegidas por la ley de bosques pero con pedido de avance inmobiliario en los municipios y el IPLAM.</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Denuncia de circuitos, prohibición de carreras y cese de actividades recreativas de alto impacto ambiental en las cuencas serranas.</w:t>
            </w:r>
          </w:p>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Unas 10 carreras ha sido restringidas por la movilización social: primera tramo Villa Allende-Cosquin y Aque de Oro La Cumbre del World Rally Car (Rally Mundial, entre 2004 y 2010), última carreras de Villa Allende y de Bialet Masse (2019).</w:t>
            </w:r>
          </w:p>
        </w:tc>
      </w:tr>
      <w:tr>
        <w:trPr>
          <w:trHeight w:val="812" w:hRule="atLeast"/>
        </w:trPr>
        <w:tc>
          <w:tcPr>
            <w:tcW w:w="1751"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Rio Cuarto</w:t>
            </w:r>
          </w:p>
        </w:tc>
        <w:tc>
          <w:tcPr>
            <w:tcW w:w="2127"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Monsanto</w:t>
            </w:r>
          </w:p>
        </w:tc>
        <w:tc>
          <w:tcPr>
            <w:tcW w:w="2126" w:type="dxa"/>
            <w:tcBorders>
              <w:left w:val="single" w:sz="2" w:space="0" w:color="000001"/>
              <w:bottom w:val="single" w:sz="2" w:space="0" w:color="000001"/>
              <w:insideH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Instalación de planta de producción de semillas acondicionadas biogenética y químicamente</w:t>
            </w:r>
          </w:p>
        </w:tc>
        <w:tc>
          <w:tcPr>
            <w:tcW w:w="3260" w:type="dxa"/>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Logro dela prohibición y expulsión de la empresa también de Rio Cuarto, tras los acampes en Malvinas Argentinas contra la empresa.</w:t>
            </w:r>
          </w:p>
        </w:tc>
      </w:tr>
      <w:tr>
        <w:trPr>
          <w:trHeight w:val="812" w:hRule="atLeast"/>
        </w:trPr>
        <w:tc>
          <w:tcPr>
            <w:tcW w:w="9264" w:type="dxa"/>
            <w:gridSpan w:val="4"/>
            <w:tcBorders>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360" w:before="0" w:after="0"/>
              <w:contextualSpacing/>
              <w:rPr>
                <w:rFonts w:ascii="Liberation Serif" w:hAnsi="Liberation Serif"/>
                <w:sz w:val="18"/>
                <w:szCs w:val="18"/>
              </w:rPr>
            </w:pPr>
            <w:r>
              <w:rPr>
                <w:rFonts w:ascii="Liberation Serif" w:hAnsi="Liberation Serif"/>
                <w:sz w:val="18"/>
                <w:szCs w:val="18"/>
              </w:rPr>
              <w:t>Y cientos de otras luchas desde la micropolítica de lo cotidiano, desde las resistencias permanentes a lo desarrlllista que desmonta, fumiga, incendia, contamina y mata.</w:t>
            </w:r>
          </w:p>
        </w:tc>
      </w:tr>
    </w:tbl>
    <w:p>
      <w:pPr>
        <w:pStyle w:val="Normal"/>
        <w:spacing w:lineRule="auto" w:line="360" w:before="0" w:after="0"/>
        <w:contextualSpacing/>
        <w:jc w:val="both"/>
        <w:rPr/>
      </w:pPr>
      <w:r>
        <w:rPr/>
      </w:r>
    </w:p>
    <w:p>
      <w:pPr>
        <w:pStyle w:val="Normal"/>
        <w:spacing w:lineRule="auto" w:line="360" w:before="0" w:after="0"/>
        <w:contextualSpacing/>
        <w:jc w:val="both"/>
        <w:rPr>
          <w:rFonts w:ascii="Liberation Serif" w:hAnsi="Liberation Serif"/>
          <w:sz w:val="22"/>
          <w:szCs w:val="22"/>
        </w:rPr>
      </w:pPr>
      <w:r>
        <w:rPr>
          <w:rFonts w:ascii="Liberation Serif" w:hAnsi="Liberation Serif"/>
          <w:sz w:val="22"/>
          <w:szCs w:val="22"/>
        </w:rPr>
      </w:r>
    </w:p>
    <w:p>
      <w:pPr>
        <w:pStyle w:val="Normal"/>
        <w:spacing w:lineRule="auto" w:line="360" w:before="0" w:after="0"/>
        <w:contextualSpacing/>
        <w:jc w:val="both"/>
        <w:rPr>
          <w:rFonts w:ascii="Liberation Serif" w:hAnsi="Liberation Serif"/>
          <w:sz w:val="22"/>
          <w:szCs w:val="22"/>
        </w:rPr>
      </w:pPr>
      <w:r>
        <w:rPr>
          <w:rFonts w:ascii="Liberation Serif" w:hAnsi="Liberation Serif"/>
          <w:sz w:val="22"/>
          <w:szCs w:val="22"/>
        </w:rPr>
        <w:t>Fuente: Elaboración propia.</w:t>
      </w:r>
    </w:p>
    <w:sectPr>
      <w:footerReference w:type="default" r:id="rId11"/>
      <w:footnotePr>
        <w:numFmt w:val="decimal"/>
      </w:footnotePr>
      <w:type w:val="nextPage"/>
      <w:pgSz w:w="11906" w:h="16838"/>
      <w:pgMar w:left="1560" w:right="1133" w:header="0" w:top="1276" w:footer="0" w:bottom="127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14790671"/>
    </w:sdtPr>
    <w:sdtContent>
      <w:p>
        <w:pPr>
          <w:pStyle w:val="Piedepgina"/>
          <w:jc w:val="center"/>
          <w:rPr/>
        </w:pPr>
        <w:r>
          <w:rPr>
            <w:rFonts w:ascii="Times New Roman" w:hAnsi="Times New Roman"/>
          </w:rPr>
          <w:fldChar w:fldCharType="begin"/>
        </w:r>
        <w:r>
          <w:rPr>
            <w:rFonts w:ascii="Times New Roman" w:hAnsi="Times New Roman"/>
          </w:rPr>
          <w:instrText> PAGE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p>
    </w:sdtContent>
  </w:sdt>
  <w:p>
    <w:pPr>
      <w:pStyle w:val="Piedepgin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alpie"/>
        <w:tabs>
          <w:tab w:val="left" w:pos="142" w:leader="none"/>
        </w:tabs>
        <w:spacing w:before="0" w:after="160"/>
        <w:ind w:left="0" w:hanging="0"/>
        <w:rPr/>
      </w:pPr>
      <w:r>
        <w:rPr>
          <w:rStyle w:val="Caracteresdenotaalpie"/>
        </w:rPr>
        <w:footnoteRef/>
      </w:r>
      <w:r>
        <w:rPr>
          <w:rStyle w:val="Caracteresdenotaalpie"/>
          <w:rFonts w:ascii="Times New Roman" w:hAnsi="Times New Roman"/>
          <w:color w:val="auto"/>
          <w:sz w:val="18"/>
          <w:szCs w:val="18"/>
        </w:rPr>
        <w:tab/>
      </w:r>
      <w:hyperlink r:id="rId1">
        <w:r>
          <w:rPr>
            <w:rStyle w:val="EnlacedeInternet"/>
            <w:rFonts w:ascii="Times New Roman" w:hAnsi="Times New Roman"/>
            <w:color w:val="3333FF"/>
            <w:sz w:val="18"/>
            <w:szCs w:val="18"/>
          </w:rPr>
          <w:t>https://www.bbc.com/mundo/noticias-america-latina-49426937</w:t>
        </w:r>
      </w:hyperlink>
      <w:r>
        <w:rPr>
          <w:rFonts w:ascii="Times New Roman" w:hAnsi="Times New Roman"/>
          <w:color w:val="auto"/>
          <w:sz w:val="18"/>
          <w:szCs w:val="18"/>
        </w:rPr>
        <w:t xml:space="preserve"> o </w:t>
      </w:r>
      <w:hyperlink r:id="rId2">
        <w:r>
          <w:rPr>
            <w:rStyle w:val="EnlacedeInternet"/>
            <w:rFonts w:ascii="Times New Roman" w:hAnsi="Times New Roman"/>
            <w:color w:val="3333FF"/>
            <w:sz w:val="18"/>
            <w:szCs w:val="18"/>
          </w:rPr>
          <w:t>http://www.mst.org.br/2019/08/22/bolsonaro-nao-precisa-das-ongs-para-queimar-a-imagem-do-brasil-no-mundo-inteiro.html</w:t>
        </w:r>
      </w:hyperlink>
      <w:r>
        <w:rPr>
          <w:rFonts w:ascii="Times New Roman" w:hAnsi="Times New Roman"/>
          <w:color w:val="auto"/>
          <w:sz w:val="18"/>
          <w:szCs w:val="18"/>
        </w:rPr>
        <w:t xml:space="preserve"> [consultado el 22-08-2019]</w:t>
      </w:r>
    </w:p>
  </w:footnote>
  <w:footnote w:id="3">
    <w:p>
      <w:pPr>
        <w:pStyle w:val="Notaalpie"/>
        <w:tabs>
          <w:tab w:val="left" w:pos="142" w:leader="none"/>
        </w:tabs>
        <w:spacing w:before="0" w:after="160"/>
        <w:ind w:left="0" w:hanging="0"/>
        <w:jc w:val="both"/>
        <w:rPr/>
      </w:pPr>
      <w:r>
        <w:rPr>
          <w:rStyle w:val="Caracteresdenotaalpie"/>
        </w:rPr>
        <w:footnoteRef/>
      </w:r>
      <w:r>
        <w:rPr>
          <w:rStyle w:val="Caracteresdenotaalpie"/>
          <w:rFonts w:ascii="Times New Roman" w:hAnsi="Times New Roman"/>
          <w:sz w:val="18"/>
          <w:szCs w:val="18"/>
        </w:rPr>
        <w:tab/>
        <w:t xml:space="preserve"> </w:t>
      </w:r>
      <w:r>
        <w:rPr>
          <w:rStyle w:val="Caracteresdenotaalpie"/>
          <w:rFonts w:ascii="Times New Roman" w:hAnsi="Times New Roman"/>
          <w:sz w:val="18"/>
          <w:szCs w:val="18"/>
        </w:rPr>
        <w:t>Si bien d</w:t>
      </w:r>
      <w:r>
        <w:rPr>
          <w:rFonts w:ascii="Times New Roman" w:hAnsi="Times New Roman"/>
          <w:sz w:val="18"/>
          <w:szCs w:val="18"/>
        </w:rPr>
        <w:t>urante estos años de gobierno de Unión por Córdoba (Partido Justicialista) desde el primer período de José Manuel de la Sota en 1999 se redujeron los impuestos, a la vez se favorecieron los fraccionamientos para poder tener más inmuebles a los cuales tributarles impuestos a la propiedad y recuperar el 30% descontado a todos/as los/as demás contribuyentes, siendo este periodo el de mayor cantidad de subdivisiones y loteos que se generaron en la historia de Córdoba.</w:t>
      </w:r>
    </w:p>
  </w:footnote>
  <w:footnote w:id="4">
    <w:p>
      <w:pPr>
        <w:pStyle w:val="Notaalpie"/>
        <w:tabs>
          <w:tab w:val="left" w:pos="142" w:leader="none"/>
        </w:tabs>
        <w:spacing w:lineRule="auto" w:line="240" w:before="0" w:after="0"/>
        <w:ind w:left="0" w:hanging="0"/>
        <w:jc w:val="both"/>
        <w:rPr/>
      </w:pPr>
      <w:r>
        <w:rPr>
          <w:rStyle w:val="Caracteresdenotaalpie"/>
        </w:rPr>
        <w:footnoteRef/>
      </w:r>
      <w:r>
        <w:rPr>
          <w:rStyle w:val="Caracteresdenotaalpie"/>
          <w:rFonts w:ascii="Times New Roman" w:hAnsi="Times New Roman"/>
          <w:sz w:val="18"/>
          <w:szCs w:val="18"/>
        </w:rPr>
        <w:tab/>
        <w:t xml:space="preserve"> </w:t>
      </w:r>
      <w:r>
        <w:rPr>
          <w:rStyle w:val="Caracteresdenotaalpie"/>
          <w:rFonts w:ascii="Times New Roman" w:hAnsi="Times New Roman"/>
          <w:sz w:val="18"/>
          <w:szCs w:val="18"/>
        </w:rPr>
        <w:t>I</w:t>
      </w:r>
      <w:r>
        <w:rPr>
          <w:rFonts w:ascii="Times New Roman" w:hAnsi="Times New Roman"/>
          <w:sz w:val="18"/>
          <w:szCs w:val="18"/>
        </w:rPr>
        <w:t xml:space="preserve">ntendentes y jefes comunales fueron los actores políticos, por lo tanto partidarios, entrevistados/as para este informe. Cabe destacar que, en tanto gobernantes llegados al poder gracias al sostenimiento de representantes del sistema económico-empresarial, los/as ciudadanos/as no son tenidos/as en cuenta como actores para la realización de esta planificación, por lo que se sostiene un discurso que afianza la consideración de que los/as actores/as políticos/as representan a imagen y semejanza a la ciudadanía, cuando a ésta en realidad no tiene real participación en la toma de decisiones. (Informe Intercuencas Sustentables, 2014). </w:t>
      </w:r>
    </w:p>
  </w:footnote>
  <w:footnote w:id="5">
    <w:p>
      <w:pPr>
        <w:pStyle w:val="Notaalpie"/>
        <w:tabs>
          <w:tab w:val="left" w:pos="284" w:leader="none"/>
        </w:tabs>
        <w:spacing w:lineRule="auto" w:line="240" w:before="0" w:after="0"/>
        <w:ind w:left="0" w:hanging="0"/>
        <w:jc w:val="both"/>
        <w:rPr/>
      </w:pPr>
      <w:r>
        <w:rPr>
          <w:rStyle w:val="Caracteresdenotaalpie"/>
        </w:rPr>
        <w:footnoteRef/>
      </w:r>
      <w:r>
        <w:rPr>
          <w:rStyle w:val="Caracteresdenotaalpie"/>
          <w:rFonts w:ascii="Times New Roman" w:hAnsi="Times New Roman"/>
          <w:sz w:val="18"/>
          <w:szCs w:val="18"/>
        </w:rPr>
        <w:tab/>
        <w:t xml:space="preserve"> </w:t>
      </w:r>
      <w:r>
        <w:rPr>
          <w:rFonts w:ascii="Times New Roman" w:hAnsi="Times New Roman"/>
          <w:sz w:val="18"/>
          <w:szCs w:val="18"/>
        </w:rPr>
        <w:t xml:space="preserve">Como el proyecto de instalación de la Planta de Monsanto en Malvinas Argentinas, el proyecto de cantera rechazado por los/as vecinos/as en Saldán, el loteo El Montecito de Unquillo, el del proyecto de Hotel Howard Johnson en San Marcos Sierras, o la cancha de Golf de Villa Giardino, todos ellos rechazados producto de una fuerte movilización social que terminó por consolidar el proyecto de Ley que se aprobaría más tarde como Ley de Política Ambiental N°10.208, que si bien no establece mecanismos vinculantes para el rechazo de un proyecto, sí reglamenta la obligatoriedad de audiencia pública para su debate, su posible modificación y su adecuación. En todos los casos nombrados el contundente posicionamiento de la ciudadanía en esta instancia logró impedir la implementación de las iniciativas desarrollistas, obligando al Estado y a los/as propietarios/as de los proyectos y de la tierra a detener o ni siquiera comenzar con la implementación de las acciones. </w:t>
      </w:r>
    </w:p>
  </w:footnote>
  <w:footnote w:id="6">
    <w:p>
      <w:pPr>
        <w:pStyle w:val="Notaalpie"/>
        <w:spacing w:before="0" w:after="160"/>
        <w:ind w:left="0" w:hanging="0"/>
        <w:jc w:val="both"/>
        <w:rPr/>
      </w:pPr>
      <w:r>
        <w:rPr>
          <w:rStyle w:val="Caracteresdenotaalpie"/>
        </w:rPr>
        <w:footnoteRef/>
      </w:r>
      <w:r>
        <w:rPr>
          <w:rStyle w:val="FootnoteCharacters"/>
          <w:rFonts w:ascii="Times New Roman" w:hAnsi="Times New Roman"/>
        </w:rPr>
        <w:tab/>
      </w:r>
      <w:r>
        <w:rPr>
          <w:rFonts w:ascii="Times New Roman" w:hAnsi="Times New Roman"/>
        </w:rPr>
        <w:t xml:space="preserve"> “</w:t>
      </w:r>
      <w:r>
        <w:rPr>
          <w:rFonts w:ascii="Times New Roman" w:hAnsi="Times New Roman"/>
        </w:rPr>
        <w:t xml:space="preserve">El Programa Valores para Emprender surge como fruto de un acuerdo de trabajo entre el Ministerio de Educación de la Provincia de Córdoba, Junior Achievement Córdoba y el Consejo Federal de Inversiones (CFI) para acercar a las Escuelas Secundarias capacitación docente y material de trabajo en el aula con el fin de contribuir a la participación comunitaria y la formación socio ocupacional de nuestros estudiantes”. Manual “Valores para Emprender” realizado en el marco del Programa educativo basado en conceptos y dinámicas de Junior Achievement Córdoba, solicitado por el Ministerio de Educación de la Provincia de Córdoba y con la asistencia técnica y financiera del Consejo Federal de Inversiones (CFI). Año 2017.  </w:t>
      </w:r>
    </w:p>
  </w:footnote>
</w:footnotes>
</file>

<file path=word/settings.xml><?xml version="1.0" encoding="utf-8"?>
<w:settings xmlns:w="http://schemas.openxmlformats.org/wordprocessingml/2006/main">
  <w:zoom w:percent="150"/>
  <w:defaultTabStop w:val="708"/>
  <w:autoHyphenation w:val="false"/>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2"/>
        <w:lang w:val="es-E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97edd"/>
    <w:pPr>
      <w:widowControl/>
      <w:suppressAutoHyphens w:val="true"/>
      <w:bidi w:val="0"/>
      <w:spacing w:lineRule="auto" w:line="252" w:before="0" w:after="160"/>
      <w:jc w:val="left"/>
    </w:pPr>
    <w:rPr>
      <w:rFonts w:ascii="Calibri" w:hAnsi="Calibri" w:eastAsia="Calibri" w:cs="Times New Roman"/>
      <w:color w:val="00000A"/>
      <w:kern w:val="0"/>
      <w:sz w:val="22"/>
      <w:szCs w:val="22"/>
      <w:lang w:val="es-ES" w:eastAsia="en-US" w:bidi="ar-SA"/>
    </w:rPr>
  </w:style>
  <w:style w:type="paragraph" w:styleId="Ttulo4">
    <w:name w:val="Heading 4"/>
    <w:basedOn w:val="Titular"/>
    <w:qFormat/>
    <w:pPr>
      <w:spacing w:before="120" w:after="120"/>
      <w:outlineLvl w:val="3"/>
    </w:pPr>
    <w:rPr>
      <w:rFonts w:ascii="Liberation Serif" w:hAnsi="Liberation Serif" w:eastAsia="DejaVu Sans" w:cs="DejaVu Sans"/>
      <w:b/>
      <w:bCs/>
      <w:sz w:val="24"/>
      <w:szCs w:val="24"/>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997edd"/>
    <w:rPr/>
  </w:style>
  <w:style w:type="character" w:styleId="PiedepginaCar" w:customStyle="1">
    <w:name w:val="Pie de página Car"/>
    <w:basedOn w:val="DefaultParagraphFont"/>
    <w:link w:val="Piedepgina"/>
    <w:uiPriority w:val="99"/>
    <w:qFormat/>
    <w:rsid w:val="00997edd"/>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cs="Courier New"/>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Ancladenotaalpie" w:customStyle="1">
    <w:name w:val="Ancla de nota al pie"/>
    <w:rPr>
      <w:vertAlign w:val="superscript"/>
    </w:rPr>
  </w:style>
  <w:style w:type="character" w:styleId="Muydestacado" w:customStyle="1">
    <w:name w:val="Muy destacado"/>
    <w:qFormat/>
    <w:rPr>
      <w:b/>
      <w:bCs/>
    </w:rPr>
  </w:style>
  <w:style w:type="character" w:styleId="Caracteresdenotaalpie" w:customStyle="1">
    <w:name w:val="Caracteres de nota al pie"/>
    <w:qFormat/>
    <w:rPr/>
  </w:style>
  <w:style w:type="character" w:styleId="Ancladenotafinal" w:customStyle="1">
    <w:name w:val="Ancla de nota final"/>
    <w:rPr>
      <w:vertAlign w:val="superscript"/>
    </w:rPr>
  </w:style>
  <w:style w:type="character" w:styleId="Caracteresdenotafinal" w:customStyle="1">
    <w:name w:val="Caracteres de nota final"/>
    <w:qFormat/>
    <w:rPr/>
  </w:style>
  <w:style w:type="character" w:styleId="ListLabel13" w:customStyle="1">
    <w:name w:val="ListLabel 13"/>
    <w:qFormat/>
    <w:rPr>
      <w:rFonts w:cs="Symbol"/>
    </w:rPr>
  </w:style>
  <w:style w:type="character" w:styleId="ListLabel14" w:customStyle="1">
    <w:name w:val="ListLabel 14"/>
    <w:qFormat/>
    <w:rPr>
      <w:rFonts w:cs="Courier New"/>
    </w:rPr>
  </w:style>
  <w:style w:type="character" w:styleId="ListLabel15" w:customStyle="1">
    <w:name w:val="ListLabel 15"/>
    <w:qFormat/>
    <w:rPr>
      <w:rFonts w:cs="Wingdings"/>
    </w:rPr>
  </w:style>
  <w:style w:type="character" w:styleId="ListLabel16" w:customStyle="1">
    <w:name w:val="ListLabel 16"/>
    <w:qFormat/>
    <w:rPr>
      <w:rFonts w:ascii="Times New Roman" w:hAnsi="Times New Roman" w:cs="Symbol"/>
      <w:sz w:val="24"/>
    </w:rPr>
  </w:style>
  <w:style w:type="character" w:styleId="ListLabel17" w:customStyle="1">
    <w:name w:val="ListLabel 17"/>
    <w:qFormat/>
    <w:rPr>
      <w:rFonts w:cs="Courier New"/>
    </w:rPr>
  </w:style>
  <w:style w:type="character" w:styleId="ListLabel18" w:customStyle="1">
    <w:name w:val="ListLabel 18"/>
    <w:qFormat/>
    <w:rPr>
      <w:rFonts w:cs="Wingdings"/>
    </w:rPr>
  </w:style>
  <w:style w:type="character" w:styleId="ListLabel19" w:customStyle="1">
    <w:name w:val="ListLabel 19"/>
    <w:qFormat/>
    <w:rPr>
      <w:rFonts w:cs="Symbol"/>
    </w:rPr>
  </w:style>
  <w:style w:type="character" w:styleId="ListLabel20" w:customStyle="1">
    <w:name w:val="ListLabel 20"/>
    <w:qFormat/>
    <w:rPr>
      <w:rFonts w:cs="Courier New"/>
    </w:rPr>
  </w:style>
  <w:style w:type="character" w:styleId="ListLabel21" w:customStyle="1">
    <w:name w:val="ListLabel 21"/>
    <w:qFormat/>
    <w:rPr>
      <w:rFonts w:cs="Wingdings"/>
    </w:rPr>
  </w:style>
  <w:style w:type="character" w:styleId="ListLabel22" w:customStyle="1">
    <w:name w:val="ListLabel 22"/>
    <w:qFormat/>
    <w:rPr>
      <w:rFonts w:cs="Symbol"/>
    </w:rPr>
  </w:style>
  <w:style w:type="character" w:styleId="ListLabel23" w:customStyle="1">
    <w:name w:val="ListLabel 23"/>
    <w:qFormat/>
    <w:rPr>
      <w:rFonts w:cs="Courier New"/>
    </w:rPr>
  </w:style>
  <w:style w:type="character" w:styleId="ListLabel24" w:customStyle="1">
    <w:name w:val="ListLabel 24"/>
    <w:qFormat/>
    <w:rPr>
      <w:rFonts w:cs="Wingdings"/>
    </w:rPr>
  </w:style>
  <w:style w:type="character" w:styleId="ListLabel25" w:customStyle="1">
    <w:name w:val="ListLabel 25"/>
    <w:qFormat/>
    <w:rPr>
      <w:rFonts w:ascii="Liberation Serif" w:hAnsi="Liberation Serif" w:cs="Symbol"/>
      <w:sz w:val="24"/>
    </w:rPr>
  </w:style>
  <w:style w:type="character" w:styleId="ListLabel26" w:customStyle="1">
    <w:name w:val="ListLabel 26"/>
    <w:qFormat/>
    <w:rPr>
      <w:rFonts w:cs="Courier New"/>
    </w:rPr>
  </w:style>
  <w:style w:type="character" w:styleId="ListLabel27" w:customStyle="1">
    <w:name w:val="ListLabel 27"/>
    <w:qFormat/>
    <w:rPr>
      <w:rFonts w:cs="Wingdings"/>
    </w:rPr>
  </w:style>
  <w:style w:type="character" w:styleId="ListLabel28" w:customStyle="1">
    <w:name w:val="ListLabel 28"/>
    <w:qFormat/>
    <w:rPr>
      <w:rFonts w:cs="Symbol"/>
    </w:rPr>
  </w:style>
  <w:style w:type="character" w:styleId="ListLabel29" w:customStyle="1">
    <w:name w:val="ListLabel 29"/>
    <w:qFormat/>
    <w:rPr>
      <w:rFonts w:cs="Courier New"/>
    </w:rPr>
  </w:style>
  <w:style w:type="character" w:styleId="ListLabel30" w:customStyle="1">
    <w:name w:val="ListLabel 30"/>
    <w:qFormat/>
    <w:rPr>
      <w:rFonts w:cs="Wingdings"/>
    </w:rPr>
  </w:style>
  <w:style w:type="character" w:styleId="ListLabel31" w:customStyle="1">
    <w:name w:val="ListLabel 31"/>
    <w:qFormat/>
    <w:rPr>
      <w:rFonts w:cs="Symbol"/>
    </w:rPr>
  </w:style>
  <w:style w:type="character" w:styleId="ListLabel32" w:customStyle="1">
    <w:name w:val="ListLabel 32"/>
    <w:qFormat/>
    <w:rPr>
      <w:rFonts w:cs="Courier New"/>
    </w:rPr>
  </w:style>
  <w:style w:type="character" w:styleId="ListLabel33" w:customStyle="1">
    <w:name w:val="ListLabel 33"/>
    <w:qFormat/>
    <w:rPr>
      <w:rFonts w:cs="Wingdings"/>
    </w:rPr>
  </w:style>
  <w:style w:type="character" w:styleId="ListLabel34" w:customStyle="1">
    <w:name w:val="ListLabel 34"/>
    <w:qFormat/>
    <w:rPr>
      <w:rFonts w:ascii="Liberation Serif" w:hAnsi="Liberation Serif" w:cs="Symbol"/>
      <w:sz w:val="24"/>
    </w:rPr>
  </w:style>
  <w:style w:type="character" w:styleId="Destacado">
    <w:name w:val="Destacado"/>
    <w:basedOn w:val="DefaultParagraphFont"/>
    <w:uiPriority w:val="20"/>
    <w:qFormat/>
    <w:rsid w:val="0082404b"/>
    <w:rPr>
      <w:i/>
      <w:iCs/>
    </w:rPr>
  </w:style>
  <w:style w:type="character" w:styleId="EnlacedeInternet" w:customStyle="1">
    <w:name w:val="Enlace de Internet"/>
    <w:rPr>
      <w:color w:val="000080"/>
      <w:u w:val="single"/>
    </w:rPr>
  </w:style>
  <w:style w:type="character" w:styleId="TextodegloboCar" w:customStyle="1">
    <w:name w:val="Texto de globo Car"/>
    <w:basedOn w:val="DefaultParagraphFont"/>
    <w:link w:val="Textodeglobo"/>
    <w:uiPriority w:val="99"/>
    <w:semiHidden/>
    <w:qFormat/>
    <w:rsid w:val="004e5fd2"/>
    <w:rPr>
      <w:rFonts w:ascii="Tahoma" w:hAnsi="Tahoma" w:cs="Tahoma"/>
      <w:color w:val="00000A"/>
      <w:sz w:val="16"/>
      <w:szCs w:val="16"/>
    </w:rPr>
  </w:style>
  <w:style w:type="character" w:styleId="St" w:customStyle="1">
    <w:name w:val="st"/>
    <w:basedOn w:val="DefaultParagraphFont"/>
    <w:qFormat/>
    <w:rsid w:val="00b64c5b"/>
    <w:rPr/>
  </w:style>
  <w:style w:type="character" w:styleId="FootnoteCharacters">
    <w:name w:val="Footnote Characters"/>
    <w:basedOn w:val="DefaultParagraphFont"/>
    <w:uiPriority w:val="99"/>
    <w:semiHidden/>
    <w:unhideWhenUsed/>
    <w:qFormat/>
    <w:rsid w:val="004e5936"/>
    <w:rPr>
      <w:vertAlign w:val="superscript"/>
    </w:rPr>
  </w:style>
  <w:style w:type="character" w:styleId="ListLabel35">
    <w:name w:val="ListLabel 35"/>
    <w:qFormat/>
    <w:rPr>
      <w:rFonts w:cs="Symbol"/>
      <w:sz w:val="24"/>
    </w:rPr>
  </w:style>
  <w:style w:type="character" w:styleId="ListLabel36">
    <w:name w:val="ListLabel 36"/>
    <w:qFormat/>
    <w:rPr>
      <w:rFonts w:cs="Courier New"/>
    </w:rPr>
  </w:style>
  <w:style w:type="character" w:styleId="ListLabel37">
    <w:name w:val="ListLabel 37"/>
    <w:qFormat/>
    <w:rPr>
      <w:rFonts w:cs="Wingdings"/>
    </w:rPr>
  </w:style>
  <w:style w:type="character" w:styleId="ListLabel38">
    <w:name w:val="ListLabel 38"/>
    <w:qFormat/>
    <w:rPr>
      <w:rFonts w:cs="Symbol"/>
    </w:rPr>
  </w:style>
  <w:style w:type="character" w:styleId="ListLabel39">
    <w:name w:val="ListLabel 39"/>
    <w:qFormat/>
    <w:rPr>
      <w:rFonts w:cs="Courier New"/>
    </w:rPr>
  </w:style>
  <w:style w:type="character" w:styleId="ListLabel40">
    <w:name w:val="ListLabel 40"/>
    <w:qFormat/>
    <w:rPr>
      <w:rFonts w:cs="Wingdings"/>
    </w:rPr>
  </w:style>
  <w:style w:type="character" w:styleId="ListLabel41">
    <w:name w:val="ListLabel 41"/>
    <w:qFormat/>
    <w:rPr>
      <w:rFonts w:cs="Symbol"/>
    </w:rPr>
  </w:style>
  <w:style w:type="character" w:styleId="ListLabel42">
    <w:name w:val="ListLabel 42"/>
    <w:qFormat/>
    <w:rPr>
      <w:rFonts w:cs="Courier New"/>
    </w:rPr>
  </w:style>
  <w:style w:type="character" w:styleId="ListLabel43">
    <w:name w:val="ListLabel 43"/>
    <w:qFormat/>
    <w:rPr>
      <w:rFonts w:cs="Wingdings"/>
    </w:rPr>
  </w:style>
  <w:style w:type="character" w:styleId="ListLabel44">
    <w:name w:val="ListLabel 44"/>
    <w:qFormat/>
    <w:rPr>
      <w:rFonts w:cs="Symbol"/>
      <w:sz w:val="24"/>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rPr>
  </w:style>
  <w:style w:type="character" w:styleId="ListLabel48">
    <w:name w:val="ListLabel 48"/>
    <w:qFormat/>
    <w:rPr>
      <w:rFonts w:cs="Courier New"/>
    </w:rPr>
  </w:style>
  <w:style w:type="character" w:styleId="ListLabel49">
    <w:name w:val="ListLabel 49"/>
    <w:qFormat/>
    <w:rPr>
      <w:rFonts w:cs="Wingdings"/>
    </w:rPr>
  </w:style>
  <w:style w:type="character" w:styleId="ListLabel50">
    <w:name w:val="ListLabel 50"/>
    <w:qFormat/>
    <w:rPr>
      <w:rFonts w:cs="Symbol"/>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cs="Symbol"/>
      <w:sz w:val="24"/>
    </w:rPr>
  </w:style>
  <w:style w:type="character" w:styleId="ListLabel54">
    <w:name w:val="ListLabel 54"/>
    <w:qFormat/>
    <w:rPr>
      <w:rFonts w:ascii="Times New Roman" w:hAnsi="Times New Roman" w:eastAsia="Times New Roman"/>
      <w:sz w:val="24"/>
      <w:szCs w:val="24"/>
    </w:rPr>
  </w:style>
  <w:style w:type="character" w:styleId="ListLabel55">
    <w:name w:val="ListLabel 55"/>
    <w:qFormat/>
    <w:rPr>
      <w:rFonts w:ascii="Times New Roman" w:hAnsi="Times New Roman" w:eastAsia="Times New Roman"/>
      <w:color w:val="00000A"/>
      <w:sz w:val="24"/>
      <w:szCs w:val="24"/>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itular">
    <w:name w:val="Title"/>
    <w:basedOn w:val="Normal"/>
    <w:qFormat/>
    <w:pPr>
      <w:keepNext w:val="true"/>
      <w:spacing w:before="240" w:after="120"/>
    </w:pPr>
    <w:rPr>
      <w:rFonts w:ascii="Liberation Sans" w:hAnsi="Liberation Sans" w:eastAsia="Noto Sans CJK SC" w:cs="Lohit Devanagari"/>
      <w:sz w:val="28"/>
      <w:szCs w:val="28"/>
    </w:rPr>
  </w:style>
  <w:style w:type="paragraph" w:styleId="Caption">
    <w:name w:val="caption"/>
    <w:basedOn w:val="Normal"/>
    <w:qFormat/>
    <w:pPr>
      <w:suppressLineNumbers/>
      <w:spacing w:before="120" w:after="120"/>
    </w:pPr>
    <w:rPr>
      <w:rFonts w:cs="Lohit Devanagari"/>
      <w:i/>
      <w:iCs/>
      <w:sz w:val="24"/>
      <w:szCs w:val="24"/>
    </w:rPr>
  </w:style>
  <w:style w:type="paragraph" w:styleId="Cabecera">
    <w:name w:val="Header"/>
    <w:basedOn w:val="Normal"/>
    <w:link w:val="EncabezadoCar"/>
    <w:qFormat/>
    <w:pPr>
      <w:keepNext w:val="true"/>
      <w:spacing w:before="240" w:after="120"/>
    </w:pPr>
    <w:rPr>
      <w:rFonts w:ascii="Liberation Sans" w:hAnsi="Liberation Sans" w:eastAsia="Droid Sans Fallback" w:cs="FreeSans"/>
      <w:sz w:val="28"/>
      <w:szCs w:val="28"/>
    </w:rPr>
  </w:style>
  <w:style w:type="paragraph" w:styleId="Pie" w:customStyle="1">
    <w:name w:val="Pie"/>
    <w:basedOn w:val="Normal"/>
    <w:qFormat/>
    <w:pPr>
      <w:suppressLineNumbers/>
      <w:spacing w:before="120" w:after="120"/>
    </w:pPr>
    <w:rPr>
      <w:rFonts w:cs="Lohit Devanagari"/>
      <w:i/>
      <w:iCs/>
      <w:sz w:val="24"/>
      <w:szCs w:val="24"/>
    </w:rPr>
  </w:style>
  <w:style w:type="paragraph" w:styleId="Encabezamiento" w:customStyle="1">
    <w:name w:val="Encabezamiento"/>
    <w:basedOn w:val="Normal"/>
    <w:uiPriority w:val="99"/>
    <w:unhideWhenUsed/>
    <w:qFormat/>
    <w:rsid w:val="00997edd"/>
    <w:pPr>
      <w:tabs>
        <w:tab w:val="center" w:pos="4252" w:leader="none"/>
        <w:tab w:val="right" w:pos="8504" w:leader="none"/>
      </w:tabs>
      <w:spacing w:lineRule="auto" w:line="240" w:before="0" w:after="0"/>
    </w:pPr>
    <w:rPr/>
  </w:style>
  <w:style w:type="paragraph" w:styleId="Piedepgina">
    <w:name w:val="Footer"/>
    <w:basedOn w:val="Normal"/>
    <w:link w:val="PiedepginaCar"/>
    <w:uiPriority w:val="99"/>
    <w:unhideWhenUsed/>
    <w:rsid w:val="00997edd"/>
    <w:pPr>
      <w:tabs>
        <w:tab w:val="center" w:pos="4252" w:leader="none"/>
        <w:tab w:val="right" w:pos="8504" w:leader="none"/>
      </w:tabs>
      <w:spacing w:lineRule="auto" w:line="240" w:before="0" w:after="0"/>
    </w:pPr>
    <w:rPr/>
  </w:style>
  <w:style w:type="paragraph" w:styleId="ListParagraph">
    <w:name w:val="List Paragraph"/>
    <w:basedOn w:val="Normal"/>
    <w:qFormat/>
    <w:rsid w:val="000c0b67"/>
    <w:pPr>
      <w:spacing w:before="0" w:after="160"/>
      <w:ind w:left="720" w:hanging="0"/>
      <w:contextualSpacing/>
    </w:pPr>
    <w:rPr/>
  </w:style>
  <w:style w:type="paragraph" w:styleId="Notaalpie">
    <w:name w:val="Footnote Text"/>
    <w:basedOn w:val="Normal"/>
    <w:pPr>
      <w:suppressLineNumbers/>
      <w:ind w:left="339" w:hanging="339"/>
    </w:pPr>
    <w:rPr>
      <w:sz w:val="20"/>
      <w:szCs w:val="20"/>
    </w:rPr>
  </w:style>
  <w:style w:type="paragraph" w:styleId="Contenidodelatabla" w:customStyle="1">
    <w:name w:val="Contenido de la tabla"/>
    <w:basedOn w:val="Normal"/>
    <w:qFormat/>
    <w:pPr>
      <w:suppressLineNumbers/>
    </w:pPr>
    <w:rPr/>
  </w:style>
  <w:style w:type="paragraph" w:styleId="Contenidodelmarco" w:customStyle="1">
    <w:name w:val="Contenido del marco"/>
    <w:basedOn w:val="Normal"/>
    <w:qFormat/>
    <w:pPr/>
    <w:rPr/>
  </w:style>
  <w:style w:type="paragraph" w:styleId="Lneahorizontal" w:customStyle="1">
    <w:name w:val="Línea horizontal"/>
    <w:basedOn w:val="Normal"/>
    <w:qFormat/>
    <w:pPr>
      <w:suppressLineNumbers/>
      <w:pBdr>
        <w:bottom w:val="double" w:sz="2" w:space="0" w:color="808080"/>
      </w:pBdr>
      <w:spacing w:before="0" w:after="283"/>
    </w:pPr>
    <w:rPr>
      <w:sz w:val="12"/>
      <w:szCs w:val="12"/>
    </w:rPr>
  </w:style>
  <w:style w:type="paragraph" w:styleId="BalloonText">
    <w:name w:val="Balloon Text"/>
    <w:basedOn w:val="Normal"/>
    <w:link w:val="TextodegloboCar"/>
    <w:uiPriority w:val="99"/>
    <w:semiHidden/>
    <w:unhideWhenUsed/>
    <w:qFormat/>
    <w:rsid w:val="004e5fd2"/>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aconcuadrcula1">
    <w:name w:val="Tabla con cuadrícula1"/>
    <w:basedOn w:val="Tablanormal"/>
    <w:uiPriority w:val="59"/>
    <w:rsid w:val="00206799"/>
    <w:pPr>
      <w:jc w:val="both"/>
    </w:pPr>
    <w:rPr>
      <w:lang w:val="es-AR"/>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Tablaconcuadrcula">
    <w:name w:val="Table Grid"/>
    <w:basedOn w:val="Tablanormal"/>
    <w:uiPriority w:val="39"/>
    <w:rsid w:val="00206799"/>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ilpadelibertad@gmail.com" TargetMode="External"/><Relationship Id="rId3" Type="http://schemas.openxmlformats.org/officeDocument/2006/relationships/hyperlink" Target="mailto:anaszabo@hotmail.com" TargetMode="External"/><Relationship Id="rId4" Type="http://schemas.openxmlformats.org/officeDocument/2006/relationships/hyperlink" Target="mailto:joaquinudeon@yahoo.com.ar" TargetMode="External"/><Relationship Id="rId5" Type="http://schemas.openxmlformats.org/officeDocument/2006/relationships/hyperlink" Target="mailto:ldhocsman@gmail.com" TargetMode="Externa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hyperlink" Target="https://revistas.unc.edu.ar/index.php/EEH/article/view/24193" TargetMode="External"/><Relationship Id="rId9" Type="http://schemas.openxmlformats.org/officeDocument/2006/relationships/hyperlink" Target="https://www.academia.edu/s/bda51cc01c/desafios-del-sistema-alimentario-nutricional-de-agroecologicos-en-argentina-el-caso-de-la-provincia-cordoba?source=link" TargetMode="External"/><Relationship Id="rId10" Type="http://schemas.openxmlformats.org/officeDocument/2006/relationships/hyperlink" Target="https://dx.doi.org/10.4067/S0718-34022009000300004" TargetMode="External"/><Relationship Id="rId11" Type="http://schemas.openxmlformats.org/officeDocument/2006/relationships/footer" Target="footer1.xml"/><Relationship Id="rId12" Type="http://schemas.openxmlformats.org/officeDocument/2006/relationships/footnotes" Target="footnotes.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www.bbc.com/mundo/noticias-america-latina-49426937" TargetMode="External"/><Relationship Id="rId2" Type="http://schemas.openxmlformats.org/officeDocument/2006/relationships/hyperlink" Target="http://www.mst.org.br/2019/08/22/bolsonaro-nao-precisa-das-ongs-para-queimar-a-imagem-do-brasil-no-mundo-inteiro.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Application>LibreOffice/6.0.7.3$Linux_X86_64 LibreOffice_project/00m0$Build-3</Application>
  <Pages>22</Pages>
  <Words>8155</Words>
  <Characters>47616</Characters>
  <CharactersWithSpaces>55647</CharactersWithSpaces>
  <Paragraphs>239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2019-08-27T00:06:00Z</dcterms:created>
  <dc:creator>Ana María Szabó</dc:creator>
  <dc:description/>
  <dc:language>es-AR</dc:language>
  <cp:lastModifiedBy/>
  <dcterms:modified xsi:type="dcterms:W3CDTF">2019-08-28T00:08:38Z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