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6502" w:rsidRPr="00CA35A9" w:rsidRDefault="00936502" w:rsidP="00936502">
      <w:pPr>
        <w:pStyle w:val="TtulodoTrabalho"/>
        <w:ind w:firstLine="0"/>
        <w:rPr>
          <w:rFonts w:ascii="Times New Roman" w:hAnsi="Times New Roman" w:cs="Times New Roman"/>
          <w:b w:val="0"/>
          <w:caps w:val="0"/>
          <w:sz w:val="24"/>
          <w:szCs w:val="24"/>
        </w:rPr>
      </w:pPr>
      <w:r>
        <w:rPr>
          <w:rFonts w:ascii="Times New Roman" w:hAnsi="Times New Roman" w:cs="Times New Roman"/>
          <w:caps w:val="0"/>
          <w:sz w:val="24"/>
          <w:szCs w:val="24"/>
        </w:rPr>
        <w:t>D</w:t>
      </w:r>
      <w:r w:rsidRPr="00CA35A9">
        <w:rPr>
          <w:rFonts w:ascii="Times New Roman" w:hAnsi="Times New Roman" w:cs="Times New Roman"/>
          <w:caps w:val="0"/>
          <w:sz w:val="24"/>
          <w:szCs w:val="24"/>
        </w:rPr>
        <w:t xml:space="preserve">iversificação agropecuária e desenvolvimento rural no </w:t>
      </w:r>
      <w:r w:rsidR="0085553A">
        <w:rPr>
          <w:rFonts w:ascii="Times New Roman" w:hAnsi="Times New Roman" w:cs="Times New Roman"/>
          <w:caps w:val="0"/>
          <w:sz w:val="24"/>
          <w:szCs w:val="24"/>
        </w:rPr>
        <w:t>Bioma Cerrado</w:t>
      </w:r>
      <w:bookmarkStart w:id="0" w:name="_GoBack"/>
      <w:bookmarkEnd w:id="0"/>
    </w:p>
    <w:p w:rsidR="00936502" w:rsidRPr="00CA35A9" w:rsidRDefault="00936502" w:rsidP="00936502">
      <w:pPr>
        <w:spacing w:line="240" w:lineRule="auto"/>
        <w:ind w:firstLine="0"/>
        <w:rPr>
          <w:rFonts w:ascii="Times New Roman" w:hAnsi="Times New Roman"/>
        </w:rPr>
      </w:pPr>
    </w:p>
    <w:p w:rsidR="00936502" w:rsidRPr="00CA35A9" w:rsidRDefault="00936502" w:rsidP="00936502">
      <w:pPr>
        <w:spacing w:line="240" w:lineRule="auto"/>
        <w:ind w:firstLine="0"/>
        <w:rPr>
          <w:rFonts w:ascii="Times New Roman" w:hAnsi="Times New Roman"/>
          <w:b/>
        </w:rPr>
      </w:pPr>
      <w:r w:rsidRPr="00CA35A9">
        <w:rPr>
          <w:rFonts w:ascii="Times New Roman" w:hAnsi="Times New Roman"/>
          <w:b/>
        </w:rPr>
        <w:t>Eixo Temático: Eixo 2</w:t>
      </w:r>
    </w:p>
    <w:p w:rsidR="00936502" w:rsidRPr="00CA35A9" w:rsidRDefault="00936502" w:rsidP="00936502">
      <w:pPr>
        <w:spacing w:line="240" w:lineRule="auto"/>
        <w:ind w:firstLine="0"/>
        <w:rPr>
          <w:rFonts w:ascii="Times New Roman" w:hAnsi="Times New Roman"/>
        </w:rPr>
      </w:pPr>
    </w:p>
    <w:p w:rsidR="00936502" w:rsidRPr="00CA35A9" w:rsidRDefault="00936502" w:rsidP="00936502">
      <w:pPr>
        <w:spacing w:line="240" w:lineRule="auto"/>
        <w:ind w:firstLine="0"/>
        <w:rPr>
          <w:rFonts w:ascii="Times New Roman" w:hAnsi="Times New Roman"/>
          <w:b/>
        </w:rPr>
      </w:pPr>
      <w:r w:rsidRPr="00CA35A9">
        <w:rPr>
          <w:rFonts w:ascii="Times New Roman" w:hAnsi="Times New Roman"/>
          <w:b/>
        </w:rPr>
        <w:t>Caldeira, Charly</w:t>
      </w:r>
    </w:p>
    <w:p w:rsidR="00936502" w:rsidRPr="00CA35A9" w:rsidRDefault="00936502" w:rsidP="00936502">
      <w:pPr>
        <w:spacing w:line="240" w:lineRule="auto"/>
        <w:ind w:firstLine="0"/>
        <w:rPr>
          <w:rFonts w:ascii="Times New Roman" w:hAnsi="Times New Roman"/>
        </w:rPr>
      </w:pPr>
      <w:r w:rsidRPr="00CA35A9">
        <w:rPr>
          <w:rFonts w:ascii="Times New Roman" w:hAnsi="Times New Roman"/>
        </w:rPr>
        <w:t xml:space="preserve">Programa de Pós-Graduação em Ciências Econômicas da Universidade Estadual de Maringá, Brasil (PCE-UEM). </w:t>
      </w:r>
      <w:hyperlink r:id="rId8" w:history="1">
        <w:r w:rsidRPr="00CA35A9">
          <w:rPr>
            <w:rStyle w:val="Hyperlink"/>
            <w:rFonts w:ascii="Times New Roman" w:hAnsi="Times New Roman"/>
          </w:rPr>
          <w:t>charly.trabalho@gmail.com</w:t>
        </w:r>
      </w:hyperlink>
    </w:p>
    <w:p w:rsidR="00936502" w:rsidRPr="00CA35A9" w:rsidRDefault="00936502" w:rsidP="00936502">
      <w:pPr>
        <w:spacing w:line="240" w:lineRule="auto"/>
        <w:ind w:firstLine="0"/>
        <w:rPr>
          <w:rFonts w:ascii="Times New Roman" w:hAnsi="Times New Roman"/>
        </w:rPr>
      </w:pPr>
    </w:p>
    <w:p w:rsidR="00936502" w:rsidRPr="00CA35A9" w:rsidRDefault="00936502" w:rsidP="00936502">
      <w:pPr>
        <w:spacing w:line="240" w:lineRule="auto"/>
        <w:ind w:firstLine="0"/>
        <w:rPr>
          <w:rFonts w:ascii="Times New Roman" w:hAnsi="Times New Roman"/>
          <w:b/>
        </w:rPr>
      </w:pPr>
      <w:r w:rsidRPr="00CA35A9">
        <w:rPr>
          <w:rFonts w:ascii="Times New Roman" w:hAnsi="Times New Roman"/>
          <w:b/>
        </w:rPr>
        <w:t>Parré, José Luiz</w:t>
      </w:r>
    </w:p>
    <w:p w:rsidR="00936502" w:rsidRPr="00CA35A9" w:rsidRDefault="00936502" w:rsidP="00936502">
      <w:pPr>
        <w:spacing w:line="240" w:lineRule="auto"/>
        <w:ind w:firstLine="0"/>
        <w:rPr>
          <w:rFonts w:ascii="Times New Roman" w:hAnsi="Times New Roman"/>
        </w:rPr>
      </w:pPr>
      <w:r w:rsidRPr="00CA35A9">
        <w:rPr>
          <w:rFonts w:ascii="Times New Roman" w:hAnsi="Times New Roman"/>
        </w:rPr>
        <w:t xml:space="preserve">Programa de Pós-Graduação em Ciências Econômicas da Universidade Estadual de Maringá, Brasil (PCE-UEM). </w:t>
      </w:r>
      <w:hyperlink r:id="rId9" w:history="1">
        <w:r w:rsidRPr="00CA35A9">
          <w:rPr>
            <w:rStyle w:val="Hyperlink"/>
            <w:rFonts w:ascii="Times New Roman" w:hAnsi="Times New Roman"/>
          </w:rPr>
          <w:t>jlparre@uem.br</w:t>
        </w:r>
      </w:hyperlink>
    </w:p>
    <w:p w:rsidR="00936502" w:rsidRDefault="00936502" w:rsidP="00936502">
      <w:pPr>
        <w:spacing w:line="240" w:lineRule="auto"/>
        <w:ind w:firstLine="0"/>
        <w:rPr>
          <w:rFonts w:ascii="Times New Roman" w:hAnsi="Times New Roman"/>
        </w:rPr>
      </w:pPr>
    </w:p>
    <w:p w:rsidR="00B71C06" w:rsidRPr="00CA35A9" w:rsidRDefault="00B71C06" w:rsidP="00936502">
      <w:pPr>
        <w:spacing w:line="240" w:lineRule="auto"/>
        <w:ind w:firstLine="0"/>
        <w:rPr>
          <w:rFonts w:ascii="Times New Roman" w:hAnsi="Times New Roman"/>
        </w:rPr>
      </w:pPr>
    </w:p>
    <w:p w:rsidR="00936502" w:rsidRPr="00CA35A9" w:rsidRDefault="00936502" w:rsidP="00936502">
      <w:pPr>
        <w:ind w:firstLine="0"/>
        <w:rPr>
          <w:rFonts w:ascii="Times New Roman" w:hAnsi="Times New Roman"/>
          <w:b/>
        </w:rPr>
      </w:pPr>
      <w:r w:rsidRPr="00CA35A9">
        <w:rPr>
          <w:rFonts w:ascii="Times New Roman" w:hAnsi="Times New Roman"/>
          <w:b/>
        </w:rPr>
        <w:t>RESUMO</w:t>
      </w:r>
    </w:p>
    <w:p w:rsidR="00936502" w:rsidRPr="00CA35A9" w:rsidRDefault="00936502" w:rsidP="00936502">
      <w:pPr>
        <w:pStyle w:val="Resumo-Texto"/>
        <w:spacing w:after="0"/>
        <w:rPr>
          <w:rFonts w:ascii="Times New Roman" w:hAnsi="Times New Roman" w:cs="Times New Roman"/>
          <w:szCs w:val="24"/>
        </w:rPr>
      </w:pPr>
      <w:r w:rsidRPr="00CA35A9">
        <w:rPr>
          <w:rFonts w:ascii="Times New Roman" w:hAnsi="Times New Roman" w:cs="Times New Roman"/>
          <w:szCs w:val="24"/>
        </w:rPr>
        <w:t>O Cerrado é o segundo maior bioma da América do Sul e ocupa aproximadamente 22% do território brasileiro. É reconhecido como a savana mais rica em diversidade biológica do mundo, abrigando 11.627 espécies de plantas nativas catalogadas. Neste sentido, o objetivo do presente estudo é mensurar o grau de diversificação da produção agropecuária dos municípios do bioma Cerrado Brasileiro e o grau de desenvolvimento rural dos municípios, levando em consideração questões demográficas, sociais, econômicas e ambientais. Por fim, relaciona-se o nível de diversificação agropecuária com o grau de desenvolvimento rural de cada município. Para a mensuração da diversificação utilizou-se o índice de Shannon, e para quantificar o desenvolvimento rural aplicou-se a metodologia de análise fatorial. Os resultados demonstraram que ocorre um crescente processo de especialização da produção, levando a produção de monoculturas a novas regiões de vegetação nativa do Cerrado, através do desmatamento de grandes áreas. Esse crescimento da produção nas últimas décadas gerou um expressivo aumento do valor bruto da produção agrícola, que sustenta um discurso de que o modelo vigente para a produção agrícola é benéfico ao desenvolvimento; entretanto, os resultados permitem concluir que o desenvolvimento rural no Cerrado é predominantemente baixo e insustentável.</w:t>
      </w:r>
    </w:p>
    <w:p w:rsidR="00936502" w:rsidRPr="00CA35A9" w:rsidRDefault="00936502" w:rsidP="00936502">
      <w:pPr>
        <w:pStyle w:val="Resumo-Texto"/>
        <w:rPr>
          <w:rFonts w:ascii="Times New Roman" w:hAnsi="Times New Roman" w:cs="Times New Roman"/>
          <w:szCs w:val="24"/>
        </w:rPr>
      </w:pPr>
      <w:r w:rsidRPr="00CA35A9">
        <w:rPr>
          <w:rFonts w:ascii="Times New Roman" w:hAnsi="Times New Roman" w:cs="Times New Roman"/>
          <w:b/>
          <w:szCs w:val="24"/>
        </w:rPr>
        <w:t xml:space="preserve">Palavras-chave: </w:t>
      </w:r>
      <w:r w:rsidRPr="00CA35A9">
        <w:rPr>
          <w:rFonts w:ascii="Times New Roman" w:hAnsi="Times New Roman" w:cs="Times New Roman"/>
          <w:szCs w:val="24"/>
        </w:rPr>
        <w:t>Índice de Shannon. Biodiversidade. Análise Fatorial.</w:t>
      </w:r>
    </w:p>
    <w:p w:rsidR="000F223F" w:rsidRPr="00D92210" w:rsidRDefault="000F223F" w:rsidP="00D92210">
      <w:pPr>
        <w:pStyle w:val="Ttulo1"/>
        <w:spacing w:line="360" w:lineRule="auto"/>
        <w:rPr>
          <w:rFonts w:ascii="Times New Roman" w:hAnsi="Times New Roman" w:cs="Times New Roman"/>
        </w:rPr>
      </w:pPr>
      <w:bookmarkStart w:id="1" w:name="_Toc527532373"/>
      <w:bookmarkStart w:id="2" w:name="_Toc4632589"/>
      <w:r w:rsidRPr="00D92210">
        <w:rPr>
          <w:rFonts w:ascii="Times New Roman" w:hAnsi="Times New Roman" w:cs="Times New Roman"/>
        </w:rPr>
        <w:t>1</w:t>
      </w:r>
      <w:r w:rsidR="00D53DE3" w:rsidRPr="00D92210">
        <w:rPr>
          <w:rFonts w:ascii="Times New Roman" w:hAnsi="Times New Roman" w:cs="Times New Roman"/>
        </w:rPr>
        <w:t xml:space="preserve"> </w:t>
      </w:r>
      <w:r w:rsidRPr="00D92210">
        <w:rPr>
          <w:rFonts w:ascii="Times New Roman" w:hAnsi="Times New Roman" w:cs="Times New Roman"/>
        </w:rPr>
        <w:t>INTRODUÇÃO</w:t>
      </w:r>
      <w:bookmarkEnd w:id="1"/>
      <w:bookmarkEnd w:id="2"/>
    </w:p>
    <w:p w:rsidR="000F223F" w:rsidRPr="00D92210" w:rsidRDefault="000F223F" w:rsidP="00D06236">
      <w:pPr>
        <w:pStyle w:val="Pargrafo"/>
        <w:spacing w:line="360" w:lineRule="auto"/>
        <w:ind w:firstLine="0"/>
        <w:rPr>
          <w:rFonts w:ascii="Times New Roman" w:hAnsi="Times New Roman" w:cs="Times New Roman"/>
        </w:rPr>
      </w:pPr>
    </w:p>
    <w:p w:rsidR="00041500" w:rsidRPr="00D92210" w:rsidRDefault="000F223F" w:rsidP="00D92210">
      <w:pPr>
        <w:rPr>
          <w:rFonts w:ascii="Times New Roman" w:hAnsi="Times New Roman"/>
        </w:rPr>
      </w:pPr>
      <w:r w:rsidRPr="00D92210">
        <w:rPr>
          <w:rFonts w:ascii="Times New Roman" w:hAnsi="Times New Roman"/>
        </w:rPr>
        <w:t>O Cerrado é o segundo maior bioma da América do Sul e ocupa aproximadamente 22% do território brasileiro. É reconhecido como a savana</w:t>
      </w:r>
      <w:r w:rsidRPr="00D92210">
        <w:rPr>
          <w:rStyle w:val="Refdenotaderodap"/>
          <w:rFonts w:ascii="Times New Roman" w:hAnsi="Times New Roman"/>
        </w:rPr>
        <w:footnoteReference w:id="1"/>
      </w:r>
      <w:r w:rsidRPr="00D92210">
        <w:rPr>
          <w:rFonts w:ascii="Times New Roman" w:hAnsi="Times New Roman"/>
        </w:rPr>
        <w:t xml:space="preserve"> mais rica em diversidade biológica do mundo, abrigando 11.627 espécies de plantas nativas catalogadas. Com um alto nível de endemismo</w:t>
      </w:r>
      <w:r w:rsidRPr="00D92210">
        <w:rPr>
          <w:rStyle w:val="Refdenotaderodap"/>
          <w:rFonts w:ascii="Times New Roman" w:hAnsi="Times New Roman"/>
        </w:rPr>
        <w:footnoteReference w:id="2"/>
      </w:r>
      <w:r w:rsidRPr="00D92210">
        <w:rPr>
          <w:rFonts w:ascii="Times New Roman" w:hAnsi="Times New Roman"/>
        </w:rPr>
        <w:t xml:space="preserve">, mais de 4.800 espécies de plantas e vertebrados existentes nele não se encontra em nenhum outro lugar. Também estão localizadas neste bioma as nascentes das três maiores bacias hidrográficas da América do Sul (Amazônica/Tocantins, São Francisco e Prata); além disso, 43% de toda a água do país fora da bacia amazônica está no Cerrado </w:t>
      </w:r>
      <w:r w:rsidR="005F3586" w:rsidRPr="00D92210">
        <w:rPr>
          <w:rStyle w:val="Refdenotaderodap"/>
          <w:rFonts w:ascii="Times New Roman" w:hAnsi="Times New Roman"/>
          <w:color w:val="222222"/>
        </w:rPr>
        <w:fldChar w:fldCharType="begin" w:fldLock="1"/>
      </w:r>
      <w:r w:rsidR="00FF7EAB" w:rsidRPr="00D92210">
        <w:rPr>
          <w:rFonts w:ascii="Times New Roman" w:hAnsi="Times New Roman"/>
        </w:rPr>
        <w:instrText>ADDIN CSL_CITATION {"citationItems":[{"id":"ITEM-1","itemData":{"URL":"http://www.mma.gov.br/biomas/cerrado.html","accessed":{"date-parts":[["2018","3","20"]]},"author":[{"dropping-particle":"","family":"Ministério do Meio Ambiente","given":"","non-dropping-particle":"","parse-names":false,"suffix":""}],"id":"ITEM-1","issued":{"date-parts":[["2018"]]},"page":"1","title":"O Bioma Cerrado","type":"webpage"},"uris":["http://www.mendeley.com/documents/?uuid=25988876-b9f5-3d17-b621-ad5a511ec784"]}],"mendeley":{"formattedCitation":"(MINISTÉRIO DO MEIO AMBIENTE, 2018a)","plainTextFormattedCitation":"(MINISTÉRIO DO MEIO AMBIENTE, 2018a)","previouslyFormattedCitation":"(MINISTÉRIO DO MEIO AMBIENTE, 2018a)"},"properties":{"noteIndex":0},"schema":"https://github.com/citation-style-language/schema/raw/master/csl-citation.json"}</w:instrText>
      </w:r>
      <w:r w:rsidR="005F3586" w:rsidRPr="00D92210">
        <w:rPr>
          <w:rStyle w:val="Refdenotaderodap"/>
          <w:rFonts w:ascii="Times New Roman" w:hAnsi="Times New Roman"/>
          <w:color w:val="222222"/>
        </w:rPr>
        <w:fldChar w:fldCharType="separate"/>
      </w:r>
      <w:r w:rsidR="00BD1104" w:rsidRPr="00D92210">
        <w:rPr>
          <w:rFonts w:ascii="Times New Roman" w:hAnsi="Times New Roman"/>
          <w:noProof/>
        </w:rPr>
        <w:t>(MINISTÉRIO DO MEIO AMBIENTE, 2018a)</w:t>
      </w:r>
      <w:r w:rsidR="005F3586" w:rsidRPr="00D92210">
        <w:rPr>
          <w:rStyle w:val="Refdenotaderodap"/>
          <w:rFonts w:ascii="Times New Roman" w:hAnsi="Times New Roman"/>
          <w:color w:val="222222"/>
        </w:rPr>
        <w:fldChar w:fldCharType="end"/>
      </w:r>
      <w:r w:rsidR="00983522" w:rsidRPr="00D92210">
        <w:rPr>
          <w:rFonts w:ascii="Times New Roman" w:hAnsi="Times New Roman"/>
        </w:rPr>
        <w:t>.</w:t>
      </w:r>
    </w:p>
    <w:p w:rsidR="00041500" w:rsidRPr="00D92210" w:rsidRDefault="0013188E" w:rsidP="00D92210">
      <w:pPr>
        <w:rPr>
          <w:rFonts w:ascii="Times New Roman" w:hAnsi="Times New Roman"/>
        </w:rPr>
      </w:pPr>
      <w:r w:rsidRPr="00D92210">
        <w:rPr>
          <w:rFonts w:ascii="Times New Roman" w:hAnsi="Times New Roman"/>
        </w:rPr>
        <w:t>O</w:t>
      </w:r>
      <w:r w:rsidR="000F223F" w:rsidRPr="00D92210">
        <w:rPr>
          <w:rFonts w:ascii="Times New Roman" w:hAnsi="Times New Roman"/>
        </w:rPr>
        <w:t xml:space="preserve"> Cerrado é considerado um </w:t>
      </w:r>
      <w:r w:rsidR="000F223F" w:rsidRPr="00D92210">
        <w:rPr>
          <w:rFonts w:ascii="Times New Roman" w:hAnsi="Times New Roman"/>
          <w:i/>
        </w:rPr>
        <w:t>hotspot</w:t>
      </w:r>
      <w:r w:rsidR="00545DF0" w:rsidRPr="00D92210">
        <w:rPr>
          <w:rFonts w:ascii="Times New Roman" w:hAnsi="Times New Roman"/>
        </w:rPr>
        <w:t xml:space="preserve"> </w:t>
      </w:r>
      <w:r w:rsidR="005F3586" w:rsidRPr="00D92210">
        <w:rPr>
          <w:rFonts w:ascii="Times New Roman" w:hAnsi="Times New Roman"/>
        </w:rPr>
        <w:fldChar w:fldCharType="begin" w:fldLock="1"/>
      </w:r>
      <w:r w:rsidR="00545DF0" w:rsidRPr="00D92210">
        <w:rPr>
          <w:rFonts w:ascii="Times New Roman" w:hAnsi="Times New Roman"/>
        </w:rPr>
        <w:instrText>ADDIN CSL_CITATION {"citationItems":[{"id":"ITEM-1","itemData":{"DOI":"10.1038/srep43214","ISBN":"0028-0836","ISSN":"20452322","PMID":"10706275","abstract":"Conservationists are far from able to assist all species under threat, if only for lack of funding. This places a premium on priorities: how can we support the most species at the least cost? One way is to identify 'biodiversity hotspots' where exceptional concentrations of endemic species are undergoing exceptional loss of habitat. As many as 44% of all species of vascular plants and 35% of all species in four vertebrate groups are confined to 25 hotspots comprising only 1.4% of the land surface of the Earth. This opens the way for a 'silver bullet' strategy on the part of conservation planners, focusing on these hotspots in proportion to their share of the world's species at risk.","author":[{"dropping-particle":"","family":"Myers","given":"Norman","non-dropping-particle":"","parse-names":false,"suffix":""},{"dropping-particle":"","family":"Mittermeier","given":"Russell A.","non-dropping-particle":"","parse-names":false,"suffix":""},{"dropping-particle":"","family":"Mittermeier","given":"Cristina G.","non-dropping-particle":"","parse-names":false,"suffix":""},{"dropping-particle":"da","family":"Fonseca","given":"Gustavo A. B.","non-dropping-particle":"","parse-names":false,"suffix":""},{"dropping-particle":"","family":"Kent","given":"Jennifer","non-dropping-particle":"","parse-names":false,"suffix":""}],"container-title":"Nature","id":"ITEM-1","issue":"853-858d","issued":{"date-parts":[["2000"]]},"title":"Biodiversity hotspots for conservation priorities","type":"article-journal","volume":"403"},"uris":["http://www.mendeley.com/documents/?uuid=387c4826-4b83-3c8f-a047-176d445ef94b"]}],"mendeley":{"formattedCitation":"(MYERS et al., 2000)","plainTextFormattedCitation":"(MYERS et al., 2000)","previouslyFormattedCitation":"(MYERS et al., 2000)"},"properties":{"noteIndex":0},"schema":"https://github.com/citation-style-language/schema/raw/master/csl-citation.json"}</w:instrText>
      </w:r>
      <w:r w:rsidR="005F3586" w:rsidRPr="00D92210">
        <w:rPr>
          <w:rFonts w:ascii="Times New Roman" w:hAnsi="Times New Roman"/>
        </w:rPr>
        <w:fldChar w:fldCharType="separate"/>
      </w:r>
      <w:r w:rsidR="00DA69F5" w:rsidRPr="00D92210">
        <w:rPr>
          <w:rFonts w:ascii="Times New Roman" w:hAnsi="Times New Roman"/>
          <w:noProof/>
        </w:rPr>
        <w:t>(MYERS et al., 2000)</w:t>
      </w:r>
      <w:r w:rsidR="005F3586" w:rsidRPr="00D92210">
        <w:rPr>
          <w:rFonts w:ascii="Times New Roman" w:hAnsi="Times New Roman"/>
        </w:rPr>
        <w:fldChar w:fldCharType="end"/>
      </w:r>
      <w:r w:rsidR="000F223F" w:rsidRPr="00D92210">
        <w:rPr>
          <w:rFonts w:ascii="Times New Roman" w:hAnsi="Times New Roman"/>
        </w:rPr>
        <w:t xml:space="preserve">. No mundo existem apenas 34 </w:t>
      </w:r>
      <w:r w:rsidR="000F223F" w:rsidRPr="00D92210">
        <w:rPr>
          <w:rFonts w:ascii="Times New Roman" w:hAnsi="Times New Roman"/>
          <w:i/>
        </w:rPr>
        <w:t>hotspots</w:t>
      </w:r>
      <w:r w:rsidR="000F223F" w:rsidRPr="00D92210">
        <w:rPr>
          <w:rFonts w:ascii="Times New Roman" w:hAnsi="Times New Roman"/>
        </w:rPr>
        <w:t xml:space="preserve">, </w:t>
      </w:r>
      <w:r w:rsidR="00634AF0" w:rsidRPr="00D92210">
        <w:rPr>
          <w:rFonts w:ascii="Times New Roman" w:hAnsi="Times New Roman"/>
        </w:rPr>
        <w:t xml:space="preserve">estas áreas </w:t>
      </w:r>
      <w:r w:rsidR="00545DF0" w:rsidRPr="00D92210">
        <w:rPr>
          <w:rFonts w:ascii="Times New Roman" w:hAnsi="Times New Roman"/>
        </w:rPr>
        <w:t>são escolhidas através de um criterioso processo, que identificam</w:t>
      </w:r>
      <w:r w:rsidR="00634AF0" w:rsidRPr="00D92210">
        <w:rPr>
          <w:rFonts w:ascii="Times New Roman" w:hAnsi="Times New Roman"/>
        </w:rPr>
        <w:t xml:space="preserve"> </w:t>
      </w:r>
      <w:r w:rsidR="00545DF0" w:rsidRPr="00D92210">
        <w:rPr>
          <w:rFonts w:ascii="Times New Roman" w:hAnsi="Times New Roman"/>
        </w:rPr>
        <w:t>as</w:t>
      </w:r>
      <w:r w:rsidR="00634AF0" w:rsidRPr="00D92210">
        <w:rPr>
          <w:rFonts w:ascii="Times New Roman" w:hAnsi="Times New Roman"/>
        </w:rPr>
        <w:t xml:space="preserve"> regiões prioritárias </w:t>
      </w:r>
      <w:r w:rsidR="00545DF0" w:rsidRPr="00D92210">
        <w:rPr>
          <w:rFonts w:ascii="Times New Roman" w:hAnsi="Times New Roman"/>
        </w:rPr>
        <w:t xml:space="preserve">para a </w:t>
      </w:r>
      <w:r w:rsidR="00545DF0" w:rsidRPr="00D92210">
        <w:rPr>
          <w:rFonts w:ascii="Times New Roman" w:hAnsi="Times New Roman"/>
        </w:rPr>
        <w:lastRenderedPageBreak/>
        <w:t xml:space="preserve">preservação ambiental, </w:t>
      </w:r>
      <w:r w:rsidR="00BA34D7" w:rsidRPr="00D92210">
        <w:rPr>
          <w:rFonts w:ascii="Times New Roman" w:hAnsi="Times New Roman"/>
        </w:rPr>
        <w:t>escolhendo aquelas que</w:t>
      </w:r>
      <w:r w:rsidR="00545DF0" w:rsidRPr="00D92210">
        <w:rPr>
          <w:rFonts w:ascii="Times New Roman" w:hAnsi="Times New Roman"/>
        </w:rPr>
        <w:t xml:space="preserve"> possuem alta biodiversidade, com uma vasta riqueza de espécies, porém ameaçada de extinção. </w:t>
      </w:r>
      <w:r w:rsidR="00C26E5B" w:rsidRPr="00D92210">
        <w:rPr>
          <w:rFonts w:ascii="Times New Roman" w:hAnsi="Times New Roman"/>
        </w:rPr>
        <w:t>Apesar do reconhecimento da importância do bioma, e</w:t>
      </w:r>
      <w:r w:rsidR="00545DF0" w:rsidRPr="00D92210">
        <w:rPr>
          <w:rFonts w:ascii="Times New Roman" w:hAnsi="Times New Roman"/>
        </w:rPr>
        <w:t xml:space="preserve">ntre todos </w:t>
      </w:r>
      <w:r w:rsidR="00C26E5B" w:rsidRPr="00D92210">
        <w:rPr>
          <w:rFonts w:ascii="Times New Roman" w:hAnsi="Times New Roman"/>
        </w:rPr>
        <w:t xml:space="preserve">os </w:t>
      </w:r>
      <w:r w:rsidR="00C26E5B" w:rsidRPr="00D92210">
        <w:rPr>
          <w:rFonts w:ascii="Times New Roman" w:hAnsi="Times New Roman"/>
          <w:i/>
        </w:rPr>
        <w:t>hotspots</w:t>
      </w:r>
      <w:r w:rsidR="00C26E5B" w:rsidRPr="00D92210">
        <w:rPr>
          <w:rFonts w:ascii="Times New Roman" w:hAnsi="Times New Roman"/>
        </w:rPr>
        <w:t xml:space="preserve"> globais</w:t>
      </w:r>
      <w:r w:rsidR="000F223F" w:rsidRPr="00D92210">
        <w:rPr>
          <w:rFonts w:ascii="Times New Roman" w:hAnsi="Times New Roman"/>
        </w:rPr>
        <w:t xml:space="preserve">, o Cerrado é o que possui a menor </w:t>
      </w:r>
      <w:r w:rsidR="00545DF0" w:rsidRPr="00D92210">
        <w:rPr>
          <w:rFonts w:ascii="Times New Roman" w:hAnsi="Times New Roman"/>
        </w:rPr>
        <w:t xml:space="preserve">porcentagem de </w:t>
      </w:r>
      <w:r w:rsidR="000F223F" w:rsidRPr="00D92210">
        <w:rPr>
          <w:rFonts w:ascii="Times New Roman" w:hAnsi="Times New Roman"/>
        </w:rPr>
        <w:t>área sob proteção integral (2,85%) e apenas 8,21% do território está legalmente protegido por unidades de conservação</w:t>
      </w:r>
      <w:r w:rsidR="00545DF0" w:rsidRPr="00D92210">
        <w:rPr>
          <w:rFonts w:ascii="Times New Roman" w:hAnsi="Times New Roman"/>
        </w:rPr>
        <w:t xml:space="preserve"> </w:t>
      </w:r>
      <w:r w:rsidR="005F3586" w:rsidRPr="00D92210">
        <w:rPr>
          <w:rFonts w:ascii="Times New Roman" w:hAnsi="Times New Roman"/>
        </w:rPr>
        <w:fldChar w:fldCharType="begin" w:fldLock="1"/>
      </w:r>
      <w:r w:rsidR="00FF7EAB" w:rsidRPr="00D92210">
        <w:rPr>
          <w:rFonts w:ascii="Times New Roman" w:hAnsi="Times New Roman"/>
        </w:rPr>
        <w:instrText>ADDIN CSL_CITATION {"citationItems":[{"id":"ITEM-1","itemData":{"URL":"http://www.mma.gov.br/biomas/cerrado.html","accessed":{"date-parts":[["2018","3","20"]]},"author":[{"dropping-particle":"","family":"Ministério do Meio Ambiente","given":"","non-dropping-particle":"","parse-names":false,"suffix":""}],"id":"ITEM-1","issued":{"date-parts":[["2018"]]},"page":"1","title":"O Bioma Cerrado","type":"webpage"},"uris":["http://www.mendeley.com/documents/?uuid=25988876-b9f5-3d17-b621-ad5a511ec784"]}],"mendeley":{"formattedCitation":"(MINISTÉRIO DO MEIO AMBIENTE, 2018a)","plainTextFormattedCitation":"(MINISTÉRIO DO MEIO AMBIENTE, 2018a)","previouslyFormattedCitation":"(MINISTÉRIO DO MEIO AMBIENTE, 2018a)"},"properties":{"noteIndex":0},"schema":"https://github.com/citation-style-language/schema/raw/master/csl-citation.json"}</w:instrText>
      </w:r>
      <w:r w:rsidR="005F3586" w:rsidRPr="00D92210">
        <w:rPr>
          <w:rFonts w:ascii="Times New Roman" w:hAnsi="Times New Roman"/>
        </w:rPr>
        <w:fldChar w:fldCharType="separate"/>
      </w:r>
      <w:r w:rsidR="00BD1104" w:rsidRPr="00D92210">
        <w:rPr>
          <w:rFonts w:ascii="Times New Roman" w:hAnsi="Times New Roman"/>
          <w:noProof/>
        </w:rPr>
        <w:t>(MINISTÉRIO DO MEIO AMBIENTE, 2018a)</w:t>
      </w:r>
      <w:r w:rsidR="005F3586" w:rsidRPr="00D92210">
        <w:rPr>
          <w:rFonts w:ascii="Times New Roman" w:hAnsi="Times New Roman"/>
        </w:rPr>
        <w:fldChar w:fldCharType="end"/>
      </w:r>
      <w:r w:rsidR="000F223F" w:rsidRPr="00D92210">
        <w:rPr>
          <w:rFonts w:ascii="Times New Roman" w:hAnsi="Times New Roman"/>
        </w:rPr>
        <w:t xml:space="preserve">. </w:t>
      </w:r>
    </w:p>
    <w:p w:rsidR="00C26E5B" w:rsidRPr="00D92210" w:rsidRDefault="00C26E5B" w:rsidP="00D92210">
      <w:pPr>
        <w:rPr>
          <w:rFonts w:ascii="Times New Roman" w:hAnsi="Times New Roman"/>
        </w:rPr>
      </w:pPr>
      <w:r w:rsidRPr="00D92210">
        <w:rPr>
          <w:rFonts w:ascii="Times New Roman" w:hAnsi="Times New Roman"/>
        </w:rPr>
        <w:t xml:space="preserve">Além disso, se comparado com </w:t>
      </w:r>
      <w:r w:rsidR="00BD1104" w:rsidRPr="00D92210">
        <w:rPr>
          <w:rFonts w:ascii="Times New Roman" w:hAnsi="Times New Roman"/>
        </w:rPr>
        <w:t>a Amazônia</w:t>
      </w:r>
      <w:r w:rsidRPr="00D92210">
        <w:rPr>
          <w:rFonts w:ascii="Times New Roman" w:hAnsi="Times New Roman"/>
        </w:rPr>
        <w:t xml:space="preserve">, </w:t>
      </w:r>
      <w:r w:rsidR="00BD1104" w:rsidRPr="00D92210">
        <w:rPr>
          <w:rFonts w:ascii="Times New Roman" w:hAnsi="Times New Roman"/>
        </w:rPr>
        <w:t xml:space="preserve">por exemplo, </w:t>
      </w:r>
      <w:r w:rsidRPr="00D92210">
        <w:rPr>
          <w:rFonts w:ascii="Times New Roman" w:hAnsi="Times New Roman"/>
        </w:rPr>
        <w:t xml:space="preserve">o Cerrado ainda fica em </w:t>
      </w:r>
      <w:r w:rsidR="00BD1104" w:rsidRPr="00D92210">
        <w:rPr>
          <w:rFonts w:ascii="Times New Roman" w:hAnsi="Times New Roman"/>
        </w:rPr>
        <w:t>desvantagem</w:t>
      </w:r>
      <w:r w:rsidRPr="00D92210">
        <w:rPr>
          <w:rFonts w:ascii="Times New Roman" w:hAnsi="Times New Roman"/>
        </w:rPr>
        <w:t xml:space="preserve"> do ponto de vista de proteção legal em terras privadas. No caso da Amazônia, a reserva legal é de 35% do imóvel rural, enquanto no Cerrado essa porcentagem é de apenas 20%</w:t>
      </w:r>
      <w:r w:rsidR="00BD1104" w:rsidRPr="00D92210">
        <w:rPr>
          <w:rFonts w:ascii="Times New Roman" w:hAnsi="Times New Roman"/>
        </w:rPr>
        <w:t>, tornando-o</w:t>
      </w:r>
      <w:r w:rsidRPr="00D92210">
        <w:rPr>
          <w:rFonts w:ascii="Times New Roman" w:hAnsi="Times New Roman"/>
        </w:rPr>
        <w:t xml:space="preserve"> muito vulnerável </w:t>
      </w:r>
      <w:r w:rsidR="005F055C" w:rsidRPr="00D92210">
        <w:rPr>
          <w:rFonts w:ascii="Times New Roman" w:hAnsi="Times New Roman"/>
        </w:rPr>
        <w:t>à</w:t>
      </w:r>
      <w:r w:rsidRPr="00D92210">
        <w:rPr>
          <w:rFonts w:ascii="Times New Roman" w:hAnsi="Times New Roman"/>
        </w:rPr>
        <w:t xml:space="preserve"> ações antrópicas</w:t>
      </w:r>
      <w:r w:rsidR="00391299" w:rsidRPr="00D92210">
        <w:rPr>
          <w:rFonts w:ascii="Times New Roman" w:hAnsi="Times New Roman"/>
        </w:rPr>
        <w:t xml:space="preserve">, </w:t>
      </w:r>
      <w:r w:rsidR="00BD1104" w:rsidRPr="00D92210">
        <w:rPr>
          <w:rFonts w:ascii="Times New Roman" w:hAnsi="Times New Roman"/>
        </w:rPr>
        <w:t xml:space="preserve">principalmente em áreas privadas, por se tratar do bioma </w:t>
      </w:r>
      <w:r w:rsidR="00391299" w:rsidRPr="00D92210">
        <w:rPr>
          <w:rFonts w:ascii="Times New Roman" w:hAnsi="Times New Roman"/>
        </w:rPr>
        <w:t>considerad</w:t>
      </w:r>
      <w:r w:rsidR="00BD1104" w:rsidRPr="00D92210">
        <w:rPr>
          <w:rFonts w:ascii="Times New Roman" w:hAnsi="Times New Roman"/>
        </w:rPr>
        <w:t xml:space="preserve">o </w:t>
      </w:r>
      <w:r w:rsidR="00391299" w:rsidRPr="00D92210">
        <w:rPr>
          <w:rFonts w:ascii="Times New Roman" w:hAnsi="Times New Roman"/>
        </w:rPr>
        <w:t>a grande fronteira agrícola nacional</w:t>
      </w:r>
      <w:r w:rsidR="00BD1104" w:rsidRPr="00D92210">
        <w:rPr>
          <w:rFonts w:ascii="Times New Roman" w:hAnsi="Times New Roman"/>
        </w:rPr>
        <w:t xml:space="preserve">. </w:t>
      </w:r>
      <w:r w:rsidR="005F3586" w:rsidRPr="00D92210">
        <w:rPr>
          <w:rFonts w:ascii="Times New Roman" w:hAnsi="Times New Roman"/>
        </w:rPr>
        <w:fldChar w:fldCharType="begin" w:fldLock="1"/>
      </w:r>
      <w:r w:rsidR="00FF7EAB" w:rsidRPr="00D92210">
        <w:rPr>
          <w:rFonts w:ascii="Times New Roman" w:hAnsi="Times New Roman"/>
        </w:rPr>
        <w:instrText>ADDIN CSL_CITATION {"citationItems":[{"id":"ITEM-1","itemData":{"author":[{"dropping-particle":"","family":"Ministério do Meio Ambiente","given":"","non-dropping-particle":"","parse-names":false,"suffix":""}],"id":"ITEM-1","issued":{"date-parts":[["2018"]]},"title":"Plano de Ação para Prevenção e Controle do Desmatamento no Cerrado: BALANÇO DE EXECUÇÃO 2018","type":"article"},"uris":["http://www.mendeley.com/documents/?uuid=0fb0c25d-2903-3b22-8ac8-e6ddcc6f3f31"]}],"mendeley":{"formattedCitation":"(MINISTÉRIO DO MEIO AMBIENTE, 2018b)","plainTextFormattedCitation":"(MINISTÉRIO DO MEIO AMBIENTE, 2018b)","previouslyFormattedCitation":"(MINISTÉRIO DO MEIO AMBIENTE, 2018b)"},"properties":{"noteIndex":0},"schema":"https://github.com/citation-style-language/schema/raw/master/csl-citation.json"}</w:instrText>
      </w:r>
      <w:r w:rsidR="005F3586" w:rsidRPr="00D92210">
        <w:rPr>
          <w:rFonts w:ascii="Times New Roman" w:hAnsi="Times New Roman"/>
        </w:rPr>
        <w:fldChar w:fldCharType="separate"/>
      </w:r>
      <w:r w:rsidR="00BD1104" w:rsidRPr="00D92210">
        <w:rPr>
          <w:rFonts w:ascii="Times New Roman" w:hAnsi="Times New Roman"/>
          <w:noProof/>
        </w:rPr>
        <w:t>(MINISTÉRIO DO MEIO AMBIENTE, 2018b)</w:t>
      </w:r>
      <w:r w:rsidR="005F3586" w:rsidRPr="00D92210">
        <w:rPr>
          <w:rFonts w:ascii="Times New Roman" w:hAnsi="Times New Roman"/>
        </w:rPr>
        <w:fldChar w:fldCharType="end"/>
      </w:r>
      <w:r w:rsidR="00391299" w:rsidRPr="00D92210">
        <w:rPr>
          <w:rFonts w:ascii="Times New Roman" w:hAnsi="Times New Roman"/>
        </w:rPr>
        <w:t>.</w:t>
      </w:r>
    </w:p>
    <w:p w:rsidR="0055711E" w:rsidRPr="00D92210" w:rsidRDefault="00FF7EAB" w:rsidP="00D92210">
      <w:pPr>
        <w:rPr>
          <w:rFonts w:ascii="Times New Roman" w:hAnsi="Times New Roman"/>
        </w:rPr>
      </w:pPr>
      <w:r w:rsidRPr="00D92210">
        <w:rPr>
          <w:rFonts w:ascii="Times New Roman" w:hAnsi="Times New Roman"/>
        </w:rPr>
        <w:t xml:space="preserve">De acordo com Strassburg et al. </w:t>
      </w:r>
      <w:r w:rsidR="005F3586" w:rsidRPr="00D92210">
        <w:rPr>
          <w:rFonts w:ascii="Times New Roman" w:hAnsi="Times New Roman"/>
        </w:rPr>
        <w:fldChar w:fldCharType="begin" w:fldLock="1"/>
      </w:r>
      <w:r w:rsidR="00A26DF9" w:rsidRPr="00D92210">
        <w:rPr>
          <w:rFonts w:ascii="Times New Roman" w:hAnsi="Times New Roman"/>
        </w:rPr>
        <w:instrText>ADDIN CSL_CITATION {"citationItems":[{"id":"ITEM-1","itemData":{"DOI":"10.1038/s41559-017-0099","ISBN":"2397-334X","ISSN":"2397334X","PMID":"28812670","abstract":"Despite projections of a severe extinction event, a window of opportunity is now open for a mix of policies to avoid biodiversity collapse in the Cerrado hotspot.","author":[{"dropping-particle":"","family":"Strassburg","given":"Bernardo B.N.","non-dropping-particle":"","parse-names":false,"suffix":""},{"dropping-particle":"","family":"Brooks","given":"Thomas","non-dropping-particle":"","parse-names":false,"suffix":""},{"dropping-particle":"","family":"Feltran-Barbieri","given":"Rafael","non-dropping-particle":"","parse-names":false,"suffix":""},{"dropping-particle":"","family":"Iribarrem","given":"Alvaro","non-dropping-particle":"","parse-names":false,"suffix":""},{"dropping-particle":"","family":"Crouzeilles","given":"Renato","non-dropping-particle":"","parse-names":false,"suffix":""},{"dropping-particle":"","family":"Loyola","given":"Rafael","non-dropping-particle":"","parse-names":false,"suffix":""},{"dropping-particle":"","family":"Latawiec","given":"Agnieszka E.","non-dropping-particle":"","parse-names":false,"suffix":""},{"dropping-particle":"","family":"Oliveira Filho","given":"Francisco J.B.","non-dropping-particle":"","parse-names":false,"suffix":""},{"dropping-particle":"","family":"Scaramuzza","given":"Carlos A.M.","non-dropping-particle":"De","parse-names":false,"suffix":""},{"dropping-particle":"","family":"Scarano","given":"Fabio R.","non-dropping-particle":"","parse-names":false,"suffix":""},{"dropping-particle":"","family":"Soares-Filho","given":"Britaldo","non-dropping-particle":"","parse-names":false,"suffix":""},{"dropping-particle":"","family":"Balmford","given":"Andrew","non-dropping-particle":"","parse-names":false,"suffix":""}],"container-title":"Nature Ecology and Evolution","id":"ITEM-1","issue":"4","issued":{"date-parts":[["2017"]]},"page":"13-15","title":"Moment of truth for the Cerrado hotspot","type":"article-journal","volume":"1"},"suppress-author":1,"uris":["http://www.mendeley.com/documents/?uuid=fba1e48f-df7e-4da3-beff-b7ab911ee1a6"]}],"mendeley":{"formattedCitation":"(2017)","plainTextFormattedCitation":"(2017)","previouslyFormattedCitation":"(2017)"},"properties":{"noteIndex":0},"schema":"https://github.com/citation-style-language/schema/raw/master/csl-citation.json"}</w:instrText>
      </w:r>
      <w:r w:rsidR="005F3586" w:rsidRPr="00D92210">
        <w:rPr>
          <w:rFonts w:ascii="Times New Roman" w:hAnsi="Times New Roman"/>
        </w:rPr>
        <w:fldChar w:fldCharType="separate"/>
      </w:r>
      <w:r w:rsidRPr="00D92210">
        <w:rPr>
          <w:rFonts w:ascii="Times New Roman" w:hAnsi="Times New Roman"/>
          <w:noProof/>
        </w:rPr>
        <w:t>(2017)</w:t>
      </w:r>
      <w:r w:rsidR="005F3586" w:rsidRPr="00D92210">
        <w:rPr>
          <w:rFonts w:ascii="Times New Roman" w:hAnsi="Times New Roman"/>
        </w:rPr>
        <w:fldChar w:fldCharType="end"/>
      </w:r>
      <w:r w:rsidRPr="00D92210">
        <w:rPr>
          <w:rFonts w:ascii="Times New Roman" w:hAnsi="Times New Roman"/>
        </w:rPr>
        <w:t>, e</w:t>
      </w:r>
      <w:r w:rsidR="00D53DE3" w:rsidRPr="00D92210">
        <w:rPr>
          <w:rFonts w:ascii="Times New Roman" w:hAnsi="Times New Roman"/>
        </w:rPr>
        <w:t>ntre 2002 e 2011, as taxas de desmatamento no Cerrado (1% ao ano) foram 2,5 ve</w:t>
      </w:r>
      <w:r w:rsidRPr="00D92210">
        <w:rPr>
          <w:rFonts w:ascii="Times New Roman" w:hAnsi="Times New Roman"/>
        </w:rPr>
        <w:t xml:space="preserve">zes maiores do que na Amazônia. E entre 2013 e 2017, “o Brasil perdeu uma área de Cerrado equivalente a 26 cidades de São Paulo” </w:t>
      </w:r>
      <w:r w:rsidR="005F3586" w:rsidRPr="00D92210">
        <w:rPr>
          <w:rFonts w:ascii="Times New Roman" w:hAnsi="Times New Roman"/>
        </w:rPr>
        <w:fldChar w:fldCharType="begin" w:fldLock="1"/>
      </w:r>
      <w:r w:rsidRPr="00D92210">
        <w:rPr>
          <w:rFonts w:ascii="Times New Roman" w:hAnsi="Times New Roman"/>
        </w:rPr>
        <w:instrText>ADDIN CSL_CITATION {"citationItems":[{"id":"ITEM-1","itemData":{"author":[{"dropping-particle":"","family":"Favareto","given":"Arilson da Silva","non-dropping-particle":"","parse-names":false,"suffix":""},{"dropping-particle":"","family":"Nakagawa","given":"Louise","non-dropping-particle":"","parse-names":false,"suffix":""},{"dropping-particle":"","family":"Kleeb","given":"Suzana Cecilia","non-dropping-particle":"","parse-names":false,"suffix":""},{"dropping-particle":"","family":"Seifer","given":"Paulo Guilherme","non-dropping-particle":"","parse-names":false,"suffix":""},{"dropping-particle":"","family":"Pó","given":"Marcos","non-dropping-particle":"","parse-names":false,"suffix":""}],"container-title":"Greenpeace","id":"ITEM-1","issued":{"date-parts":[["2018"]]},"page":"100","title":"A expansão do agronegócio e a disputa pelo cerrado","type":"article-journal"},"locator":"68","uris":["http://www.mendeley.com/documents/?uuid=4c8faa1a-e937-372b-952d-79a1d99726ec"]}],"mendeley":{"formattedCitation":"(FAVARETO et al., 2018, p. 68)","plainTextFormattedCitation":"(FAVARETO et al., 2018, p. 68)","previouslyFormattedCitation":"(FAVARETO et al., 2018, p. 68)"},"properties":{"noteIndex":0},"schema":"https://github.com/citation-style-language/schema/raw/master/csl-citation.json"}</w:instrText>
      </w:r>
      <w:r w:rsidR="005F3586" w:rsidRPr="00D92210">
        <w:rPr>
          <w:rFonts w:ascii="Times New Roman" w:hAnsi="Times New Roman"/>
        </w:rPr>
        <w:fldChar w:fldCharType="separate"/>
      </w:r>
      <w:r w:rsidRPr="00D92210">
        <w:rPr>
          <w:rFonts w:ascii="Times New Roman" w:hAnsi="Times New Roman"/>
          <w:noProof/>
        </w:rPr>
        <w:t>(FAVARETO et al., 2018, p. 68)</w:t>
      </w:r>
      <w:r w:rsidR="005F3586" w:rsidRPr="00D92210">
        <w:rPr>
          <w:rFonts w:ascii="Times New Roman" w:hAnsi="Times New Roman"/>
        </w:rPr>
        <w:fldChar w:fldCharType="end"/>
      </w:r>
      <w:r w:rsidRPr="00D92210">
        <w:rPr>
          <w:rFonts w:ascii="Times New Roman" w:hAnsi="Times New Roman"/>
        </w:rPr>
        <w:t>.</w:t>
      </w:r>
    </w:p>
    <w:p w:rsidR="00634E08" w:rsidRPr="00D92210" w:rsidRDefault="00FF7EAB" w:rsidP="00D92210">
      <w:pPr>
        <w:rPr>
          <w:rFonts w:ascii="Times New Roman" w:hAnsi="Times New Roman"/>
        </w:rPr>
      </w:pPr>
      <w:r w:rsidRPr="00D92210">
        <w:rPr>
          <w:rFonts w:ascii="Times New Roman" w:hAnsi="Times New Roman"/>
        </w:rPr>
        <w:t xml:space="preserve">Ao todo, o bioma já perdeu cerca de 46% de sua cobertura de vegetação nativa, e apenas 19,8% permanecem inalterados </w:t>
      </w:r>
      <w:r w:rsidR="005F3586" w:rsidRPr="00D92210">
        <w:rPr>
          <w:rFonts w:ascii="Times New Roman" w:hAnsi="Times New Roman"/>
        </w:rPr>
        <w:fldChar w:fldCharType="begin" w:fldLock="1"/>
      </w:r>
      <w:r w:rsidRPr="00D92210">
        <w:rPr>
          <w:rFonts w:ascii="Times New Roman" w:hAnsi="Times New Roman"/>
        </w:rPr>
        <w:instrText>ADDIN CSL_CITATION {"citationItems":[{"id":"ITEM-1","itemData":{"DOI":"10.1038/s41559-017-0099","ISBN":"2397-334X","ISSN":"2397334X","PMID":"28812670","abstract":"Despite projections of a severe extinction event, a window of opportunity is now open for a mix of policies to avoid biodiversity collapse in the Cerrado hotspot.","author":[{"dropping-particle":"","family":"Strassburg","given":"Bernardo B.N.","non-dropping-particle":"","parse-names":false,"suffix":""},{"dropping-particle":"","family":"Brooks","given":"Thomas","non-dropping-particle":"","parse-names":false,"suffix":""},{"dropping-particle":"","family":"Feltran-Barbieri","given":"Rafael","non-dropping-particle":"","parse-names":false,"suffix":""},{"dropping-particle":"","family":"Iribarrem","given":"Alvaro","non-dropping-particle":"","parse-names":false,"suffix":""},{"dropping-particle":"","family":"Crouzeilles","given":"Renato","non-dropping-particle":"","parse-names":false,"suffix":""},{"dropping-particle":"","family":"Loyola","given":"Rafael","non-dropping-particle":"","parse-names":false,"suffix":""},{"dropping-particle":"","family":"Latawiec","given":"Agnieszka E.","non-dropping-particle":"","parse-names":false,"suffix":""},{"dropping-particle":"","family":"Oliveira Filho","given":"Francisco J.B.","non-dropping-particle":"","parse-names":false,"suffix":""},{"dropping-particle":"","family":"Scaramuzza","given":"Carlos A.M.","non-dropping-particle":"De","parse-names":false,"suffix":""},{"dropping-particle":"","family":"Scarano","given":"Fabio R.","non-dropping-particle":"","parse-names":false,"suffix":""},{"dropping-particle":"","family":"Soares-Filho","given":"Britaldo","non-dropping-particle":"","parse-names":false,"suffix":""},{"dropping-particle":"","family":"Balmford","given":"Andrew","non-dropping-particle":"","parse-names":false,"suffix":""}],"container-title":"Nature Ecology and Evolution","id":"ITEM-1","issue":"4","issued":{"date-parts":[["2017"]]},"page":"13-15","title":"Moment of truth for the Cerrado hotspot","type":"article-journal","volume":"1"},"uris":["http://www.mendeley.com/documents/?uuid=fba1e48f-df7e-4da3-beff-b7ab911ee1a6"]}],"mendeley":{"formattedCitation":"(STRASSBURG et al., 2017)","plainTextFormattedCitation":"(STRASSBURG et al., 2017)","previouslyFormattedCitation":"(STRASSBURG et al., 2017)"},"properties":{"noteIndex":0},"schema":"https://github.com/citation-style-language/schema/raw/master/csl-citation.json"}</w:instrText>
      </w:r>
      <w:r w:rsidR="005F3586" w:rsidRPr="00D92210">
        <w:rPr>
          <w:rFonts w:ascii="Times New Roman" w:hAnsi="Times New Roman"/>
        </w:rPr>
        <w:fldChar w:fldCharType="separate"/>
      </w:r>
      <w:r w:rsidRPr="00D92210">
        <w:rPr>
          <w:rFonts w:ascii="Times New Roman" w:hAnsi="Times New Roman"/>
          <w:noProof/>
        </w:rPr>
        <w:t>(STRASSBURG et al., 2017)</w:t>
      </w:r>
      <w:r w:rsidR="005F3586" w:rsidRPr="00D92210">
        <w:rPr>
          <w:rFonts w:ascii="Times New Roman" w:hAnsi="Times New Roman"/>
        </w:rPr>
        <w:fldChar w:fldCharType="end"/>
      </w:r>
      <w:r w:rsidRPr="00D92210">
        <w:rPr>
          <w:rFonts w:ascii="Times New Roman" w:hAnsi="Times New Roman"/>
        </w:rPr>
        <w:t xml:space="preserve">. </w:t>
      </w:r>
      <w:r w:rsidR="00E31B12" w:rsidRPr="00D92210">
        <w:rPr>
          <w:rFonts w:ascii="Times New Roman" w:hAnsi="Times New Roman"/>
        </w:rPr>
        <w:t xml:space="preserve">O principal </w:t>
      </w:r>
      <w:r w:rsidR="00D53DE3" w:rsidRPr="00D92210">
        <w:rPr>
          <w:rFonts w:ascii="Times New Roman" w:hAnsi="Times New Roman"/>
        </w:rPr>
        <w:t xml:space="preserve">determinante dessa degradação ambiental </w:t>
      </w:r>
      <w:r w:rsidR="00634E08" w:rsidRPr="00D92210">
        <w:rPr>
          <w:rFonts w:ascii="Times New Roman" w:hAnsi="Times New Roman"/>
        </w:rPr>
        <w:t>foi</w:t>
      </w:r>
      <w:r w:rsidR="00D53DE3" w:rsidRPr="00D92210">
        <w:rPr>
          <w:rFonts w:ascii="Times New Roman" w:hAnsi="Times New Roman"/>
        </w:rPr>
        <w:t xml:space="preserve"> o avanço da exploração </w:t>
      </w:r>
      <w:r w:rsidR="00634E08" w:rsidRPr="00D92210">
        <w:rPr>
          <w:rFonts w:ascii="Times New Roman" w:hAnsi="Times New Roman"/>
        </w:rPr>
        <w:t>agropecuária no bioma, que contribuiu para o impressionante crescimento da produção e das exportações do agronegócio brasileiro, motivado por mudanças nas políticas para a agricultura brasileira, tornando o setor moderno e muito importante tanto para o suprimento interno quanto para geração de divisas. Esse avanço, por outro lado, tem transformado drasticamente o perfil do bioma, resultando em excesso de desmatamento, compactação do solo, erosão, assoreamento de rios, contaminação da água subterrânea e perda de biodiversidade, com reflexos sobre todo o ecossistema (CUNHA et al., 2008).</w:t>
      </w:r>
    </w:p>
    <w:p w:rsidR="00D53DE3" w:rsidRPr="00D92210" w:rsidRDefault="00634E08" w:rsidP="00D92210">
      <w:pPr>
        <w:rPr>
          <w:rFonts w:ascii="Times New Roman" w:hAnsi="Times New Roman"/>
        </w:rPr>
      </w:pPr>
      <w:r w:rsidRPr="00D92210">
        <w:rPr>
          <w:rFonts w:ascii="Times New Roman" w:hAnsi="Times New Roman"/>
        </w:rPr>
        <w:t>A a</w:t>
      </w:r>
      <w:r w:rsidR="00D53DE3" w:rsidRPr="00D92210">
        <w:rPr>
          <w:rFonts w:ascii="Times New Roman" w:hAnsi="Times New Roman"/>
        </w:rPr>
        <w:t xml:space="preserve">gricultura </w:t>
      </w:r>
      <w:r w:rsidR="00A26DF9" w:rsidRPr="00D92210">
        <w:rPr>
          <w:rFonts w:ascii="Times New Roman" w:hAnsi="Times New Roman"/>
        </w:rPr>
        <w:t>do Cerrado é composta</w:t>
      </w:r>
      <w:r w:rsidR="00D53DE3" w:rsidRPr="00D92210">
        <w:rPr>
          <w:rFonts w:ascii="Times New Roman" w:hAnsi="Times New Roman"/>
        </w:rPr>
        <w:t xml:space="preserve"> principalmente </w:t>
      </w:r>
      <w:r w:rsidR="00A26DF9" w:rsidRPr="00D92210">
        <w:rPr>
          <w:rFonts w:ascii="Times New Roman" w:hAnsi="Times New Roman"/>
        </w:rPr>
        <w:t>pela</w:t>
      </w:r>
      <w:r w:rsidR="00D53DE3" w:rsidRPr="00D92210">
        <w:rPr>
          <w:rFonts w:ascii="Times New Roman" w:hAnsi="Times New Roman"/>
        </w:rPr>
        <w:t xml:space="preserve"> produção de soja, </w:t>
      </w:r>
      <w:r w:rsidR="00A26DF9" w:rsidRPr="00D92210">
        <w:rPr>
          <w:rFonts w:ascii="Times New Roman" w:hAnsi="Times New Roman"/>
        </w:rPr>
        <w:t xml:space="preserve">que ocupa </w:t>
      </w:r>
      <w:r w:rsidR="00D0365D" w:rsidRPr="00D92210">
        <w:rPr>
          <w:rFonts w:ascii="Times New Roman" w:hAnsi="Times New Roman"/>
        </w:rPr>
        <w:t xml:space="preserve">uma </w:t>
      </w:r>
      <w:r w:rsidR="00A26DF9" w:rsidRPr="00D92210">
        <w:rPr>
          <w:rFonts w:ascii="Times New Roman" w:hAnsi="Times New Roman"/>
        </w:rPr>
        <w:t xml:space="preserve">área de 90% da agricultura anual </w:t>
      </w:r>
      <w:r w:rsidR="005F3586" w:rsidRPr="00D92210">
        <w:rPr>
          <w:rFonts w:ascii="Times New Roman" w:hAnsi="Times New Roman"/>
        </w:rPr>
        <w:fldChar w:fldCharType="begin" w:fldLock="1"/>
      </w:r>
      <w:r w:rsidR="008D16DB" w:rsidRPr="00D92210">
        <w:rPr>
          <w:rFonts w:ascii="Times New Roman" w:hAnsi="Times New Roman"/>
        </w:rPr>
        <w:instrText>ADDIN CSL_CITATION {"citationItems":[{"id":"ITEM-1","itemData":{"author":[{"dropping-particle":"","family":"Romeiro","given":"Mariane","non-dropping-particle":"","parse-names":false,"suffix":""},{"dropping-particle":"","family":"Costa","given":"Karine","non-dropping-particle":"","parse-names":false,"suffix":""},{"dropping-particle":"","family":"Filho","given":"Arnaldo Carneiro","non-dropping-particle":"","parse-names":false,"suffix":""},{"dropping-particle":"","family":"Oliveira","given":"Marcelo","non-dropping-particle":"","parse-names":false,"suffix":""},{"dropping-particle":"","family":"Alves","given":"Ítalo","non-dropping-particle":"","parse-names":false,"suffix":""}],"id":"ITEM-1","issued":{"date-parts":[["2018"]]},"title":"CERRADO Caminhos para a ocupação territorial, uso do solo e produção sustentável: Expansão da soja","type":"report"},"uris":["http://www.mendeley.com/documents/?uuid=d5d8313e-a2f8-3ee1-98e0-6df0174d8906"]}],"mendeley":{"formattedCitation":"(ROMEIRO et al., 2018)","plainTextFormattedCitation":"(ROMEIRO et al., 2018)","previouslyFormattedCitation":"(ROMEIRO et al., 2018)"},"properties":{"noteIndex":0},"schema":"https://github.com/citation-style-language/schema/raw/master/csl-citation.json"}</w:instrText>
      </w:r>
      <w:r w:rsidR="005F3586" w:rsidRPr="00D92210">
        <w:rPr>
          <w:rFonts w:ascii="Times New Roman" w:hAnsi="Times New Roman"/>
        </w:rPr>
        <w:fldChar w:fldCharType="separate"/>
      </w:r>
      <w:r w:rsidR="00A26DF9" w:rsidRPr="00D92210">
        <w:rPr>
          <w:rFonts w:ascii="Times New Roman" w:hAnsi="Times New Roman"/>
          <w:noProof/>
        </w:rPr>
        <w:t>(ROMEIRO et al., 2018)</w:t>
      </w:r>
      <w:r w:rsidR="005F3586" w:rsidRPr="00D92210">
        <w:rPr>
          <w:rFonts w:ascii="Times New Roman" w:hAnsi="Times New Roman"/>
        </w:rPr>
        <w:fldChar w:fldCharType="end"/>
      </w:r>
      <w:r w:rsidR="00A26DF9" w:rsidRPr="00D92210">
        <w:rPr>
          <w:rFonts w:ascii="Times New Roman" w:hAnsi="Times New Roman"/>
        </w:rPr>
        <w:t xml:space="preserve">, </w:t>
      </w:r>
      <w:r w:rsidR="00D0365D" w:rsidRPr="00D92210">
        <w:rPr>
          <w:rFonts w:ascii="Times New Roman" w:hAnsi="Times New Roman"/>
        </w:rPr>
        <w:t>ou seja, a monocultura tem prevalecido no bioma. A</w:t>
      </w:r>
      <w:r w:rsidR="00A26DF9" w:rsidRPr="00D92210">
        <w:rPr>
          <w:rFonts w:ascii="Times New Roman" w:hAnsi="Times New Roman"/>
        </w:rPr>
        <w:t xml:space="preserve">lém da soja, </w:t>
      </w:r>
      <w:r w:rsidR="007A096B" w:rsidRPr="00D92210">
        <w:rPr>
          <w:rFonts w:ascii="Times New Roman" w:hAnsi="Times New Roman"/>
        </w:rPr>
        <w:t xml:space="preserve">tem grande importância para a agricultura do Cerrado </w:t>
      </w:r>
      <w:r w:rsidR="00A26DF9" w:rsidRPr="00D92210">
        <w:rPr>
          <w:rFonts w:ascii="Times New Roman" w:hAnsi="Times New Roman"/>
        </w:rPr>
        <w:t xml:space="preserve">o </w:t>
      </w:r>
      <w:r w:rsidRPr="00D92210">
        <w:rPr>
          <w:rFonts w:ascii="Times New Roman" w:hAnsi="Times New Roman"/>
        </w:rPr>
        <w:t>algodão</w:t>
      </w:r>
      <w:r w:rsidR="00A26DF9" w:rsidRPr="00D92210">
        <w:rPr>
          <w:rFonts w:ascii="Times New Roman" w:hAnsi="Times New Roman"/>
        </w:rPr>
        <w:t>,</w:t>
      </w:r>
      <w:r w:rsidRPr="00D92210">
        <w:rPr>
          <w:rFonts w:ascii="Times New Roman" w:hAnsi="Times New Roman"/>
        </w:rPr>
        <w:t xml:space="preserve"> </w:t>
      </w:r>
      <w:r w:rsidR="00D0365D" w:rsidRPr="00D92210">
        <w:rPr>
          <w:rFonts w:ascii="Times New Roman" w:hAnsi="Times New Roman"/>
        </w:rPr>
        <w:t xml:space="preserve">o </w:t>
      </w:r>
      <w:r w:rsidR="00D53DE3" w:rsidRPr="00D92210">
        <w:rPr>
          <w:rFonts w:ascii="Times New Roman" w:hAnsi="Times New Roman"/>
        </w:rPr>
        <w:t>milho</w:t>
      </w:r>
      <w:r w:rsidR="00A26DF9" w:rsidRPr="00D92210">
        <w:rPr>
          <w:rFonts w:ascii="Times New Roman" w:hAnsi="Times New Roman"/>
        </w:rPr>
        <w:t xml:space="preserve"> e </w:t>
      </w:r>
      <w:r w:rsidR="00D0365D" w:rsidRPr="00D92210">
        <w:rPr>
          <w:rFonts w:ascii="Times New Roman" w:hAnsi="Times New Roman"/>
        </w:rPr>
        <w:t xml:space="preserve">a </w:t>
      </w:r>
      <w:r w:rsidR="00A26DF9" w:rsidRPr="00D92210">
        <w:rPr>
          <w:rFonts w:ascii="Times New Roman" w:hAnsi="Times New Roman"/>
        </w:rPr>
        <w:t>cana-de-açucar</w:t>
      </w:r>
      <w:r w:rsidR="00D0365D" w:rsidRPr="00D92210">
        <w:rPr>
          <w:rFonts w:ascii="Times New Roman" w:hAnsi="Times New Roman"/>
        </w:rPr>
        <w:t xml:space="preserve"> </w:t>
      </w:r>
      <w:r w:rsidR="005F3586" w:rsidRPr="00D92210">
        <w:rPr>
          <w:rFonts w:ascii="Times New Roman" w:hAnsi="Times New Roman"/>
        </w:rPr>
        <w:fldChar w:fldCharType="begin" w:fldLock="1"/>
      </w:r>
      <w:r w:rsidR="00BC7968" w:rsidRPr="00D92210">
        <w:rPr>
          <w:rFonts w:ascii="Times New Roman" w:hAnsi="Times New Roman"/>
        </w:rPr>
        <w:instrText>ADDIN CSL_CITATION {"citationItems":[{"id":"ITEM-1","itemData":{"URL":"https://sidra.ibge.gov.br/tabela/5457","accessed":{"date-parts":[["2019","2","14"]]},"author":[{"dropping-particle":"","family":"PAM","given":"","non-dropping-particle":"","parse-names":false,"suffix":""}],"container-title":"IBGE","id":"ITEM-1","issued":{"date-parts":[["2018"]]},"title":"Produção Agrícola Municipal","type":"webpage"},"uris":["http://www.mendeley.com/documents/?uuid=89d5b0fd-392d-339c-b4cb-38416f870f7b"]}],"mendeley":{"formattedCitation":"(PAM, 2018)","plainTextFormattedCitation":"(PAM, 2018)","previouslyFormattedCitation":"(PAM, 2018)"},"properties":{"noteIndex":0},"schema":"https://github.com/citation-style-language/schema/raw/master/csl-citation.json"}</w:instrText>
      </w:r>
      <w:r w:rsidR="005F3586" w:rsidRPr="00D92210">
        <w:rPr>
          <w:rFonts w:ascii="Times New Roman" w:hAnsi="Times New Roman"/>
        </w:rPr>
        <w:fldChar w:fldCharType="separate"/>
      </w:r>
      <w:r w:rsidR="00D0365D" w:rsidRPr="00D92210">
        <w:rPr>
          <w:rFonts w:ascii="Times New Roman" w:hAnsi="Times New Roman"/>
          <w:noProof/>
        </w:rPr>
        <w:t>(PAM, 2018)</w:t>
      </w:r>
      <w:r w:rsidR="005F3586" w:rsidRPr="00D92210">
        <w:rPr>
          <w:rFonts w:ascii="Times New Roman" w:hAnsi="Times New Roman"/>
        </w:rPr>
        <w:fldChar w:fldCharType="end"/>
      </w:r>
      <w:r w:rsidR="00A26DF9" w:rsidRPr="00D92210">
        <w:rPr>
          <w:rFonts w:ascii="Times New Roman" w:hAnsi="Times New Roman"/>
        </w:rPr>
        <w:t xml:space="preserve">. </w:t>
      </w:r>
      <w:r w:rsidR="00A26DF9" w:rsidRPr="00D92210">
        <w:rPr>
          <w:rFonts w:ascii="Times New Roman" w:hAnsi="Times New Roman"/>
          <w:u w:val="single"/>
        </w:rPr>
        <w:t>S</w:t>
      </w:r>
      <w:r w:rsidR="00D53DE3" w:rsidRPr="00D92210">
        <w:rPr>
          <w:rFonts w:ascii="Times New Roman" w:hAnsi="Times New Roman"/>
        </w:rPr>
        <w:t>egundo Strassburg et. al (2017), 88,4% do que ainda resta do Cerrado são adequados para o cultivo de soja e 68,7% para o cultivo da cana-de açúcar, e a previsão para as próximas décadas é de que a demanda por essas culturas cresça abruptamente. Em virtude da combinação de baixa proteção ambiental e alta pressão da expansão agrícola, os autores projetam que até 2050, se nada for feito, de 31 a 34% do que resta do Cerrado será limpo, dessa forma não haveria espaço para tantas espécies nativas, o que levaria à extinção de cerca de 1.140 espécies endêmicas – um número oito vezes maior que o número oficial de plantas extintas em todo o mundo desde o ano de 1500, quando começaram os registros.</w:t>
      </w:r>
    </w:p>
    <w:p w:rsidR="00D53DE3" w:rsidRPr="00D92210" w:rsidRDefault="00D53DE3" w:rsidP="00D92210">
      <w:pPr>
        <w:rPr>
          <w:rFonts w:ascii="Times New Roman" w:hAnsi="Times New Roman"/>
        </w:rPr>
      </w:pPr>
      <w:r w:rsidRPr="00D92210">
        <w:rPr>
          <w:rFonts w:ascii="Times New Roman" w:hAnsi="Times New Roman"/>
        </w:rPr>
        <w:t>A substituição d</w:t>
      </w:r>
      <w:r w:rsidR="00041500" w:rsidRPr="00D92210">
        <w:rPr>
          <w:rFonts w:ascii="Times New Roman" w:hAnsi="Times New Roman"/>
        </w:rPr>
        <w:t>a vegetaçã</w:t>
      </w:r>
      <w:r w:rsidRPr="00D92210">
        <w:rPr>
          <w:rFonts w:ascii="Times New Roman" w:hAnsi="Times New Roman"/>
        </w:rPr>
        <w:t>o nat</w:t>
      </w:r>
      <w:r w:rsidR="00041500" w:rsidRPr="00D92210">
        <w:rPr>
          <w:rFonts w:ascii="Times New Roman" w:hAnsi="Times New Roman"/>
        </w:rPr>
        <w:t>iva</w:t>
      </w:r>
      <w:r w:rsidRPr="00D92210">
        <w:rPr>
          <w:rFonts w:ascii="Times New Roman" w:hAnsi="Times New Roman"/>
        </w:rPr>
        <w:t xml:space="preserve"> pela monocultura tem impacto negativo na absorção de água pelas bacias hidrográficas e na sobrevivência da vegetação nativa. Neste sentido, é importante uma diversificação da atividade agrícola de modo a minimizar os efeitos negativos da monocultura. O cálculo de um indicador de diversidade da agricultura é um dos objetivos dessa dissertação. </w:t>
      </w:r>
    </w:p>
    <w:p w:rsidR="0032546D" w:rsidRPr="00D92210" w:rsidRDefault="00D53DE3" w:rsidP="00D92210">
      <w:pPr>
        <w:rPr>
          <w:rFonts w:ascii="Times New Roman" w:hAnsi="Times New Roman"/>
          <w:color w:val="222222"/>
        </w:rPr>
      </w:pPr>
      <w:r w:rsidRPr="00D92210">
        <w:rPr>
          <w:rFonts w:ascii="Times New Roman" w:hAnsi="Times New Roman"/>
        </w:rPr>
        <w:lastRenderedPageBreak/>
        <w:t>De fato, houve crescimento econômico no Cerrado, e muito se deve ao aumento das monoculturas em larga escala que se estabeleceu nas últimas décadas, todavia, apenas o aumento de riqueza de uma região não implica</w:t>
      </w:r>
      <w:r w:rsidR="0032546D" w:rsidRPr="00D92210">
        <w:rPr>
          <w:rFonts w:ascii="Times New Roman" w:hAnsi="Times New Roman"/>
        </w:rPr>
        <w:t xml:space="preserve"> </w:t>
      </w:r>
      <w:r w:rsidR="0032546D" w:rsidRPr="00D92210">
        <w:rPr>
          <w:rFonts w:ascii="Times New Roman" w:hAnsi="Times New Roman"/>
          <w:color w:val="222222"/>
        </w:rPr>
        <w:t>necessariamente em desenvolvimento na mesma magnitude para a mesma, além disso, dentro do Cerrado se constata ainda muitas desigualdades locais, regionais e territoriais que perduram ao longo do tempo. Nesse sentido, é oportuno verificar o nível de desenvolvimento rural sob um ponto de vista multidimensional, incorporando na análise as várias dimensões que implicam em qualidade de vida às pessoas e ao meio que habitam, como por exemplo, as dimensões demográficas, de isolamento territorial, sociais, econômicas e ambientais.</w:t>
      </w:r>
    </w:p>
    <w:p w:rsidR="0032546D" w:rsidRPr="00D92210" w:rsidRDefault="0032546D" w:rsidP="00D92210">
      <w:pPr>
        <w:rPr>
          <w:rFonts w:ascii="Times New Roman" w:hAnsi="Times New Roman"/>
          <w:color w:val="222222"/>
        </w:rPr>
      </w:pPr>
      <w:r w:rsidRPr="00D92210">
        <w:rPr>
          <w:rFonts w:ascii="Times New Roman" w:hAnsi="Times New Roman"/>
          <w:color w:val="222222"/>
        </w:rPr>
        <w:t xml:space="preserve">É preciso adequar a produção agropecuária a sistemas sustentáveis, que valorize os agentes que dela participam, preservem o meio ambiente, atendam a demanda da população rural e urbana e priorizem a qualidade nutricional de seus produtos.  </w:t>
      </w:r>
    </w:p>
    <w:p w:rsidR="0032546D" w:rsidRPr="00D92210" w:rsidRDefault="0032546D" w:rsidP="00D92210">
      <w:pPr>
        <w:rPr>
          <w:rFonts w:ascii="Times New Roman" w:hAnsi="Times New Roman"/>
        </w:rPr>
      </w:pPr>
      <w:r w:rsidRPr="00D92210">
        <w:rPr>
          <w:rFonts w:ascii="Times New Roman" w:hAnsi="Times New Roman"/>
        </w:rPr>
        <w:t>Considerando a problemática apresentada, essa dissertação tem como objetivo geral fazer uma análise do Cerrado brasileiro rural,</w:t>
      </w:r>
      <w:r w:rsidR="007A096B" w:rsidRPr="00D92210">
        <w:rPr>
          <w:rFonts w:ascii="Times New Roman" w:hAnsi="Times New Roman"/>
        </w:rPr>
        <w:t xml:space="preserve"> para o ano 2017,</w:t>
      </w:r>
      <w:r w:rsidRPr="00D92210">
        <w:rPr>
          <w:rFonts w:ascii="Times New Roman" w:hAnsi="Times New Roman"/>
        </w:rPr>
        <w:t xml:space="preserve"> verificando as questões de diversificação</w:t>
      </w:r>
      <w:r w:rsidR="007A096B" w:rsidRPr="00D92210">
        <w:rPr>
          <w:rFonts w:ascii="Times New Roman" w:hAnsi="Times New Roman"/>
        </w:rPr>
        <w:t xml:space="preserve"> da produção</w:t>
      </w:r>
      <w:r w:rsidRPr="00D92210">
        <w:rPr>
          <w:rFonts w:ascii="Times New Roman" w:hAnsi="Times New Roman"/>
        </w:rPr>
        <w:t xml:space="preserve"> e de desenvolvimento</w:t>
      </w:r>
      <w:r w:rsidR="007A096B" w:rsidRPr="00D92210">
        <w:rPr>
          <w:rFonts w:ascii="Times New Roman" w:hAnsi="Times New Roman"/>
        </w:rPr>
        <w:t xml:space="preserve"> rural</w:t>
      </w:r>
      <w:r w:rsidRPr="00D92210">
        <w:rPr>
          <w:rFonts w:ascii="Times New Roman" w:hAnsi="Times New Roman"/>
        </w:rPr>
        <w:t xml:space="preserve">. </w:t>
      </w:r>
    </w:p>
    <w:p w:rsidR="0032546D" w:rsidRPr="00D92210" w:rsidRDefault="0032546D" w:rsidP="00D92210">
      <w:pPr>
        <w:rPr>
          <w:rFonts w:ascii="Times New Roman" w:hAnsi="Times New Roman"/>
        </w:rPr>
      </w:pPr>
      <w:r w:rsidRPr="00D92210">
        <w:rPr>
          <w:rFonts w:ascii="Times New Roman" w:hAnsi="Times New Roman"/>
        </w:rPr>
        <w:t>Especificamente pretende-se:</w:t>
      </w:r>
    </w:p>
    <w:p w:rsidR="0032546D" w:rsidRPr="00D92210" w:rsidRDefault="0032546D" w:rsidP="00D92210">
      <w:pPr>
        <w:pStyle w:val="PargrafodaLista"/>
        <w:numPr>
          <w:ilvl w:val="0"/>
          <w:numId w:val="4"/>
        </w:numPr>
        <w:rPr>
          <w:rFonts w:ascii="Times New Roman" w:hAnsi="Times New Roman"/>
        </w:rPr>
      </w:pPr>
      <w:r w:rsidRPr="00D92210">
        <w:rPr>
          <w:rFonts w:ascii="Times New Roman" w:hAnsi="Times New Roman"/>
        </w:rPr>
        <w:t>Elaborar um indicador (índice de Shannon) de diversificação agropecuária, pela ótica d</w:t>
      </w:r>
      <w:r w:rsidR="004B2CCB" w:rsidRPr="00D92210">
        <w:rPr>
          <w:rFonts w:ascii="Times New Roman" w:hAnsi="Times New Roman"/>
        </w:rPr>
        <w:t>o valor da produção (Shannon Valor)</w:t>
      </w:r>
      <w:r w:rsidRPr="00D92210">
        <w:rPr>
          <w:rFonts w:ascii="Times New Roman" w:hAnsi="Times New Roman"/>
        </w:rPr>
        <w:t>;</w:t>
      </w:r>
    </w:p>
    <w:p w:rsidR="004B2CCB" w:rsidRPr="00D92210" w:rsidRDefault="00B245E1" w:rsidP="00D92210">
      <w:pPr>
        <w:pStyle w:val="PargrafodaLista"/>
        <w:numPr>
          <w:ilvl w:val="0"/>
          <w:numId w:val="4"/>
        </w:numPr>
        <w:rPr>
          <w:rFonts w:ascii="Times New Roman" w:hAnsi="Times New Roman"/>
        </w:rPr>
      </w:pPr>
      <w:r w:rsidRPr="00D92210">
        <w:rPr>
          <w:rFonts w:ascii="Times New Roman" w:hAnsi="Times New Roman"/>
        </w:rPr>
        <w:t>E</w:t>
      </w:r>
      <w:r w:rsidR="004B2CCB" w:rsidRPr="00D92210">
        <w:rPr>
          <w:rFonts w:ascii="Times New Roman" w:hAnsi="Times New Roman"/>
        </w:rPr>
        <w:t>laborar um indicador sintético do desenvolvimento rural para os municípios do Cerrado, o Índice de Desenvolvimento Rural, para os municípios do Cerrado</w:t>
      </w:r>
      <w:r w:rsidR="00D0365D" w:rsidRPr="00D92210">
        <w:rPr>
          <w:rFonts w:ascii="Times New Roman" w:hAnsi="Times New Roman"/>
        </w:rPr>
        <w:t>;</w:t>
      </w:r>
    </w:p>
    <w:p w:rsidR="0032546D" w:rsidRPr="00D92210" w:rsidRDefault="0032546D" w:rsidP="00D92210">
      <w:pPr>
        <w:pStyle w:val="PargrafodaLista"/>
        <w:numPr>
          <w:ilvl w:val="0"/>
          <w:numId w:val="4"/>
        </w:numPr>
        <w:rPr>
          <w:rFonts w:ascii="Times New Roman" w:hAnsi="Times New Roman"/>
        </w:rPr>
      </w:pPr>
      <w:r w:rsidRPr="00D92210">
        <w:rPr>
          <w:rFonts w:ascii="Times New Roman" w:hAnsi="Times New Roman"/>
        </w:rPr>
        <w:t xml:space="preserve">Verificar a relação entre a diversificação agropecuária </w:t>
      </w:r>
      <w:r w:rsidR="00C04281" w:rsidRPr="00D92210">
        <w:rPr>
          <w:rFonts w:ascii="Times New Roman" w:hAnsi="Times New Roman"/>
        </w:rPr>
        <w:t xml:space="preserve">(Shannon Valor) </w:t>
      </w:r>
      <w:r w:rsidRPr="00D92210">
        <w:rPr>
          <w:rFonts w:ascii="Times New Roman" w:hAnsi="Times New Roman"/>
        </w:rPr>
        <w:t>e o desenvolvimento rural.</w:t>
      </w:r>
    </w:p>
    <w:p w:rsidR="009D324D" w:rsidRPr="00D92210" w:rsidRDefault="00C04281" w:rsidP="00D92210">
      <w:pPr>
        <w:rPr>
          <w:rFonts w:ascii="Times New Roman" w:hAnsi="Times New Roman"/>
        </w:rPr>
      </w:pPr>
      <w:r w:rsidRPr="00D92210">
        <w:rPr>
          <w:rFonts w:ascii="Times New Roman" w:hAnsi="Times New Roman"/>
        </w:rPr>
        <w:t>O avanço desse trabalho consiste em relacionar o desenvolvimento rural com a diversificação agropecuária, além de desenvolver uma análise mais ampla nos dois casos particulares, da diversificação e do desenvolvimento. Os estudos sobre diversificação agrícola tem ganhado cada vez mais esp</w:t>
      </w:r>
      <w:r w:rsidR="00A8494E" w:rsidRPr="00D92210">
        <w:rPr>
          <w:rFonts w:ascii="Times New Roman" w:hAnsi="Times New Roman"/>
        </w:rPr>
        <w:t>aço na literatura internacional.</w:t>
      </w:r>
      <w:r w:rsidRPr="00D92210">
        <w:rPr>
          <w:rFonts w:ascii="Times New Roman" w:hAnsi="Times New Roman"/>
        </w:rPr>
        <w:t xml:space="preserve"> </w:t>
      </w:r>
      <w:r w:rsidR="00A8494E" w:rsidRPr="00D92210">
        <w:rPr>
          <w:rFonts w:ascii="Times New Roman" w:hAnsi="Times New Roman"/>
        </w:rPr>
        <w:t>À</w:t>
      </w:r>
      <w:r w:rsidR="008D16DB" w:rsidRPr="00D92210">
        <w:rPr>
          <w:rFonts w:ascii="Times New Roman" w:hAnsi="Times New Roman"/>
        </w:rPr>
        <w:t xml:space="preserve"> medida que</w:t>
      </w:r>
      <w:r w:rsidRPr="00D92210">
        <w:rPr>
          <w:rFonts w:ascii="Times New Roman" w:hAnsi="Times New Roman"/>
        </w:rPr>
        <w:t xml:space="preserve"> percebemos a importância de se ter um </w:t>
      </w:r>
      <w:r w:rsidR="008D16DB" w:rsidRPr="00D92210">
        <w:rPr>
          <w:rFonts w:ascii="Times New Roman" w:hAnsi="Times New Roman"/>
        </w:rPr>
        <w:t>equilíbrio entre o meio ambiente, os meios de produção e a população, cresce a busca cientí</w:t>
      </w:r>
      <w:r w:rsidRPr="00D92210">
        <w:rPr>
          <w:rFonts w:ascii="Times New Roman" w:hAnsi="Times New Roman"/>
        </w:rPr>
        <w:t xml:space="preserve">fica por </w:t>
      </w:r>
      <w:r w:rsidR="008D16DB" w:rsidRPr="00D92210">
        <w:rPr>
          <w:rFonts w:ascii="Times New Roman" w:hAnsi="Times New Roman"/>
        </w:rPr>
        <w:t>sistemas</w:t>
      </w:r>
      <w:r w:rsidRPr="00D92210">
        <w:rPr>
          <w:rFonts w:ascii="Times New Roman" w:hAnsi="Times New Roman"/>
        </w:rPr>
        <w:t xml:space="preserve"> de produção susten</w:t>
      </w:r>
      <w:r w:rsidR="008D16DB" w:rsidRPr="00D92210">
        <w:rPr>
          <w:rFonts w:ascii="Times New Roman" w:hAnsi="Times New Roman"/>
        </w:rPr>
        <w:t>táveis, e que garantam, além da conservação, maior retorno para o produtor e maior qualidade nutricional para os consumidores. Nesse sentido,</w:t>
      </w:r>
      <w:r w:rsidR="009D324D" w:rsidRPr="00D92210">
        <w:rPr>
          <w:rFonts w:ascii="Times New Roman" w:hAnsi="Times New Roman"/>
        </w:rPr>
        <w:t xml:space="preserve"> Donfouet et al. </w:t>
      </w:r>
      <w:r w:rsidR="005F3586" w:rsidRPr="00D92210">
        <w:rPr>
          <w:rFonts w:ascii="Times New Roman" w:hAnsi="Times New Roman"/>
        </w:rPr>
        <w:fldChar w:fldCharType="begin" w:fldLock="1"/>
      </w:r>
      <w:r w:rsidR="00D0365D" w:rsidRPr="00D92210">
        <w:rPr>
          <w:rFonts w:ascii="Times New Roman" w:hAnsi="Times New Roman"/>
        </w:rPr>
        <w:instrText>ADDIN CSL_CITATION {"citationItems":[{"id":"ITEM-1","itemData":{"DOI":"https://doi.org/10.1016/j.ecolecon.2016.11.016","ISSN":"0921-8009","abstract":"This paper aims to provide empirical evidence of the effect of crop diversity on crop production and spillover effect. Based on the estimation of production functions with spatial concerns on an original and rich dataset, results of the study suggest that crop diversity has a positive and significant effect on crop production. Its marginal contribution is substantial when rainfall is low in the agroecosystem. Furthermore, spatial dependence is a major issue and could be explained by topographic, climatic and agronomic constraints.","author":[{"dropping-particle":"","family":"Donfouet","given":"Hermann Pythagore Pierre","non-dropping-particle":"","parse-names":false,"suffix":""},{"dropping-particle":"","family":"Barczak","given":"Aleksandra","non-dropping-particle":"","parse-names":false,"suffix":""},{"dropping-particle":"","family":"Détang-Dessendre","given":"Cécile","non-dropping-particle":"","parse-names":false,"suffix":""},{"dropping-particle":"","family":"Maigné","given":"Elise","non-dropping-particle":"","parse-names":false,"suffix":""}],"container-title":"Ecological Economics","id":"ITEM-1","issued":{"date-parts":[["2017"]]},"page":"29-39","title":"Crop Production and Crop Diversity in France: A Spatial Analysis","type":"article-journal","volume":"134"},"suppress-author":1,"uris":["http://www.mendeley.com/documents/?uuid=41935ba8-1a80-433b-8746-3e00855a0041"]}],"mendeley":{"formattedCitation":"(2017)","plainTextFormattedCitation":"(2017)","previouslyFormattedCitation":"(2017)"},"properties":{"noteIndex":0},"schema":"https://github.com/citation-style-language/schema/raw/master/csl-citation.json"}</w:instrText>
      </w:r>
      <w:r w:rsidR="005F3586" w:rsidRPr="00D92210">
        <w:rPr>
          <w:rFonts w:ascii="Times New Roman" w:hAnsi="Times New Roman"/>
        </w:rPr>
        <w:fldChar w:fldCharType="separate"/>
      </w:r>
      <w:r w:rsidR="009D324D" w:rsidRPr="00D92210">
        <w:rPr>
          <w:rFonts w:ascii="Times New Roman" w:hAnsi="Times New Roman"/>
          <w:noProof/>
        </w:rPr>
        <w:t>(2017)</w:t>
      </w:r>
      <w:r w:rsidR="005F3586" w:rsidRPr="00D92210">
        <w:rPr>
          <w:rFonts w:ascii="Times New Roman" w:hAnsi="Times New Roman"/>
        </w:rPr>
        <w:fldChar w:fldCharType="end"/>
      </w:r>
      <w:r w:rsidR="008D16DB" w:rsidRPr="00D92210">
        <w:rPr>
          <w:rFonts w:ascii="Times New Roman" w:hAnsi="Times New Roman"/>
        </w:rPr>
        <w:t>, verificam que na França, uma maior diversificação de culturas</w:t>
      </w:r>
      <w:r w:rsidR="009D324D" w:rsidRPr="00D92210">
        <w:rPr>
          <w:rFonts w:ascii="Times New Roman" w:hAnsi="Times New Roman"/>
        </w:rPr>
        <w:t xml:space="preserve"> proporciona</w:t>
      </w:r>
      <w:r w:rsidR="00D0365D" w:rsidRPr="00D92210">
        <w:rPr>
          <w:rFonts w:ascii="Times New Roman" w:hAnsi="Times New Roman"/>
        </w:rPr>
        <w:t>,</w:t>
      </w:r>
      <w:r w:rsidR="008D16DB" w:rsidRPr="00D92210">
        <w:rPr>
          <w:rFonts w:ascii="Times New Roman" w:hAnsi="Times New Roman"/>
        </w:rPr>
        <w:t xml:space="preserve"> além</w:t>
      </w:r>
      <w:r w:rsidR="009D324D" w:rsidRPr="00D92210">
        <w:rPr>
          <w:rFonts w:ascii="Times New Roman" w:hAnsi="Times New Roman"/>
        </w:rPr>
        <w:t xml:space="preserve"> de um sistema com maior resiliência, que responde melhor a condições adv</w:t>
      </w:r>
      <w:r w:rsidR="00D0365D" w:rsidRPr="00D92210">
        <w:rPr>
          <w:rFonts w:ascii="Times New Roman" w:hAnsi="Times New Roman"/>
        </w:rPr>
        <w:t>ersas de temperatura e de clima,</w:t>
      </w:r>
      <w:r w:rsidR="009D324D" w:rsidRPr="00D92210">
        <w:rPr>
          <w:rFonts w:ascii="Times New Roman" w:hAnsi="Times New Roman"/>
        </w:rPr>
        <w:t xml:space="preserve"> </w:t>
      </w:r>
      <w:r w:rsidR="008D16DB" w:rsidRPr="00D92210">
        <w:rPr>
          <w:rFonts w:ascii="Times New Roman" w:hAnsi="Times New Roman"/>
        </w:rPr>
        <w:t>maiores lucros para os agricultores</w:t>
      </w:r>
      <w:r w:rsidR="009D324D" w:rsidRPr="00D92210">
        <w:rPr>
          <w:rFonts w:ascii="Times New Roman" w:hAnsi="Times New Roman"/>
        </w:rPr>
        <w:t xml:space="preserve">. No Brasil, no entanto, esses estudos estão em fase inicial, alguns autores como Sambuichi et al. (2016), desenvolveram trabalhos nesse sentido, </w:t>
      </w:r>
      <w:r w:rsidR="00A8494E" w:rsidRPr="00D92210">
        <w:rPr>
          <w:rFonts w:ascii="Times New Roman" w:hAnsi="Times New Roman"/>
        </w:rPr>
        <w:t>mas avaliando somente a agricultura familiar, e em outros trabalhos nacionais, são realizados estudos de casos, verificando casos isolados de pequenas regiões, daí a importância de se trabalhar o tema de maneira mais ampla, pela sua complexidade e pela ausência de trabalhos na literatura</w:t>
      </w:r>
      <w:r w:rsidR="00C70118" w:rsidRPr="00D92210">
        <w:rPr>
          <w:rFonts w:ascii="Times New Roman" w:hAnsi="Times New Roman"/>
        </w:rPr>
        <w:t>.</w:t>
      </w:r>
    </w:p>
    <w:p w:rsidR="0032546D" w:rsidRPr="00D92210" w:rsidRDefault="009A4532" w:rsidP="00D92210">
      <w:pPr>
        <w:rPr>
          <w:rFonts w:ascii="Times New Roman" w:hAnsi="Times New Roman"/>
        </w:rPr>
      </w:pPr>
      <w:r w:rsidRPr="00D92210">
        <w:rPr>
          <w:rFonts w:ascii="Times New Roman" w:hAnsi="Times New Roman"/>
        </w:rPr>
        <w:t>A mensuração do</w:t>
      </w:r>
      <w:r w:rsidR="0032546D" w:rsidRPr="00D92210">
        <w:rPr>
          <w:rFonts w:ascii="Times New Roman" w:hAnsi="Times New Roman"/>
        </w:rPr>
        <w:t xml:space="preserve"> desenvolvimento rural</w:t>
      </w:r>
      <w:r w:rsidRPr="00D92210">
        <w:rPr>
          <w:rFonts w:ascii="Times New Roman" w:hAnsi="Times New Roman"/>
        </w:rPr>
        <w:t xml:space="preserve"> já foi calculada anteriormente </w:t>
      </w:r>
      <w:r w:rsidR="0032546D" w:rsidRPr="00D92210">
        <w:rPr>
          <w:rFonts w:ascii="Times New Roman" w:hAnsi="Times New Roman"/>
        </w:rPr>
        <w:t>através de um Índice multidimensional</w:t>
      </w:r>
      <w:r w:rsidRPr="00D92210">
        <w:rPr>
          <w:rFonts w:ascii="Times New Roman" w:hAnsi="Times New Roman"/>
        </w:rPr>
        <w:t xml:space="preserve"> em alguns trabalhos</w:t>
      </w:r>
      <w:r w:rsidR="0032546D" w:rsidRPr="00D92210">
        <w:rPr>
          <w:rFonts w:ascii="Times New Roman" w:hAnsi="Times New Roman"/>
        </w:rPr>
        <w:t>, por exemplo,</w:t>
      </w:r>
      <w:r w:rsidR="00C70118" w:rsidRPr="00D92210">
        <w:rPr>
          <w:rFonts w:ascii="Times New Roman" w:hAnsi="Times New Roman"/>
        </w:rPr>
        <w:t xml:space="preserve"> em</w:t>
      </w:r>
      <w:r w:rsidR="0032546D" w:rsidRPr="00D92210">
        <w:rPr>
          <w:rFonts w:ascii="Times New Roman" w:hAnsi="Times New Roman"/>
        </w:rPr>
        <w:t xml:space="preserve"> Melo e Parré </w:t>
      </w:r>
      <w:r w:rsidR="005F3586" w:rsidRPr="00D92210">
        <w:rPr>
          <w:rFonts w:ascii="Times New Roman" w:hAnsi="Times New Roman"/>
        </w:rPr>
        <w:fldChar w:fldCharType="begin" w:fldLock="1"/>
      </w:r>
      <w:r w:rsidR="0032546D" w:rsidRPr="00D92210">
        <w:rPr>
          <w:rFonts w:ascii="Times New Roman" w:hAnsi="Times New Roman"/>
        </w:rPr>
        <w:instrText>ADDIN CSL_CITATION {"citationItems":[{"id":"ITEM-1","itemData":{"DOI":"10.1590/S0103-20032007000200005","ISSN":"0103-2003","abstract":"A implementação do modelo produtivista na agricultura brasileira provocou importantes alterações no espaço rural, afetando o seu desenvolvimento. O setor agrícola paranaense inseriu-se nesse processo, apresentando mudanças significativas na sua estrutura produtiva, com reflexos econômicos e sociais importantes no meio rural. Neste sentido, este trabalho objetivou mensurar o índice de desenvolvimento rural dos municípios paranaenses, identificando os fatores determinantes. Os resultados mostraram que, numa escala de zero a 100, o índice médio de desenvolvimento rural situou-se em 43,63, resultando num total de 179 municípios (44,86%) acima deste valor e 220 municípios (55,14%) abaixo deste índice. A ordenação de acordo com o grau de desenvolvimento evidenciou que mais da metade dos municípios se encontra nos níveis baixo, muito baixo e muitíssimo baixo de desenvolvimento rural sugerindo a necessidade de medidas no sentido de minimizar os efeitos gerados pelos aspectos que devem ser trabalhados de forma mais intensa, no sentido de melhorar a vida no campo e, por conseguinte, a situação dos municípios.","author":[{"dropping-particle":"de","family":"Melo","given":"Cármem Ozana","non-dropping-particle":"","parse-names":false,"suffix":""},{"dropping-particle":"","family":"Parré","given":"José Luiz","non-dropping-particle":"","parse-names":false,"suffix":""}],"container-title":"Revista de Economia e Sociologia Rural","id":"ITEM-1","issue":"2","issued":{"date-parts":[["2007","6"]]},"page":"329-365","publisher":"Sociedade Brasileira de Economia e Sociologia Rural","title":"Índice de desenvolvimento rural dos municípios paranaenses: determinantes e hierarquização","type":"article-journal","volume":"45"},"suppress-author":1,"uris":["http://www.mendeley.com/documents/?uuid=791a75e1-5ce9-354e-942e-4f42e4064f41"]}],"mendeley":{"formattedCitation":"(2007)","plainTextFormattedCitation":"(2007)","previouslyFormattedCitation":"(2007)"},"properties":{"noteIndex":0},"schema":"https://github.com/citation-style-language/schema/raw/master/csl-citation.json"}</w:instrText>
      </w:r>
      <w:r w:rsidR="005F3586" w:rsidRPr="00D92210">
        <w:rPr>
          <w:rFonts w:ascii="Times New Roman" w:hAnsi="Times New Roman"/>
        </w:rPr>
        <w:fldChar w:fldCharType="separate"/>
      </w:r>
      <w:r w:rsidR="0032546D" w:rsidRPr="00D92210">
        <w:rPr>
          <w:rFonts w:ascii="Times New Roman" w:hAnsi="Times New Roman"/>
          <w:noProof/>
        </w:rPr>
        <w:t>(2007)</w:t>
      </w:r>
      <w:r w:rsidR="005F3586" w:rsidRPr="00D92210">
        <w:rPr>
          <w:rFonts w:ascii="Times New Roman" w:hAnsi="Times New Roman"/>
        </w:rPr>
        <w:fldChar w:fldCharType="end"/>
      </w:r>
      <w:r w:rsidR="0032546D" w:rsidRPr="00D92210">
        <w:rPr>
          <w:rFonts w:ascii="Times New Roman" w:hAnsi="Times New Roman"/>
        </w:rPr>
        <w:t xml:space="preserve">, </w:t>
      </w:r>
      <w:r w:rsidR="00C70118" w:rsidRPr="00D92210">
        <w:rPr>
          <w:rFonts w:ascii="Times New Roman" w:hAnsi="Times New Roman"/>
        </w:rPr>
        <w:t xml:space="preserve">na mensuração do desenvolvimento rural dos municípios paranaenses, em </w:t>
      </w:r>
      <w:r w:rsidR="0032546D" w:rsidRPr="00D92210">
        <w:rPr>
          <w:rFonts w:ascii="Times New Roman" w:hAnsi="Times New Roman"/>
        </w:rPr>
        <w:t xml:space="preserve">Conterato </w:t>
      </w:r>
      <w:r w:rsidR="005F3586" w:rsidRPr="00D92210">
        <w:rPr>
          <w:rFonts w:ascii="Times New Roman" w:hAnsi="Times New Roman"/>
        </w:rPr>
        <w:fldChar w:fldCharType="begin" w:fldLock="1"/>
      </w:r>
      <w:r w:rsidR="0032546D" w:rsidRPr="00D92210">
        <w:rPr>
          <w:rFonts w:ascii="Times New Roman" w:hAnsi="Times New Roman"/>
        </w:rPr>
        <w:instrText>ADDIN CSL_CITATION {"citationItems":[{"id":"ITEM-1","itemData":{"abstract":"Este trabalho de Tese tem como tema a problematização das interfaces, relações e determinações que podem vir a afetar as transformações da agricultura familiar e, em que medida, esse processo traz repercussões e/ou influenciam as dinâmicas de desenvolvimento rural e de formação de estilos de agricultura familiar. As regiões e os respectivos municípios representativos de cada uma delas objeto da investigação foram: Serra – Veranópolis; Alto Uruguai - Três Palmeiras e; Missões - Salvador das Missões. O objetivo consiste em investigar, comparativamente, as semelhanças e diferenças no que concerne aos processos de mercantilização da agricultura familiar e suas implicações, em termos de diversificação das estratégias produtivas e reprodutivas, dos padrões de autonomia e dependência e seus desdobramentos acerca das dinâmicas territoriais de desenvolvimento rural e de estilos de agricultura familiar. Quatro hipóteses norteiam o trabalho. A primeira aponta dois tipos de mercantilização da agricultura familiar que auxiliam na explicação do tipo de desenvolvimento: um mais endógeno e autônomo (gerando economias de escopo e diversificação) e outro mais dependente e especializado (gerando economias de escala e especialização). A segunda hipótese postula que, para entender e explicar as diferenças entre as dinâmicas de desenvolvimento rural, é preciso identificar e analisar as estratégias de reprodução empregadas na agricultura familiar. A terceira assevera que a dinâmica de desenvolvimento de uma região é tributária de sua capacidade efetiva ou em potencial de integração intersetorial da economia local, na medida em que esta permite a combinação de atividades produtivas e a diversificação das fontes de renda por meio da consolidação de um mercado de trabalho não-agrícola. A quarta hipótese aponta que, para se ter um desenvolvimento rural endógeno e estilos de agricultura familiar mais autônomos e diversificados setorial e intersetorialmente, o que se produz não pode ser drenado para fora da região e acumulado por atores que não reinvestem o capital onde ele foi gerado, pois acarreta uma economia e agricultura muito vulneráveis e dependentes. Através do tratamento estatístico atribuído aos dados secundários utilizados para a construção do Índice de Desenvolvimento Rural (IDR) e aos dados primários originados da aplicação de 59 questionários padronizados em Veranópolis; 59, em Três Palmeiras; e 58, em Salvador das Missões foi possível testar a validade das hipóteses.…","author":[{"dropping-particle":"","family":"Conterato","given":"Marcelo Antonio","non-dropping-particle":"","parse-names":false,"suffix":""}],"id":"ITEM-1","issued":{"date-parts":[["2008"]]},"number-of-pages":"288","publisher":"Universidade Federal do Rio Grande do Sul","title":"DINÂMICAS REGIONAIS DO DESENVOLVIMENTO RURAL E ESTILOS DE AGRICULTURA FAMILIAR: uma análise a partir do Rio Grande do Sul","type":"thesis"},"suppress-author":1,"uris":["http://www.mendeley.com/documents/?uuid=b3b4c466-2b0d-4504-8333-a39a2950dd76"]}],"mendeley":{"formattedCitation":"(2008)","plainTextFormattedCitation":"(2008)","previouslyFormattedCitation":"(2008)"},"properties":{"noteIndex":0},"schema":"https://github.com/citation-style-language/schema/raw/master/csl-citation.json"}</w:instrText>
      </w:r>
      <w:r w:rsidR="005F3586" w:rsidRPr="00D92210">
        <w:rPr>
          <w:rFonts w:ascii="Times New Roman" w:hAnsi="Times New Roman"/>
        </w:rPr>
        <w:fldChar w:fldCharType="separate"/>
      </w:r>
      <w:r w:rsidR="0032546D" w:rsidRPr="00D92210">
        <w:rPr>
          <w:rFonts w:ascii="Times New Roman" w:hAnsi="Times New Roman"/>
          <w:noProof/>
        </w:rPr>
        <w:t>(2008)</w:t>
      </w:r>
      <w:r w:rsidR="005F3586" w:rsidRPr="00D92210">
        <w:rPr>
          <w:rFonts w:ascii="Times New Roman" w:hAnsi="Times New Roman"/>
        </w:rPr>
        <w:fldChar w:fldCharType="end"/>
      </w:r>
      <w:r w:rsidR="0032546D" w:rsidRPr="00D92210">
        <w:rPr>
          <w:rFonts w:ascii="Times New Roman" w:hAnsi="Times New Roman"/>
        </w:rPr>
        <w:t>,</w:t>
      </w:r>
      <w:r w:rsidR="00C70118" w:rsidRPr="00D92210">
        <w:rPr>
          <w:rFonts w:ascii="Times New Roman" w:hAnsi="Times New Roman"/>
        </w:rPr>
        <w:t xml:space="preserve"> na análise das dinâmicas regionais </w:t>
      </w:r>
      <w:r w:rsidR="00C70118" w:rsidRPr="00D92210">
        <w:rPr>
          <w:rFonts w:ascii="Times New Roman" w:hAnsi="Times New Roman"/>
        </w:rPr>
        <w:lastRenderedPageBreak/>
        <w:t xml:space="preserve">do desenvolvimento rural e estilos de agricultura familiar no Rio Grande do Sul, em </w:t>
      </w:r>
      <w:r w:rsidR="0032546D" w:rsidRPr="00D92210">
        <w:rPr>
          <w:rFonts w:ascii="Times New Roman" w:hAnsi="Times New Roman"/>
        </w:rPr>
        <w:t xml:space="preserve">Stege </w:t>
      </w:r>
      <w:r w:rsidR="005F3586" w:rsidRPr="00D92210">
        <w:rPr>
          <w:rFonts w:ascii="Times New Roman" w:hAnsi="Times New Roman"/>
        </w:rPr>
        <w:fldChar w:fldCharType="begin" w:fldLock="1"/>
      </w:r>
      <w:r w:rsidR="0032546D" w:rsidRPr="00D92210">
        <w:rPr>
          <w:rFonts w:ascii="Times New Roman" w:hAnsi="Times New Roman"/>
        </w:rPr>
        <w:instrText>ADDIN CSL_CITATION {"citationItems":[{"id":"ITEM-1","itemData":{"abstract":"Devido a população rural brasileira possuir características heterogêneas de caráter social, técnica e regional se fazem necessário conhecer como está distribuído o desenvolvimento rural no Brasil. Neste sentido, o objetivo do presente estudo é analisar o desenvolvimento rural nas microrregiões brasileiras, inserido no contexto multidimensional do desenvolvimento rural. Usando a técnica da estatística multivariada, mais especificamente, a análise fatorial, elabora-se um indicador sintético, o Índice de Desenvolvimento Rural para as 558 microrregiões brasileiras. Procura-se também verificar a dependência espacial do índice calculado. Os resultados apontam um desenvolvimento rural bastante heterogêneo nas microrregiões, e que o processo de desenvolvimento rural vai além da análise do crescimento econômico medido pelo produto e renda per capita, pois foram encontrados fatores relacionados ao bem estar dos domicílios rurais, ambientais, educacionais entre outros. Verificou-se que o Índice de Desenvolvimento Rural sobre influência da proximidade espacial, ou seja, o Índice de Desenvolvimento Rural de uma microrregião interfere no Índice de Desenvolvimento Rural da microrregião vizinha.","author":[{"dropping-particle":"","family":"Stege","given":"Alysson Luiz","non-dropping-particle":"","parse-names":false,"suffix":""}],"id":"ITEM-1","issued":{"date-parts":[["2011"]]},"publisher":"Universidade Estadual de Maringá, UEM","publisher-place":"Maringá, PR","title":"Desenvolvimento rural nas microrregiões do Brasil : um estudo multidimensional","type":"thesis"},"suppress-author":1,"uris":["http://www.mendeley.com/documents/?uuid=bc58f575-ced5-463a-acc8-c81f540bb607"]}],"mendeley":{"formattedCitation":"(2011)","plainTextFormattedCitation":"(2011)","previouslyFormattedCitation":"(2011)"},"properties":{"noteIndex":0},"schema":"https://github.com/citation-style-language/schema/raw/master/csl-citation.json"}</w:instrText>
      </w:r>
      <w:r w:rsidR="005F3586" w:rsidRPr="00D92210">
        <w:rPr>
          <w:rFonts w:ascii="Times New Roman" w:hAnsi="Times New Roman"/>
        </w:rPr>
        <w:fldChar w:fldCharType="separate"/>
      </w:r>
      <w:r w:rsidR="0032546D" w:rsidRPr="00D92210">
        <w:rPr>
          <w:rFonts w:ascii="Times New Roman" w:hAnsi="Times New Roman"/>
          <w:noProof/>
        </w:rPr>
        <w:t>(2011)</w:t>
      </w:r>
      <w:r w:rsidR="005F3586" w:rsidRPr="00D92210">
        <w:rPr>
          <w:rFonts w:ascii="Times New Roman" w:hAnsi="Times New Roman"/>
        </w:rPr>
        <w:fldChar w:fldCharType="end"/>
      </w:r>
      <w:r w:rsidR="00C70118" w:rsidRPr="00D92210">
        <w:rPr>
          <w:rFonts w:ascii="Times New Roman" w:hAnsi="Times New Roman"/>
        </w:rPr>
        <w:t>, no estudo do desenvolvimento rural nas microrregiões do Brasil,</w:t>
      </w:r>
      <w:r w:rsidR="0032546D" w:rsidRPr="00D92210">
        <w:rPr>
          <w:rFonts w:ascii="Times New Roman" w:hAnsi="Times New Roman"/>
        </w:rPr>
        <w:t xml:space="preserve"> e</w:t>
      </w:r>
      <w:r w:rsidR="00C70118" w:rsidRPr="00D92210">
        <w:rPr>
          <w:rFonts w:ascii="Times New Roman" w:hAnsi="Times New Roman"/>
        </w:rPr>
        <w:t>m</w:t>
      </w:r>
      <w:r w:rsidR="0032546D" w:rsidRPr="00D92210">
        <w:rPr>
          <w:rFonts w:ascii="Times New Roman" w:hAnsi="Times New Roman"/>
        </w:rPr>
        <w:t xml:space="preserve"> Lobão </w:t>
      </w:r>
      <w:r w:rsidR="005F3586" w:rsidRPr="00D92210">
        <w:rPr>
          <w:rFonts w:ascii="Times New Roman" w:hAnsi="Times New Roman"/>
        </w:rPr>
        <w:fldChar w:fldCharType="begin" w:fldLock="1"/>
      </w:r>
      <w:r w:rsidR="0032546D" w:rsidRPr="00D92210">
        <w:rPr>
          <w:rFonts w:ascii="Times New Roman" w:hAnsi="Times New Roman"/>
        </w:rPr>
        <w:instrText>ADDIN CSL_CITATION {"citationItems":[{"id":"ITEM-1","itemData":{"author":[{"dropping-particle":"","family":"Lobão","given":"Mário Sérgio Pedroza","non-dropping-particle":"","parse-names":false,"suffix":""}],"id":"ITEM-1","issued":{"date-parts":[["2018"]]},"number-of-pages":"185 f.","publisher":"UNIOESTE, Toledo","title":"Desenvolvimento rural na Amazônia brasileira: determinantes, níveis e distribuição regional na década de 2000","type":"thesis"},"suppress-author":1,"uris":["http://www.mendeley.com/documents/?uuid=af0e6c49-0ab2-459a-81cb-c1ce74098734"]}],"mendeley":{"formattedCitation":"(2018)","plainTextFormattedCitation":"(2018)","previouslyFormattedCitation":"(2018)"},"properties":{"noteIndex":0},"schema":"https://github.com/citation-style-language/schema/raw/master/csl-citation.json"}</w:instrText>
      </w:r>
      <w:r w:rsidR="005F3586" w:rsidRPr="00D92210">
        <w:rPr>
          <w:rFonts w:ascii="Times New Roman" w:hAnsi="Times New Roman"/>
        </w:rPr>
        <w:fldChar w:fldCharType="separate"/>
      </w:r>
      <w:r w:rsidR="0032546D" w:rsidRPr="00D92210">
        <w:rPr>
          <w:rFonts w:ascii="Times New Roman" w:hAnsi="Times New Roman"/>
          <w:noProof/>
        </w:rPr>
        <w:t>(2018)</w:t>
      </w:r>
      <w:r w:rsidR="005F3586" w:rsidRPr="00D92210">
        <w:rPr>
          <w:rFonts w:ascii="Times New Roman" w:hAnsi="Times New Roman"/>
        </w:rPr>
        <w:fldChar w:fldCharType="end"/>
      </w:r>
      <w:r w:rsidR="0032546D" w:rsidRPr="00D92210">
        <w:rPr>
          <w:rFonts w:ascii="Times New Roman" w:hAnsi="Times New Roman"/>
        </w:rPr>
        <w:t xml:space="preserve">, </w:t>
      </w:r>
      <w:r w:rsidR="00C70118" w:rsidRPr="00D92210">
        <w:rPr>
          <w:rFonts w:ascii="Times New Roman" w:hAnsi="Times New Roman"/>
        </w:rPr>
        <w:t xml:space="preserve">na pesquisa do desenvolvimento rural na Amazônia brasileira, </w:t>
      </w:r>
      <w:r w:rsidRPr="00D92210">
        <w:rPr>
          <w:rFonts w:ascii="Times New Roman" w:hAnsi="Times New Roman"/>
        </w:rPr>
        <w:t>entre outros</w:t>
      </w:r>
      <w:r w:rsidR="00C70118" w:rsidRPr="00D92210">
        <w:rPr>
          <w:rFonts w:ascii="Times New Roman" w:hAnsi="Times New Roman"/>
        </w:rPr>
        <w:t>. Porém, a análise multidimensional do desenvolvimento rural especifica para o bioma Cerrado é inédita.</w:t>
      </w:r>
    </w:p>
    <w:p w:rsidR="0032546D" w:rsidRDefault="0032546D" w:rsidP="00B210C0">
      <w:pPr>
        <w:rPr>
          <w:rFonts w:ascii="Times New Roman" w:hAnsi="Times New Roman"/>
        </w:rPr>
      </w:pPr>
      <w:r w:rsidRPr="00D92210">
        <w:rPr>
          <w:rFonts w:ascii="Times New Roman" w:hAnsi="Times New Roman"/>
        </w:rPr>
        <w:t xml:space="preserve">Este trabalho está dividido da seguinte maneira, </w:t>
      </w:r>
      <w:r w:rsidR="00026328">
        <w:rPr>
          <w:rFonts w:ascii="Times New Roman" w:hAnsi="Times New Roman"/>
        </w:rPr>
        <w:t xml:space="preserve">além dessa seção que trata da problemática, dos objetivos e justificativas; a seção </w:t>
      </w:r>
      <w:r w:rsidRPr="00D92210">
        <w:rPr>
          <w:rFonts w:ascii="Times New Roman" w:hAnsi="Times New Roman"/>
        </w:rPr>
        <w:t xml:space="preserve">dois apresenta </w:t>
      </w:r>
      <w:r w:rsidR="005237A6" w:rsidRPr="00D92210">
        <w:rPr>
          <w:rFonts w:ascii="Times New Roman" w:hAnsi="Times New Roman"/>
        </w:rPr>
        <w:t>o</w:t>
      </w:r>
      <w:r w:rsidRPr="00D92210">
        <w:rPr>
          <w:rFonts w:ascii="Times New Roman" w:hAnsi="Times New Roman"/>
        </w:rPr>
        <w:t xml:space="preserve"> </w:t>
      </w:r>
      <w:r w:rsidR="00352C9F" w:rsidRPr="00D92210">
        <w:rPr>
          <w:rFonts w:ascii="Times New Roman" w:hAnsi="Times New Roman"/>
        </w:rPr>
        <w:t>contexto em que se encontra a agropecuária do Cerrado. N</w:t>
      </w:r>
      <w:r w:rsidR="0029437E">
        <w:rPr>
          <w:rFonts w:ascii="Times New Roman" w:hAnsi="Times New Roman"/>
        </w:rPr>
        <w:t>a seção três</w:t>
      </w:r>
      <w:r w:rsidR="00352C9F" w:rsidRPr="00D92210">
        <w:rPr>
          <w:rFonts w:ascii="Times New Roman" w:hAnsi="Times New Roman"/>
        </w:rPr>
        <w:t xml:space="preserve"> são abordadas as </w:t>
      </w:r>
      <w:r w:rsidRPr="00D92210">
        <w:rPr>
          <w:rFonts w:ascii="Times New Roman" w:hAnsi="Times New Roman"/>
        </w:rPr>
        <w:t>metodologia</w:t>
      </w:r>
      <w:r w:rsidR="00352C9F" w:rsidRPr="00D92210">
        <w:rPr>
          <w:rFonts w:ascii="Times New Roman" w:hAnsi="Times New Roman"/>
        </w:rPr>
        <w:t>s</w:t>
      </w:r>
      <w:r w:rsidRPr="00D92210">
        <w:rPr>
          <w:rFonts w:ascii="Times New Roman" w:hAnsi="Times New Roman"/>
        </w:rPr>
        <w:t xml:space="preserve"> utilizada</w:t>
      </w:r>
      <w:r w:rsidR="00352C9F" w:rsidRPr="00D92210">
        <w:rPr>
          <w:rFonts w:ascii="Times New Roman" w:hAnsi="Times New Roman"/>
        </w:rPr>
        <w:t>s</w:t>
      </w:r>
      <w:r w:rsidRPr="00D92210">
        <w:rPr>
          <w:rFonts w:ascii="Times New Roman" w:hAnsi="Times New Roman"/>
        </w:rPr>
        <w:t xml:space="preserve"> na elaboração do índice de diversificação</w:t>
      </w:r>
      <w:r w:rsidR="0029437E">
        <w:rPr>
          <w:rFonts w:ascii="Times New Roman" w:hAnsi="Times New Roman"/>
        </w:rPr>
        <w:t xml:space="preserve"> e </w:t>
      </w:r>
      <w:r w:rsidRPr="00D92210">
        <w:rPr>
          <w:rFonts w:ascii="Times New Roman" w:hAnsi="Times New Roman"/>
        </w:rPr>
        <w:t>na elaboração do Índice de Desenvolvimento Rural. N</w:t>
      </w:r>
      <w:r w:rsidR="0029437E">
        <w:rPr>
          <w:rFonts w:ascii="Times New Roman" w:hAnsi="Times New Roman"/>
        </w:rPr>
        <w:t xml:space="preserve">a seção </w:t>
      </w:r>
      <w:r w:rsidR="00352C9F" w:rsidRPr="00D92210">
        <w:rPr>
          <w:rFonts w:ascii="Times New Roman" w:hAnsi="Times New Roman"/>
        </w:rPr>
        <w:t>qu</w:t>
      </w:r>
      <w:r w:rsidR="0029437E">
        <w:rPr>
          <w:rFonts w:ascii="Times New Roman" w:hAnsi="Times New Roman"/>
        </w:rPr>
        <w:t>atro</w:t>
      </w:r>
      <w:r w:rsidRPr="00D92210">
        <w:rPr>
          <w:rFonts w:ascii="Times New Roman" w:hAnsi="Times New Roman"/>
        </w:rPr>
        <w:t xml:space="preserve">, disserta-se sobre os resultados. Por fim, </w:t>
      </w:r>
      <w:r w:rsidR="0029437E">
        <w:rPr>
          <w:rFonts w:ascii="Times New Roman" w:hAnsi="Times New Roman"/>
        </w:rPr>
        <w:t xml:space="preserve">a seção cinco </w:t>
      </w:r>
      <w:r w:rsidRPr="00D92210">
        <w:rPr>
          <w:rFonts w:ascii="Times New Roman" w:hAnsi="Times New Roman"/>
        </w:rPr>
        <w:t>apresenta</w:t>
      </w:r>
      <w:r w:rsidR="0029437E">
        <w:rPr>
          <w:rFonts w:ascii="Times New Roman" w:hAnsi="Times New Roman"/>
        </w:rPr>
        <w:t xml:space="preserve"> </w:t>
      </w:r>
      <w:r w:rsidRPr="00D92210">
        <w:rPr>
          <w:rFonts w:ascii="Times New Roman" w:hAnsi="Times New Roman"/>
        </w:rPr>
        <w:t>as considerações finais.</w:t>
      </w:r>
    </w:p>
    <w:p w:rsidR="00B210C0" w:rsidRDefault="00B210C0" w:rsidP="00B210C0">
      <w:pPr>
        <w:rPr>
          <w:rFonts w:cs="Arial"/>
          <w:szCs w:val="20"/>
          <w:lang w:eastAsia="pt-BR"/>
        </w:rPr>
      </w:pPr>
    </w:p>
    <w:p w:rsidR="00DA4E12" w:rsidRPr="004D5EB4" w:rsidRDefault="00D958FA" w:rsidP="004D5EB4">
      <w:pPr>
        <w:pStyle w:val="Ttulo1"/>
        <w:spacing w:line="360" w:lineRule="auto"/>
        <w:rPr>
          <w:rFonts w:ascii="Times New Roman" w:hAnsi="Times New Roman" w:cs="Times New Roman"/>
        </w:rPr>
      </w:pPr>
      <w:bookmarkStart w:id="3" w:name="_Toc527532376"/>
      <w:bookmarkStart w:id="4" w:name="_Toc4632594"/>
      <w:r>
        <w:rPr>
          <w:rFonts w:ascii="Times New Roman" w:hAnsi="Times New Roman" w:cs="Times New Roman"/>
        </w:rPr>
        <w:t>2</w:t>
      </w:r>
      <w:r w:rsidR="00DA4E12" w:rsidRPr="004D5EB4">
        <w:rPr>
          <w:rFonts w:ascii="Times New Roman" w:hAnsi="Times New Roman" w:cs="Times New Roman"/>
        </w:rPr>
        <w:t xml:space="preserve"> O CENÁRIO DA AGROPECUÁRIA NO BIOMA CERRADO</w:t>
      </w:r>
      <w:bookmarkEnd w:id="3"/>
      <w:bookmarkEnd w:id="4"/>
    </w:p>
    <w:p w:rsidR="00DA4E12" w:rsidRPr="004D5EB4" w:rsidRDefault="00DA4E12" w:rsidP="004D5EB4">
      <w:pPr>
        <w:rPr>
          <w:rFonts w:ascii="Times New Roman" w:hAnsi="Times New Roman"/>
        </w:rPr>
      </w:pPr>
    </w:p>
    <w:p w:rsidR="007203B9" w:rsidRPr="004D5EB4" w:rsidRDefault="00666AED" w:rsidP="004D5EB4">
      <w:pPr>
        <w:rPr>
          <w:rFonts w:ascii="Times New Roman" w:hAnsi="Times New Roman"/>
        </w:rPr>
      </w:pPr>
      <w:r w:rsidRPr="004D5EB4">
        <w:rPr>
          <w:rFonts w:ascii="Times New Roman" w:hAnsi="Times New Roman"/>
        </w:rPr>
        <w:t>Neste capítulo</w:t>
      </w:r>
      <w:r w:rsidR="00826E3C" w:rsidRPr="004D5EB4">
        <w:rPr>
          <w:rFonts w:ascii="Times New Roman" w:hAnsi="Times New Roman"/>
        </w:rPr>
        <w:t>, serão apresentados os principais pontos que fizeram do Cerrado uma das maiores fronteiras agrícolas do Brasil, em poucas décadas.</w:t>
      </w:r>
      <w:r w:rsidR="00F60F5E" w:rsidRPr="004D5EB4">
        <w:rPr>
          <w:rFonts w:ascii="Times New Roman" w:hAnsi="Times New Roman"/>
        </w:rPr>
        <w:t xml:space="preserve"> A combinação de investimentos público e privado estimulou o desenvolvimento de tecnologias capazes de viabilizar e aumentar a produtividade da produção agrícola </w:t>
      </w:r>
      <w:r w:rsidR="00386683" w:rsidRPr="004D5EB4">
        <w:rPr>
          <w:rFonts w:ascii="Times New Roman" w:hAnsi="Times New Roman"/>
        </w:rPr>
        <w:t>em praticamente todo o bioma.</w:t>
      </w:r>
    </w:p>
    <w:p w:rsidR="00B055D0" w:rsidRPr="004D5EB4" w:rsidRDefault="00B055D0" w:rsidP="004D5EB4">
      <w:pPr>
        <w:rPr>
          <w:rFonts w:ascii="Times New Roman" w:hAnsi="Times New Roman"/>
        </w:rPr>
      </w:pPr>
      <w:r w:rsidRPr="004D5EB4">
        <w:rPr>
          <w:rFonts w:ascii="Times New Roman" w:hAnsi="Times New Roman"/>
        </w:rPr>
        <w:t xml:space="preserve">É possível identificar três fases de evolução da agropecuária brasileira após a II Guerra Mundial: entre o fim da Guerra e início da década de 70, marcado por uma forte expansão horizontal, apoiado na incorporação de terras na fronteira agrícola; do início dos anos 1970 ao final da década de 1980, caracterizado pela modernização da agricultura, através de subsídios financeiros e incentivos governamentais e acentuadas intervenções distorcivas nos mercados de produtos e insumos agrícolas; e a fase posterior à década de 1990 até o presente, um período de desempenho expressivo da agropecuária </w:t>
      </w:r>
      <w:r w:rsidR="005F3586" w:rsidRPr="004D5EB4">
        <w:rPr>
          <w:rFonts w:ascii="Times New Roman" w:hAnsi="Times New Roman"/>
        </w:rPr>
        <w:fldChar w:fldCharType="begin" w:fldLock="1"/>
      </w:r>
      <w:r w:rsidRPr="004D5EB4">
        <w:rPr>
          <w:rFonts w:ascii="Times New Roman" w:hAnsi="Times New Roman"/>
        </w:rPr>
        <w:instrText>ADDIN CSL_CITATION {"citationItems":[{"id":"ITEM-1","itemData":{"ISBN":"9788570750396","abstract":"The article essentially discusses the socioeconomic impacts and ramifications of the recent expansion of land use changes in the dynamic areas of the Cerrado Biome, including both areas of recent occupation and development as well as areas settled opened and occupied for some time. By and large, the areas focused are part of the Cerrado Core, that is, the central portion of the Cerrado with reduced influence on neighboring biomes. But, having in mind the widespread concerns regarding the expansion of the agricultural frontier toward the Amazon of commercial crops and beef cattle production, we have also paid attention to a few, but important, Cerrado micro regions near this important biome. Based on a conceptual framework explaining the construction of space in areas of the agricultural frontier, and the emergence of conditions for the expansion or retraction, in this constructed space, of agricultural fronts, the paper discusses the changes in land use stemming from the recent evaluation of agricultural and livestock activities in the more dynamic areas of the Cerrado. This is done emphasizing the progression of the more important activity fronts that, over the last ten to fifteen years have expanded vigorously on specific regions of the Cerrado Biome. The analysis considers the public policies that have contributed to this progression, and emphasizes the objective conditions and the changes in markets relevant to the commodity booms the have recently affected the Cerrado. The paper analyses the resulting effects of these commodity booms in the focused areas, on total and per capita economic growth, and in terms of the social ramifications of such growth, as captured by a few disaggregated indicators available for the Cerrado region. The main conclusion of the analysis is, perhaps, that the agricultural expansion in most of the studied Cerrado regions resulted in considerable – and in some cases, impressive – economic expansion; but that the broad social impacts of such economic results were considerably more modest. And the authors could not fail to express, in the concluding remarks, worries with the possible environmental implications of the rapid pace of the changes in land use in the Cerrado dynamic areas, brought about by the current pace of agricultural expansion.","author":[{"dropping-particle":"","family":"Mueller","given":"Charles Curt","non-dropping-particle":"","parse-names":false,"suffix":""},{"dropping-particle":"","family":"Júnior","given":"Geraldo Bueno Martha","non-dropping-particle":"","parse-names":false,"suffix":""}],"chapter-number":"4","container-title":"Savanas - Desafios e estratégias para o equiilíbrio entre sociedade, agronegócio e recursos naturais","editor":[{"dropping-particle":"","family":"Faleiro","given":"Fábio Gelape","non-dropping-particle":"","parse-names":false,"suffix":""},{"dropping-particle":"","family":"Neto","given":"Austeclinio Lopes de Farias","non-dropping-particle":"","parse-names":false,"suffix":""}],"id":"ITEM-1","issue":"1","issued":{"date-parts":[["2008"]]},"page":"105 - 169","publisher":"Embrapa","publisher-place":"Planaltina, DF","title":"A agropecuária e o Desenvolvimento Socioeconômico Recente do Cerrado","type":"chapter"},"uris":["http://www.mendeley.com/documents/?uuid=4c5084c5-e428-4bd5-bf98-df030f45d013"]}],"mendeley":{"formattedCitation":"(MUELLER; JÚNIOR, 2008)","plainTextFormattedCitation":"(MUELLER; JÚNIOR, 2008)","previouslyFormattedCitation":"(MUELLER; JÚNIOR, 2008)"},"properties":{"noteIndex":0},"schema":"https://github.com/citation-style-language/schema/raw/master/csl-citation.json"}</w:instrText>
      </w:r>
      <w:r w:rsidR="005F3586" w:rsidRPr="004D5EB4">
        <w:rPr>
          <w:rFonts w:ascii="Times New Roman" w:hAnsi="Times New Roman"/>
        </w:rPr>
        <w:fldChar w:fldCharType="separate"/>
      </w:r>
      <w:r w:rsidRPr="004D5EB4">
        <w:rPr>
          <w:rFonts w:ascii="Times New Roman" w:hAnsi="Times New Roman"/>
          <w:noProof/>
        </w:rPr>
        <w:t>(MUELLER; JÚNIOR, 2008)</w:t>
      </w:r>
      <w:r w:rsidR="005F3586" w:rsidRPr="004D5EB4">
        <w:rPr>
          <w:rFonts w:ascii="Times New Roman" w:hAnsi="Times New Roman"/>
        </w:rPr>
        <w:fldChar w:fldCharType="end"/>
      </w:r>
      <w:r w:rsidRPr="004D5EB4">
        <w:rPr>
          <w:rFonts w:ascii="Times New Roman" w:hAnsi="Times New Roman"/>
        </w:rPr>
        <w:t>.</w:t>
      </w:r>
    </w:p>
    <w:p w:rsidR="00B055D0" w:rsidRPr="004D5EB4" w:rsidRDefault="00B055D0" w:rsidP="004D5EB4">
      <w:pPr>
        <w:rPr>
          <w:rFonts w:ascii="Times New Roman" w:hAnsi="Times New Roman"/>
        </w:rPr>
      </w:pPr>
      <w:r w:rsidRPr="004D5EB4">
        <w:rPr>
          <w:rFonts w:ascii="Times New Roman" w:hAnsi="Times New Roman"/>
        </w:rPr>
        <w:t xml:space="preserve">No Cerrado, até a década de 70 o bioma não era importante para a agropecuária nacional e as terras se destinavam basicamente à criação extensiva de gado. A partir de 1975, o Governo Federal passou a incentivar de maneira direta, através de Programas Especiais de Desenvolvimento Agrário, uma série de ações visando a territorialização do Cerrado, onde a modernização era a estratégia dominante para alcançar os objetivos de desenvolvimento </w:t>
      </w:r>
      <w:r w:rsidR="005F3586" w:rsidRPr="004D5EB4">
        <w:rPr>
          <w:rFonts w:ascii="Times New Roman" w:hAnsi="Times New Roman"/>
          <w:color w:val="000000" w:themeColor="text1"/>
        </w:rPr>
        <w:fldChar w:fldCharType="begin" w:fldLock="1"/>
      </w:r>
      <w:r w:rsidRPr="004D5EB4">
        <w:rPr>
          <w:rFonts w:ascii="Times New Roman" w:hAnsi="Times New Roman"/>
          <w:color w:val="000000" w:themeColor="text1"/>
        </w:rPr>
        <w:instrText>ADDIN CSL_CITATION {"citationItems":[{"id":"ITEM-1","itemData":{"ISSN":"1809-6271","author":[{"dropping-particle":"","family":"Pessôa","given":"Vera Lúcia Salazar","non-dropping-particle":"","parse-names":false,"suffix":""},{"dropping-particle":"","family":"Inocêncio","given":"Maria Erlan","non-dropping-particle":"","parse-names":false,"suffix":""}],"container-title":"Campo–Território","id":"ITEM-1","issue":"18","issued":{"date-parts":[["2014"]]},"page":"1-22","title":"O PRODECER (RE) VISITADO: as engrenagens da territorialização do capital no Cerrado","type":"article-journal","volume":"9"},"uris":["http://www.mendeley.com/documents/?uuid=ee07b138-f187-44db-abb8-ecbdca885960"]}],"mendeley":{"formattedCitation":"(PESSÔA; INOCÊNCIO, 2014)","plainTextFormattedCitation":"(PESSÔA; INOCÊNCIO, 2014)","previouslyFormattedCitation":"(PESSÔA; INOCÊNCIO, 2014)"},"properties":{"noteIndex":0},"schema":"https://github.com/citation-style-language/schema/raw/master/csl-citation.json"}</w:instrText>
      </w:r>
      <w:r w:rsidR="005F3586" w:rsidRPr="004D5EB4">
        <w:rPr>
          <w:rFonts w:ascii="Times New Roman" w:hAnsi="Times New Roman"/>
          <w:color w:val="000000" w:themeColor="text1"/>
        </w:rPr>
        <w:fldChar w:fldCharType="separate"/>
      </w:r>
      <w:r w:rsidRPr="004D5EB4">
        <w:rPr>
          <w:rFonts w:ascii="Times New Roman" w:hAnsi="Times New Roman"/>
          <w:noProof/>
          <w:color w:val="000000" w:themeColor="text1"/>
        </w:rPr>
        <w:t>(PESSÔA; INOCÊNCIO, 2014)</w:t>
      </w:r>
      <w:r w:rsidR="005F3586" w:rsidRPr="004D5EB4">
        <w:rPr>
          <w:rFonts w:ascii="Times New Roman" w:hAnsi="Times New Roman"/>
          <w:color w:val="000000" w:themeColor="text1"/>
        </w:rPr>
        <w:fldChar w:fldCharType="end"/>
      </w:r>
      <w:r w:rsidRPr="004D5EB4">
        <w:rPr>
          <w:rFonts w:ascii="Times New Roman" w:hAnsi="Times New Roman"/>
        </w:rPr>
        <w:t>. Ressalta-se o contexto político ao qual o país se encontrava, após a Ditadura Militar de 1964, os militares precisavam mitigar os crescentes conflitos agrários que surgiam, e ainda aumentar a produção e a produtividade do setor, buscando diminuir a dependência externa e aumentar a oferta de alimentos, medidas necessárias para atender ao processo de urbanização acelerada da época</w:t>
      </w:r>
      <w:r w:rsidRPr="004D5EB4">
        <w:rPr>
          <w:rFonts w:ascii="Times New Roman" w:hAnsi="Times New Roman"/>
          <w:color w:val="FF0000"/>
        </w:rPr>
        <w:t xml:space="preserve"> </w:t>
      </w:r>
      <w:r w:rsidR="005F3586" w:rsidRPr="004D5EB4">
        <w:rPr>
          <w:rFonts w:ascii="Times New Roman" w:hAnsi="Times New Roman"/>
          <w:color w:val="000000" w:themeColor="text1"/>
        </w:rPr>
        <w:fldChar w:fldCharType="begin" w:fldLock="1"/>
      </w:r>
      <w:r w:rsidRPr="004D5EB4">
        <w:rPr>
          <w:rFonts w:ascii="Times New Roman" w:hAnsi="Times New Roman"/>
          <w:color w:val="000000" w:themeColor="text1"/>
        </w:rPr>
        <w:instrText>ADDIN CSL_CITATION {"citationItems":[{"id":"ITEM-1","itemData":{"author":[{"dropping-particle":"","family":"Favareto","given":"Arilson da Silva","non-dropping-particle":"","parse-names":false,"suffix":""},{"dropping-particle":"","family":"Nakagawa","given":"Louise","non-dropping-particle":"","parse-names":false,"suffix":""},{"dropping-particle":"","family":"Kleeb","given":"Suzana Cecilia","non-dropping-particle":"","parse-names":false,"suffix":""},{"dropping-particle":"","family":"Seifer","given":"Paulo Guilherme","non-dropping-particle":"","parse-names":false,"suffix":""},{"dropping-particle":"","family":"Pó","given":"Marcos","non-dropping-particle":"","parse-names":false,"suffix":""}],"container-title":"Greenpeace","id":"ITEM-1","issued":{"date-parts":[["2018"]]},"page":"100","title":"A expansão do agronegócio e a disputa pelo cerrado","type":"article-journal"},"uris":["http://www.mendeley.com/documents/?uuid=4c8faa1a-e937-372b-952d-79a1d99726ec"]},{"id":"ITEM-2","itemData":{"ISSN":"1809-6271","author":[{"dropping-particle":"","family":"Pessôa","given":"Vera Lúcia Salazar","non-dropping-particle":"","parse-names":false,"suffix":""},{"dropping-particle":"","family":"Inocêncio","given":"Maria Erlan","non-dropping-particle":"","parse-names":false,"suffix":""}],"container-title":"Campo–Território","id":"ITEM-2","issue":"18","issued":{"date-parts":[["2014"]]},"page":"1-22","title":"O PRODECER (RE) VISITADO: as engrenagens da territorialização do capital no Cerrado","type":"article-journal","volume":"9"},"uris":["http://www.mendeley.com/documents/?uuid=ee07b138-f187-44db-abb8-ecbdca885960"]}],"mendeley":{"formattedCitation":"(FAVARETO et al., 2018; PESSÔA; INOCÊNCIO, 2014)","plainTextFormattedCitation":"(FAVARETO et al., 2018; PESSÔA; INOCÊNCIO, 2014)","previouslyFormattedCitation":"(FAVARETO et al., 2018; PESSÔA; INOCÊNCIO, 2014)"},"properties":{"noteIndex":0},"schema":"https://github.com/citation-style-language/schema/raw/master/csl-citation.json"}</w:instrText>
      </w:r>
      <w:r w:rsidR="005F3586" w:rsidRPr="004D5EB4">
        <w:rPr>
          <w:rFonts w:ascii="Times New Roman" w:hAnsi="Times New Roman"/>
          <w:color w:val="000000" w:themeColor="text1"/>
        </w:rPr>
        <w:fldChar w:fldCharType="separate"/>
      </w:r>
      <w:r w:rsidRPr="004D5EB4">
        <w:rPr>
          <w:rFonts w:ascii="Times New Roman" w:hAnsi="Times New Roman"/>
          <w:noProof/>
          <w:color w:val="000000" w:themeColor="text1"/>
        </w:rPr>
        <w:t>(FAVARETO et al., 2018; PESSÔA; INOCÊNCIO, 2014)</w:t>
      </w:r>
      <w:r w:rsidR="005F3586" w:rsidRPr="004D5EB4">
        <w:rPr>
          <w:rFonts w:ascii="Times New Roman" w:hAnsi="Times New Roman"/>
          <w:color w:val="000000" w:themeColor="text1"/>
        </w:rPr>
        <w:fldChar w:fldCharType="end"/>
      </w:r>
      <w:r w:rsidRPr="004D5EB4">
        <w:rPr>
          <w:rFonts w:ascii="Times New Roman" w:hAnsi="Times New Roman"/>
        </w:rPr>
        <w:t>. Em teoria</w:t>
      </w:r>
      <w:r w:rsidR="004E6628" w:rsidRPr="004D5EB4">
        <w:rPr>
          <w:rFonts w:ascii="Times New Roman" w:hAnsi="Times New Roman"/>
        </w:rPr>
        <w:t>,</w:t>
      </w:r>
      <w:r w:rsidRPr="004D5EB4">
        <w:rPr>
          <w:rFonts w:ascii="Times New Roman" w:hAnsi="Times New Roman"/>
        </w:rPr>
        <w:t xml:space="preserve"> o objetivo era social: distribuir terras e dar assistência ao pequeno produtor. Na prática, a indústria e o capital financeiro passaram a subordinar a agricultura por intermédio de grupos monopolistas, “</w:t>
      </w:r>
      <w:r w:rsidR="00C91224" w:rsidRPr="004D5EB4">
        <w:rPr>
          <w:rFonts w:ascii="Times New Roman" w:hAnsi="Times New Roman"/>
        </w:rPr>
        <w:t>tornando-se</w:t>
      </w:r>
      <w:r w:rsidRPr="004D5EB4">
        <w:rPr>
          <w:rFonts w:ascii="Times New Roman" w:hAnsi="Times New Roman"/>
        </w:rPr>
        <w:t xml:space="preserve"> cada vez mais uma atividade dependente da indústria processadora de produtos agrícolas e produtora de insumos, máquinas e implementos agrícola”</w:t>
      </w:r>
      <w:r w:rsidRPr="004D5EB4">
        <w:rPr>
          <w:rFonts w:ascii="Times New Roman" w:hAnsi="Times New Roman"/>
          <w:color w:val="FF0000"/>
        </w:rPr>
        <w:t xml:space="preserve"> </w:t>
      </w:r>
      <w:r w:rsidR="005F3586" w:rsidRPr="004D5EB4">
        <w:rPr>
          <w:rFonts w:ascii="Times New Roman" w:hAnsi="Times New Roman"/>
          <w:color w:val="000000" w:themeColor="text1"/>
        </w:rPr>
        <w:fldChar w:fldCharType="begin" w:fldLock="1"/>
      </w:r>
      <w:r w:rsidRPr="004D5EB4">
        <w:rPr>
          <w:rFonts w:ascii="Times New Roman" w:hAnsi="Times New Roman"/>
          <w:color w:val="000000" w:themeColor="text1"/>
        </w:rPr>
        <w:instrText>ADDIN CSL_CITATION {"citationItems":[{"id":"ITEM-1","itemData":{"ISSN":"1809-6271","author":[{"dropping-particle":"","family":"Pessôa","given":"Vera Lúcia Salazar","non-dropping-particle":"","parse-names":false,"suffix":""},{"dropping-particle":"","family":"Inocêncio","given":"Maria Erlan","non-dropping-particle":"","parse-names":false,"suffix":""}],"container-title":"Campo–Território","id":"ITEM-1","issue":"18","issued":{"date-parts":[["2014"]]},"page":"1-22","title":"O PRODECER (RE) VISITADO: as engrenagens da territorialização do capital no Cerrado","type":"article-journal","volume":"9"},"locator":"5","uris":["http://www.mendeley.com/documents/?uuid=ee07b138-f187-44db-abb8-ecbdca885960"]}],"mendeley":{"formattedCitation":"(PESSÔA; INOCÊNCIO, 2014, p. 5)","plainTextFormattedCitation":"(PESSÔA; INOCÊNCIO, 2014, p. 5)","previouslyFormattedCitation":"(PESSÔA; INOCÊNCIO, 2014, p. 5)"},"properties":{"noteIndex":0},"schema":"https://github.com/citation-style-language/schema/raw/master/csl-citation.json"}</w:instrText>
      </w:r>
      <w:r w:rsidR="005F3586" w:rsidRPr="004D5EB4">
        <w:rPr>
          <w:rFonts w:ascii="Times New Roman" w:hAnsi="Times New Roman"/>
          <w:color w:val="000000" w:themeColor="text1"/>
        </w:rPr>
        <w:fldChar w:fldCharType="separate"/>
      </w:r>
      <w:r w:rsidRPr="004D5EB4">
        <w:rPr>
          <w:rFonts w:ascii="Times New Roman" w:hAnsi="Times New Roman"/>
          <w:noProof/>
          <w:color w:val="000000" w:themeColor="text1"/>
        </w:rPr>
        <w:t>(PESSÔA; INOCÊNCIO, 2014, p. 5)</w:t>
      </w:r>
      <w:r w:rsidR="005F3586" w:rsidRPr="004D5EB4">
        <w:rPr>
          <w:rFonts w:ascii="Times New Roman" w:hAnsi="Times New Roman"/>
          <w:color w:val="000000" w:themeColor="text1"/>
        </w:rPr>
        <w:fldChar w:fldCharType="end"/>
      </w:r>
      <w:r w:rsidRPr="004D5EB4">
        <w:rPr>
          <w:rFonts w:ascii="Times New Roman" w:hAnsi="Times New Roman"/>
        </w:rPr>
        <w:t xml:space="preserve">. </w:t>
      </w:r>
    </w:p>
    <w:p w:rsidR="00FA0934" w:rsidRPr="004D5EB4" w:rsidRDefault="00B055D0" w:rsidP="004D5EB4">
      <w:pPr>
        <w:rPr>
          <w:rFonts w:ascii="Times New Roman" w:hAnsi="Times New Roman"/>
        </w:rPr>
      </w:pPr>
      <w:r w:rsidRPr="004D5EB4">
        <w:rPr>
          <w:rFonts w:ascii="Times New Roman" w:hAnsi="Times New Roman"/>
        </w:rPr>
        <w:lastRenderedPageBreak/>
        <w:t xml:space="preserve">A migração de produtores foi um dos fatores que impulsionaram o processo de exploração dos Cerrados. Verifica-se em Mizumoto et al. </w:t>
      </w:r>
      <w:r w:rsidR="005F3586" w:rsidRPr="004D5EB4">
        <w:rPr>
          <w:rFonts w:ascii="Times New Roman" w:hAnsi="Times New Roman"/>
          <w:color w:val="000000"/>
        </w:rPr>
        <w:fldChar w:fldCharType="begin" w:fldLock="1"/>
      </w:r>
      <w:r w:rsidRPr="004D5EB4">
        <w:rPr>
          <w:rFonts w:ascii="Times New Roman" w:hAnsi="Times New Roman"/>
          <w:color w:val="000000"/>
        </w:rPr>
        <w:instrText>ADDIN CSL_CITATION {"citationItems":[{"id":"ITEM-1","itemData":{"ISBN":"978-85-62594-00-7","abstract":"livro sobre o Cerrado","author":[{"dropping-particle":"","family":"Mizumoto","given":"Celso Norimitsu","non-dropping-particle":"","parse-names":false,"suffix":""},{"dropping-particle":"","family":"Júnior","given":"Alcione de Souza","non-dropping-particle":"","parse-names":false,"suffix":""},{"dropping-particle":"","family":"Diniz","given":"Bernardo Palhares Campolina","non-dropping-particle":"","parse-names":false,"suffix":""},{"dropping-particle":"","family":"Pelegrini","given":"Bernardo","non-dropping-particle":"","parse-names":false,"suffix":""},{"dropping-particle":"da","family":"Cruz","given":"Julio Cesar Augusto Sesma","non-dropping-particle":"","parse-names":false,"suffix":""},{"dropping-particle":"","family":"Martin","given":"Paulo José San","non-dropping-particle":"","parse-names":false,"suffix":""},{"dropping-particle":"","family":"Ogura","given":"Yoshisuke","non-dropping-particle":"","parse-names":false,"suffix":""}],"id":"ITEM-1","issued":{"date-parts":[["2009"]]},"number-of-pages":"429","publisher":"Caramuru","publisher-place":"São Paulo","title":"O Cerrado e o seu brilho","type":"book"},"suppress-author":1,"uris":["http://www.mendeley.com/documents/?uuid=23128eae-9c9e-4bbb-8f1a-f5ea7e6052eb"]}],"mendeley":{"formattedCitation":"(2009)","plainTextFormattedCitation":"(2009)","previouslyFormattedCitation":"(2009)"},"properties":{"noteIndex":0},"schema":"https://github.com/citation-style-language/schema/raw/master/csl-citation.json"}</w:instrText>
      </w:r>
      <w:r w:rsidR="005F3586" w:rsidRPr="004D5EB4">
        <w:rPr>
          <w:rFonts w:ascii="Times New Roman" w:hAnsi="Times New Roman"/>
          <w:color w:val="000000"/>
        </w:rPr>
        <w:fldChar w:fldCharType="separate"/>
      </w:r>
      <w:r w:rsidRPr="004D5EB4">
        <w:rPr>
          <w:rFonts w:ascii="Times New Roman" w:hAnsi="Times New Roman"/>
          <w:noProof/>
          <w:color w:val="000000"/>
        </w:rPr>
        <w:t>(2009)</w:t>
      </w:r>
      <w:r w:rsidR="005F3586" w:rsidRPr="004D5EB4">
        <w:rPr>
          <w:rFonts w:ascii="Times New Roman" w:hAnsi="Times New Roman"/>
          <w:color w:val="000000"/>
        </w:rPr>
        <w:fldChar w:fldCharType="end"/>
      </w:r>
      <w:r w:rsidRPr="004D5EB4">
        <w:rPr>
          <w:rFonts w:ascii="Times New Roman" w:hAnsi="Times New Roman"/>
          <w:color w:val="000000"/>
        </w:rPr>
        <w:t xml:space="preserve"> outros fatores, com os seguintes aspectos:</w:t>
      </w:r>
      <w:r w:rsidR="00DB408F" w:rsidRPr="004D5EB4">
        <w:rPr>
          <w:rFonts w:ascii="Times New Roman" w:hAnsi="Times New Roman"/>
          <w:color w:val="000000"/>
        </w:rPr>
        <w:t xml:space="preserve"> m</w:t>
      </w:r>
      <w:r w:rsidR="00DB408F" w:rsidRPr="004D5EB4">
        <w:rPr>
          <w:rFonts w:ascii="Times New Roman" w:hAnsi="Times New Roman"/>
        </w:rPr>
        <w:t>udança da Capital para Brasília</w:t>
      </w:r>
      <w:r w:rsidR="00BE3B81" w:rsidRPr="004D5EB4">
        <w:rPr>
          <w:rFonts w:ascii="Times New Roman" w:hAnsi="Times New Roman"/>
        </w:rPr>
        <w:t>;</w:t>
      </w:r>
      <w:r w:rsidRPr="004D5EB4">
        <w:rPr>
          <w:rFonts w:ascii="Times New Roman" w:hAnsi="Times New Roman"/>
        </w:rPr>
        <w:t xml:space="preserve"> </w:t>
      </w:r>
      <w:r w:rsidR="00DB408F" w:rsidRPr="004D5EB4">
        <w:rPr>
          <w:rFonts w:ascii="Times New Roman" w:hAnsi="Times New Roman"/>
        </w:rPr>
        <w:t>m</w:t>
      </w:r>
      <w:r w:rsidRPr="004D5EB4">
        <w:rPr>
          <w:rFonts w:ascii="Times New Roman" w:hAnsi="Times New Roman"/>
        </w:rPr>
        <w:t>ud</w:t>
      </w:r>
      <w:r w:rsidR="00DB408F" w:rsidRPr="004D5EB4">
        <w:rPr>
          <w:rFonts w:ascii="Times New Roman" w:hAnsi="Times New Roman"/>
        </w:rPr>
        <w:t>ança no contexto internacional; c</w:t>
      </w:r>
      <w:r w:rsidRPr="004D5EB4">
        <w:rPr>
          <w:rFonts w:ascii="Times New Roman" w:hAnsi="Times New Roman"/>
        </w:rPr>
        <w:t xml:space="preserve">rescimento da </w:t>
      </w:r>
      <w:r w:rsidR="00DB408F" w:rsidRPr="004D5EB4">
        <w:rPr>
          <w:rFonts w:ascii="Times New Roman" w:hAnsi="Times New Roman"/>
        </w:rPr>
        <w:t>i</w:t>
      </w:r>
      <w:r w:rsidRPr="004D5EB4">
        <w:rPr>
          <w:rFonts w:ascii="Times New Roman" w:hAnsi="Times New Roman"/>
        </w:rPr>
        <w:t xml:space="preserve">ndústria </w:t>
      </w:r>
      <w:r w:rsidR="00DB408F" w:rsidRPr="004D5EB4">
        <w:rPr>
          <w:rFonts w:ascii="Times New Roman" w:hAnsi="Times New Roman"/>
        </w:rPr>
        <w:t>n</w:t>
      </w:r>
      <w:r w:rsidRPr="004D5EB4">
        <w:rPr>
          <w:rFonts w:ascii="Times New Roman" w:hAnsi="Times New Roman"/>
        </w:rPr>
        <w:t>acional</w:t>
      </w:r>
      <w:r w:rsidR="00DB408F" w:rsidRPr="004D5EB4">
        <w:rPr>
          <w:rFonts w:ascii="Times New Roman" w:hAnsi="Times New Roman"/>
        </w:rPr>
        <w:t>; s</w:t>
      </w:r>
      <w:r w:rsidRPr="004D5EB4">
        <w:rPr>
          <w:rFonts w:ascii="Times New Roman" w:hAnsi="Times New Roman"/>
        </w:rPr>
        <w:t>istema de Preços de Combustíveis</w:t>
      </w:r>
      <w:r w:rsidR="00D958FA">
        <w:rPr>
          <w:rFonts w:ascii="Times New Roman" w:hAnsi="Times New Roman"/>
        </w:rPr>
        <w:t>. A</w:t>
      </w:r>
      <w:r w:rsidRPr="004D5EB4">
        <w:rPr>
          <w:rFonts w:ascii="Times New Roman" w:hAnsi="Times New Roman"/>
        </w:rPr>
        <w:t xml:space="preserve"> produção agrícola comercial do Cerrado já nasceu baseada em um sistema fortemente mecanizado, com alto consumo de combustíveis nas máquinas e equipamentos. Como a </w:t>
      </w:r>
      <w:r w:rsidR="00BE3B81" w:rsidRPr="004D5EB4">
        <w:rPr>
          <w:rFonts w:ascii="Times New Roman" w:hAnsi="Times New Roman"/>
        </w:rPr>
        <w:t>distância</w:t>
      </w:r>
      <w:r w:rsidRPr="004D5EB4">
        <w:rPr>
          <w:rFonts w:ascii="Times New Roman" w:hAnsi="Times New Roman"/>
        </w:rPr>
        <w:t xml:space="preserve"> entre a refinaria e as áreas produtivas do Cerrado eram muito grandes (1.500 km em média), o custo de transporte era muito elevado para os produtores, e para amenizar este problema, foi criado o mecanismo do FUP (Fundo de Preços Uniformes de Frete), fazendo com que os consumidores de petróleo das regiões de fronteira agrícola pagassem os mesmos preços dos residentes nos centros urbanos, próximos às refinarias</w:t>
      </w:r>
      <w:r w:rsidR="00FD0F3E" w:rsidRPr="004D5EB4">
        <w:rPr>
          <w:rFonts w:ascii="Times New Roman" w:hAnsi="Times New Roman"/>
        </w:rPr>
        <w:t>.</w:t>
      </w:r>
      <w:r w:rsidR="00DB408F" w:rsidRPr="004D5EB4">
        <w:rPr>
          <w:rFonts w:ascii="Times New Roman" w:hAnsi="Times New Roman"/>
        </w:rPr>
        <w:t xml:space="preserve"> </w:t>
      </w:r>
      <w:r w:rsidRPr="004D5EB4">
        <w:rPr>
          <w:rFonts w:ascii="Times New Roman" w:hAnsi="Times New Roman"/>
        </w:rPr>
        <w:t xml:space="preserve">Podemos extrair, portanto, que num primeiro momento (a partir da década de 70), fatores políticos foram decisivos para o processo de territorialização e implementação da agricultura no Cerrado. Já nesse período, começava a se configurar uma dinâmica de produção voltada </w:t>
      </w:r>
      <w:r w:rsidR="00FD0F3E" w:rsidRPr="004D5EB4">
        <w:rPr>
          <w:rFonts w:ascii="Times New Roman" w:hAnsi="Times New Roman"/>
        </w:rPr>
        <w:t>às</w:t>
      </w:r>
      <w:r w:rsidRPr="004D5EB4">
        <w:rPr>
          <w:rFonts w:ascii="Times New Roman" w:hAnsi="Times New Roman"/>
        </w:rPr>
        <w:t xml:space="preserve"> monoculturas. </w:t>
      </w:r>
    </w:p>
    <w:p w:rsidR="00FD0F3E" w:rsidRPr="004D5EB4" w:rsidRDefault="00FD0F3E" w:rsidP="004D5EB4">
      <w:pPr>
        <w:rPr>
          <w:rFonts w:ascii="Times New Roman" w:hAnsi="Times New Roman"/>
        </w:rPr>
      </w:pPr>
      <w:r w:rsidRPr="004D5EB4">
        <w:rPr>
          <w:rFonts w:ascii="Times New Roman" w:hAnsi="Times New Roman"/>
        </w:rPr>
        <w:t xml:space="preserve">Uma região que teve expressivo aumento de produção agrícola e tem grande destaque, inclusive internacionalmente, é conhecida como Matopiba, que compreende as áreas de Cerrado dos estados do Maranhão, Tocantins, Piauí e Bahia. De acordo com Bragança </w:t>
      </w:r>
      <w:r w:rsidR="005F3586" w:rsidRPr="004D5EB4">
        <w:rPr>
          <w:rFonts w:ascii="Times New Roman" w:hAnsi="Times New Roman"/>
        </w:rPr>
        <w:fldChar w:fldCharType="begin" w:fldLock="1"/>
      </w:r>
      <w:r w:rsidRPr="004D5EB4">
        <w:rPr>
          <w:rFonts w:ascii="Times New Roman" w:hAnsi="Times New Roman"/>
        </w:rPr>
        <w:instrText>ADDIN CSL_CITATION {"citationItems":[{"id":"ITEM-1","itemData":{"DOI":"10.5935/0034-7140.20180008","ISSN":"0034-7140","abstract":"This paper examines the consequences of the agricultural expansion in the Matopiba-areas from the states of Maranhão, Tocantins, Piauí and Bahia located in the Cerrado biome. Comparing municipalities from these four states located inside and outside the Cerrado biome, it finds that agricultural production evolved similarly in these groups of municipalities until the late 1990s when it started to increase faster in municipalities inside the Cerrado. The growth in agricultural production led to increases in GDP per capita and access to durable goods and basic infrastructure. Keywords: Agriculture, Development, Agricultural Frontier. * I thank Laisa Rachter for excellent comments and suggestions and the Child Investment Fund Foundation (CIFF) for generous financial support. All errors are my own.","author":[{"dropping-particle":"","family":"Bragança","given":"Arthur","non-dropping-particle":"","parse-names":false,"suffix":""}],"container-title":"INPUT","id":"ITEM-1","issued":{"date-parts":[["2015"]]},"page":"39","title":"The Causes and Consequences of Agricultural Expansion in Matopiba","type":"article-journal"},"suppress-author":1,"uris":["http://www.mendeley.com/documents/?uuid=3615811f-a31a-3ef2-92f7-1890b4c77292"]}],"mendeley":{"formattedCitation":"(2015)","plainTextFormattedCitation":"(2015)","previouslyFormattedCitation":"(2015)"},"properties":{"noteIndex":0},"schema":"https://github.com/citation-style-language/schema/raw/master/csl-citation.json"}</w:instrText>
      </w:r>
      <w:r w:rsidR="005F3586" w:rsidRPr="004D5EB4">
        <w:rPr>
          <w:rFonts w:ascii="Times New Roman" w:hAnsi="Times New Roman"/>
        </w:rPr>
        <w:fldChar w:fldCharType="separate"/>
      </w:r>
      <w:r w:rsidRPr="004D5EB4">
        <w:rPr>
          <w:rFonts w:ascii="Times New Roman" w:hAnsi="Times New Roman"/>
          <w:noProof/>
        </w:rPr>
        <w:t>(2015)</w:t>
      </w:r>
      <w:r w:rsidR="005F3586" w:rsidRPr="004D5EB4">
        <w:rPr>
          <w:rFonts w:ascii="Times New Roman" w:hAnsi="Times New Roman"/>
        </w:rPr>
        <w:fldChar w:fldCharType="end"/>
      </w:r>
      <w:r w:rsidRPr="004D5EB4">
        <w:rPr>
          <w:rFonts w:ascii="Times New Roman" w:hAnsi="Times New Roman"/>
        </w:rPr>
        <w:t xml:space="preserve">, a produção de soja no Matopiba aumentou quase seis vezes entre 1995 e 2012, dobrando sua participação na produção brasileira e atraindo novos produtores e </w:t>
      </w:r>
      <w:r w:rsidRPr="004D5EB4">
        <w:rPr>
          <w:rFonts w:ascii="Times New Roman" w:hAnsi="Times New Roman"/>
          <w:i/>
        </w:rPr>
        <w:t>traiders</w:t>
      </w:r>
      <w:r w:rsidRPr="004D5EB4">
        <w:rPr>
          <w:rFonts w:ascii="Times New Roman" w:hAnsi="Times New Roman"/>
        </w:rPr>
        <w:t xml:space="preserve"> multinacionais a abrirem unidades na região. Em 1995, a área cultivada em soja era menor que 600.000 hectares, produzindo cerca de 1,3 milhão de toneladas e gerando receita de R$ 600 milhões. Com o avanço agrícola, em 2012 a produção de soja já ocupava mais de 2,5 milhões de hectares, produzindo mais de 7 milhões de toneladas e gerando receitas superiores a R$ 5,5 bilhões. Esse impressionante crescimento, no entanto, se baseia em uma produção altamente mecanizada e em grandes fazendas, portanto, há preocupações de que os benefícios gerados possam não beneficiar as comunidades como um todo.</w:t>
      </w:r>
    </w:p>
    <w:p w:rsidR="00FD0F3E" w:rsidRPr="004D5EB4" w:rsidRDefault="00FD0F3E" w:rsidP="004D5EB4">
      <w:pPr>
        <w:rPr>
          <w:rFonts w:ascii="Times New Roman" w:hAnsi="Times New Roman"/>
        </w:rPr>
      </w:pPr>
      <w:r w:rsidRPr="004D5EB4">
        <w:rPr>
          <w:rFonts w:ascii="Times New Roman" w:hAnsi="Times New Roman"/>
        </w:rPr>
        <w:t>Mueller e Junior (2008) classificaram e ordenaram sete regiões consideradas dinâmicas em relação à agropecuária do Cerrado. A partir delas, eles analisaram os principais fatores de crescimento econômico no período de 1999 a 2004. Eles tentaram explicar a taxa de crescimento do PIB real per capita dos municípios das sete regiões, utilizando as seguintes variáveis explicativas: valor do PIB real per capita, crescimento médio anual da área com lavouras temporárias, crescimento anual do efetivo de bovinos, densidade de bovinos, taxa média anual de crescimento demográfico, densidade demográfica, proporção do valor adicionado municipal total de 2004, gerado por atividades não-agrícolas, índice do custo de transporte municipal e diferenças entre as regiões. Em resumo, como esperado, os resultados mostraram</w:t>
      </w:r>
      <w:r w:rsidRPr="004D5EB4">
        <w:rPr>
          <w:rFonts w:ascii="Times New Roman" w:hAnsi="Times New Roman"/>
          <w:color w:val="222222"/>
        </w:rPr>
        <w:t xml:space="preserve"> </w:t>
      </w:r>
      <w:r w:rsidRPr="004D5EB4">
        <w:rPr>
          <w:rFonts w:ascii="Times New Roman" w:hAnsi="Times New Roman"/>
        </w:rPr>
        <w:t xml:space="preserve">que o momento propício para a agricultura da região gerou taxas consideráveis de crescimento econômico. </w:t>
      </w:r>
    </w:p>
    <w:p w:rsidR="00FD0F3E" w:rsidRPr="004D5EB4" w:rsidRDefault="00632F5C" w:rsidP="004D5EB4">
      <w:pPr>
        <w:rPr>
          <w:rFonts w:ascii="Times New Roman" w:hAnsi="Times New Roman"/>
        </w:rPr>
      </w:pPr>
      <w:r w:rsidRPr="004D5EB4">
        <w:rPr>
          <w:rFonts w:ascii="Times New Roman" w:hAnsi="Times New Roman"/>
        </w:rPr>
        <w:t xml:space="preserve">A </w:t>
      </w:r>
      <w:r w:rsidR="005F3586" w:rsidRPr="004D5EB4">
        <w:rPr>
          <w:rFonts w:ascii="Times New Roman" w:hAnsi="Times New Roman"/>
        </w:rPr>
        <w:fldChar w:fldCharType="begin"/>
      </w:r>
      <w:r w:rsidRPr="004D5EB4">
        <w:rPr>
          <w:rFonts w:ascii="Times New Roman" w:hAnsi="Times New Roman"/>
        </w:rPr>
        <w:instrText xml:space="preserve"> REF _Ref4632268 \h </w:instrText>
      </w:r>
      <w:r w:rsidR="004D5EB4">
        <w:rPr>
          <w:rFonts w:ascii="Times New Roman" w:hAnsi="Times New Roman"/>
        </w:rPr>
        <w:instrText xml:space="preserve"> \* MERGEFORMAT </w:instrText>
      </w:r>
      <w:r w:rsidR="005F3586" w:rsidRPr="004D5EB4">
        <w:rPr>
          <w:rFonts w:ascii="Times New Roman" w:hAnsi="Times New Roman"/>
        </w:rPr>
      </w:r>
      <w:r w:rsidR="005F3586" w:rsidRPr="004D5EB4">
        <w:rPr>
          <w:rFonts w:ascii="Times New Roman" w:hAnsi="Times New Roman"/>
        </w:rPr>
        <w:fldChar w:fldCharType="separate"/>
      </w:r>
      <w:r w:rsidRPr="004D5EB4">
        <w:rPr>
          <w:rFonts w:ascii="Times New Roman" w:hAnsi="Times New Roman"/>
        </w:rPr>
        <w:t xml:space="preserve">Figura </w:t>
      </w:r>
      <w:r w:rsidRPr="004D5EB4">
        <w:rPr>
          <w:rFonts w:ascii="Times New Roman" w:hAnsi="Times New Roman"/>
          <w:noProof/>
        </w:rPr>
        <w:t>1</w:t>
      </w:r>
      <w:r w:rsidR="005F3586" w:rsidRPr="004D5EB4">
        <w:rPr>
          <w:rFonts w:ascii="Times New Roman" w:hAnsi="Times New Roman"/>
        </w:rPr>
        <w:fldChar w:fldCharType="end"/>
      </w:r>
      <w:r w:rsidR="00F8537E" w:rsidRPr="004D5EB4">
        <w:rPr>
          <w:rFonts w:ascii="Times New Roman" w:hAnsi="Times New Roman"/>
        </w:rPr>
        <w:t>,</w:t>
      </w:r>
      <w:r w:rsidR="00FD0F3E" w:rsidRPr="004D5EB4">
        <w:rPr>
          <w:rFonts w:ascii="Times New Roman" w:hAnsi="Times New Roman"/>
          <w:color w:val="FF0000"/>
        </w:rPr>
        <w:t xml:space="preserve"> </w:t>
      </w:r>
      <w:r w:rsidR="00FD0F3E" w:rsidRPr="004D5EB4">
        <w:rPr>
          <w:rFonts w:ascii="Times New Roman" w:hAnsi="Times New Roman"/>
          <w:color w:val="000000"/>
        </w:rPr>
        <w:t>elaborad</w:t>
      </w:r>
      <w:r w:rsidRPr="004D5EB4">
        <w:rPr>
          <w:rFonts w:ascii="Times New Roman" w:hAnsi="Times New Roman"/>
          <w:color w:val="000000"/>
        </w:rPr>
        <w:t>a</w:t>
      </w:r>
      <w:r w:rsidR="00FD0F3E" w:rsidRPr="004D5EB4">
        <w:rPr>
          <w:rFonts w:ascii="Times New Roman" w:hAnsi="Times New Roman"/>
          <w:color w:val="000000"/>
        </w:rPr>
        <w:t xml:space="preserve"> a partir dos dados do Censo Agropecuário de 2017 do IBGE,</w:t>
      </w:r>
      <w:r w:rsidR="00FD0F3E" w:rsidRPr="004D5EB4">
        <w:rPr>
          <w:rFonts w:ascii="Times New Roman" w:hAnsi="Times New Roman"/>
        </w:rPr>
        <w:t xml:space="preserve"> apresenta o percentual de uso do solo por tipo de ocupação nos estabelecimentos agropecuários do bioma Cerrado.</w:t>
      </w:r>
      <w:r w:rsidR="00FD0F3E" w:rsidRPr="004D5EB4">
        <w:rPr>
          <w:rFonts w:ascii="Times New Roman" w:hAnsi="Times New Roman"/>
          <w:color w:val="FF0000"/>
        </w:rPr>
        <w:t xml:space="preserve"> </w:t>
      </w:r>
    </w:p>
    <w:p w:rsidR="00FD0F3E" w:rsidRPr="004D5EB4" w:rsidRDefault="00FD0F3E" w:rsidP="004D5EB4">
      <w:pPr>
        <w:rPr>
          <w:rFonts w:ascii="Times New Roman" w:hAnsi="Times New Roman"/>
        </w:rPr>
      </w:pPr>
    </w:p>
    <w:p w:rsidR="00632F5C" w:rsidRPr="004D5EB4" w:rsidRDefault="00632F5C" w:rsidP="004D5EB4">
      <w:pPr>
        <w:pStyle w:val="QUADROSeTABELAS"/>
        <w:spacing w:line="360" w:lineRule="auto"/>
        <w:rPr>
          <w:rFonts w:ascii="Times New Roman" w:hAnsi="Times New Roman" w:cs="Times New Roman"/>
        </w:rPr>
      </w:pPr>
      <w:bookmarkStart w:id="5" w:name="_Ref4632268"/>
      <w:bookmarkStart w:id="6" w:name="_Toc4632701"/>
      <w:r w:rsidRPr="004D5EB4">
        <w:rPr>
          <w:rFonts w:ascii="Times New Roman" w:hAnsi="Times New Roman" w:cs="Times New Roman"/>
        </w:rPr>
        <w:lastRenderedPageBreak/>
        <w:t xml:space="preserve">Figura </w:t>
      </w:r>
      <w:r w:rsidR="00B5266F" w:rsidRPr="004D5EB4">
        <w:rPr>
          <w:rFonts w:ascii="Times New Roman" w:hAnsi="Times New Roman" w:cs="Times New Roman"/>
        </w:rPr>
        <w:fldChar w:fldCharType="begin"/>
      </w:r>
      <w:r w:rsidR="00B5266F" w:rsidRPr="004D5EB4">
        <w:rPr>
          <w:rFonts w:ascii="Times New Roman" w:hAnsi="Times New Roman" w:cs="Times New Roman"/>
        </w:rPr>
        <w:instrText xml:space="preserve"> SEQ Figura \* ARABIC </w:instrText>
      </w:r>
      <w:r w:rsidR="00B5266F" w:rsidRPr="004D5EB4">
        <w:rPr>
          <w:rFonts w:ascii="Times New Roman" w:hAnsi="Times New Roman" w:cs="Times New Roman"/>
        </w:rPr>
        <w:fldChar w:fldCharType="separate"/>
      </w:r>
      <w:r w:rsidRPr="004D5EB4">
        <w:rPr>
          <w:rFonts w:ascii="Times New Roman" w:hAnsi="Times New Roman" w:cs="Times New Roman"/>
          <w:noProof/>
        </w:rPr>
        <w:t>1</w:t>
      </w:r>
      <w:r w:rsidR="00B5266F" w:rsidRPr="004D5EB4">
        <w:rPr>
          <w:rFonts w:ascii="Times New Roman" w:hAnsi="Times New Roman" w:cs="Times New Roman"/>
          <w:noProof/>
        </w:rPr>
        <w:fldChar w:fldCharType="end"/>
      </w:r>
      <w:bookmarkEnd w:id="5"/>
      <w:r w:rsidRPr="004D5EB4">
        <w:rPr>
          <w:rFonts w:ascii="Times New Roman" w:hAnsi="Times New Roman" w:cs="Times New Roman"/>
        </w:rPr>
        <w:t xml:space="preserve"> Área dos estabelecimentos agropecuários por utilização das terras</w:t>
      </w:r>
      <w:bookmarkEnd w:id="6"/>
    </w:p>
    <w:p w:rsidR="00F8537E" w:rsidRPr="004D5EB4" w:rsidRDefault="00FD0F3E" w:rsidP="004D5EB4">
      <w:pPr>
        <w:keepNext/>
        <w:ind w:firstLine="0"/>
        <w:rPr>
          <w:rFonts w:ascii="Times New Roman" w:hAnsi="Times New Roman"/>
        </w:rPr>
      </w:pPr>
      <w:r w:rsidRPr="004D5EB4">
        <w:rPr>
          <w:rFonts w:ascii="Times New Roman" w:hAnsi="Times New Roman"/>
          <w:noProof/>
          <w:lang w:eastAsia="pt-BR"/>
        </w:rPr>
        <w:drawing>
          <wp:inline distT="0" distB="0" distL="0" distR="0">
            <wp:extent cx="5712616" cy="3640347"/>
            <wp:effectExtent l="0" t="0" r="2540" b="1778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8537E" w:rsidRPr="004D5EB4" w:rsidRDefault="00F8537E" w:rsidP="004D5EB4">
      <w:pPr>
        <w:ind w:firstLine="0"/>
        <w:rPr>
          <w:rFonts w:ascii="Times New Roman" w:hAnsi="Times New Roman"/>
        </w:rPr>
      </w:pPr>
      <w:r w:rsidRPr="004D5EB4">
        <w:rPr>
          <w:rFonts w:ascii="Times New Roman" w:hAnsi="Times New Roman"/>
        </w:rPr>
        <w:t>Fonte:</w:t>
      </w:r>
      <w:r w:rsidR="00070A3D" w:rsidRPr="004D5EB4">
        <w:rPr>
          <w:rFonts w:ascii="Times New Roman" w:hAnsi="Times New Roman"/>
        </w:rPr>
        <w:t xml:space="preserve"> elaboração própria a partir dos dados do</w:t>
      </w:r>
      <w:r w:rsidRPr="004D5EB4">
        <w:rPr>
          <w:rFonts w:ascii="Times New Roman" w:hAnsi="Times New Roman"/>
        </w:rPr>
        <w:t xml:space="preserve"> Censo Agropecuário, IBGE </w:t>
      </w:r>
      <w:r w:rsidR="00070A3D" w:rsidRPr="004D5EB4">
        <w:rPr>
          <w:rFonts w:ascii="Times New Roman" w:hAnsi="Times New Roman"/>
        </w:rPr>
        <w:t>(</w:t>
      </w:r>
      <w:r w:rsidRPr="004D5EB4">
        <w:rPr>
          <w:rFonts w:ascii="Times New Roman" w:hAnsi="Times New Roman"/>
        </w:rPr>
        <w:t>2017</w:t>
      </w:r>
      <w:r w:rsidR="00070A3D" w:rsidRPr="004D5EB4">
        <w:rPr>
          <w:rFonts w:ascii="Times New Roman" w:hAnsi="Times New Roman"/>
        </w:rPr>
        <w:t>)</w:t>
      </w:r>
    </w:p>
    <w:p w:rsidR="00F8537E" w:rsidRPr="004D5EB4" w:rsidRDefault="00F8537E" w:rsidP="004D5EB4">
      <w:pPr>
        <w:rPr>
          <w:rFonts w:ascii="Times New Roman" w:hAnsi="Times New Roman"/>
        </w:rPr>
      </w:pPr>
    </w:p>
    <w:p w:rsidR="00F8537E" w:rsidRPr="004D5EB4" w:rsidRDefault="00F8537E" w:rsidP="004D5EB4">
      <w:pPr>
        <w:rPr>
          <w:rFonts w:ascii="Times New Roman" w:hAnsi="Times New Roman"/>
        </w:rPr>
      </w:pPr>
      <w:r w:rsidRPr="004D5EB4">
        <w:rPr>
          <w:rFonts w:ascii="Times New Roman" w:hAnsi="Times New Roman"/>
          <w:color w:val="000000"/>
        </w:rPr>
        <w:t>As pastagens</w:t>
      </w:r>
      <w:r w:rsidRPr="004D5EB4">
        <w:rPr>
          <w:rFonts w:ascii="Times New Roman" w:hAnsi="Times New Roman"/>
        </w:rPr>
        <w:t xml:space="preserve"> representam 46% da área dos estabelecimentos no Cerrado. Filho e Costa </w:t>
      </w:r>
      <w:r w:rsidR="005F3586" w:rsidRPr="004D5EB4">
        <w:rPr>
          <w:rFonts w:ascii="Times New Roman" w:hAnsi="Times New Roman"/>
        </w:rPr>
        <w:fldChar w:fldCharType="begin" w:fldLock="1"/>
      </w:r>
      <w:r w:rsidRPr="004D5EB4">
        <w:rPr>
          <w:rFonts w:ascii="Times New Roman" w:hAnsi="Times New Roman"/>
        </w:rPr>
        <w:instrText>ADDIN CSL_CITATION {"citationItems":[{"id":"ITEM-1","itemData":{"author":[{"dropping-particle":"","family":"Filho","given":"Arnaldo Carneiro","non-dropping-particle":"","parse-names":false,"suffix":""},{"dropping-particle":"","family":"Costa","given":"Karine","non-dropping-particle":"","parse-names":false,"suffix":""}],"container-title":"INPUT","id":"ITEM-1","issued":{"date-parts":[["2016"]]},"page":"28","title":"The expansion of soybean production in the Cerrado","type":"article-journal"},"suppress-author":1,"uris":["http://www.mendeley.com/documents/?uuid=097cd577-32fb-4d4b-ad8e-4a9cd5f9ff1b"]}],"mendeley":{"formattedCitation":"(2016)","plainTextFormattedCitation":"(2016)","previouslyFormattedCitation":"(2016)"},"properties":{"noteIndex":0},"schema":"https://github.com/citation-style-language/schema/raw/master/csl-citation.json"}</w:instrText>
      </w:r>
      <w:r w:rsidR="005F3586" w:rsidRPr="004D5EB4">
        <w:rPr>
          <w:rFonts w:ascii="Times New Roman" w:hAnsi="Times New Roman"/>
        </w:rPr>
        <w:fldChar w:fldCharType="separate"/>
      </w:r>
      <w:r w:rsidRPr="004D5EB4">
        <w:rPr>
          <w:rFonts w:ascii="Times New Roman" w:hAnsi="Times New Roman"/>
          <w:noProof/>
        </w:rPr>
        <w:t>(2016)</w:t>
      </w:r>
      <w:r w:rsidR="005F3586" w:rsidRPr="004D5EB4">
        <w:rPr>
          <w:rFonts w:ascii="Times New Roman" w:hAnsi="Times New Roman"/>
        </w:rPr>
        <w:fldChar w:fldCharType="end"/>
      </w:r>
      <w:r w:rsidRPr="004D5EB4">
        <w:rPr>
          <w:rFonts w:ascii="Times New Roman" w:hAnsi="Times New Roman"/>
        </w:rPr>
        <w:t xml:space="preserve"> mostram que uma grande oportunidade de expansão agrícola de forma sustentável e sem que haja avanço em vegetação nativa pode ser alcançada em áreas já abertas, evitando desmatamento, mas para isso é preciso que essas áreas possuam condições favoráveis de produção, em termos de qualidade do solo, precipitação e temperatura. Ao buscar no Cerrado áreas com essas características, encontra-se grandes quantidades de áreas de pastagem com subutilização pela pecuária, chegando a apresentar lotação inferior a 1 cabeça/ha. Os autores mostram que seria possível intensificar a atividade da pecuária, melhorando o rendimento desse setor e liberando áreas para a agricultura.  </w:t>
      </w:r>
    </w:p>
    <w:p w:rsidR="00FA0934" w:rsidRPr="004608A8" w:rsidRDefault="00FA0934" w:rsidP="004D5EB4">
      <w:pPr>
        <w:rPr>
          <w:rFonts w:ascii="Times New Roman" w:hAnsi="Times New Roman"/>
        </w:rPr>
      </w:pPr>
    </w:p>
    <w:p w:rsidR="00F8537E" w:rsidRPr="004608A8" w:rsidRDefault="00026328" w:rsidP="00F8537E">
      <w:pPr>
        <w:pStyle w:val="Ttulo1"/>
        <w:rPr>
          <w:rFonts w:ascii="Times New Roman" w:hAnsi="Times New Roman" w:cs="Times New Roman"/>
        </w:rPr>
      </w:pPr>
      <w:bookmarkStart w:id="7" w:name="_Toc527532377"/>
      <w:bookmarkStart w:id="8" w:name="_Toc4632595"/>
      <w:r>
        <w:rPr>
          <w:rFonts w:ascii="Times New Roman" w:hAnsi="Times New Roman" w:cs="Times New Roman"/>
        </w:rPr>
        <w:t>3</w:t>
      </w:r>
      <w:r w:rsidR="00F8537E" w:rsidRPr="004608A8">
        <w:rPr>
          <w:rFonts w:ascii="Times New Roman" w:hAnsi="Times New Roman" w:cs="Times New Roman"/>
        </w:rPr>
        <w:t xml:space="preserve"> METODOLOGIA</w:t>
      </w:r>
      <w:bookmarkEnd w:id="7"/>
      <w:bookmarkEnd w:id="8"/>
    </w:p>
    <w:p w:rsidR="00F8537E" w:rsidRPr="004608A8" w:rsidRDefault="00F8537E" w:rsidP="00F8537E">
      <w:pPr>
        <w:ind w:firstLine="0"/>
        <w:rPr>
          <w:rFonts w:ascii="Times New Roman" w:hAnsi="Times New Roman"/>
        </w:rPr>
      </w:pPr>
    </w:p>
    <w:p w:rsidR="00F8537E" w:rsidRPr="004608A8" w:rsidRDefault="00F8537E" w:rsidP="00F8537E">
      <w:pPr>
        <w:rPr>
          <w:rFonts w:ascii="Times New Roman" w:hAnsi="Times New Roman"/>
        </w:rPr>
      </w:pPr>
      <w:r w:rsidRPr="004608A8">
        <w:rPr>
          <w:rFonts w:ascii="Times New Roman" w:hAnsi="Times New Roman"/>
        </w:rPr>
        <w:t xml:space="preserve">Para a realização do estudo espacial do bioma Cerrado, utilizamos as malhas digitais disponibilizadas pelo IBGE. A divisão político administrativa municipal utilizada foi a vigente em 01/07/2015 (mais atual disponível). Para a delimitação do bioma, utilizou-se o mapa também do IBGE, lançado em 2004. </w:t>
      </w:r>
    </w:p>
    <w:p w:rsidR="00F8537E" w:rsidRPr="004608A8" w:rsidRDefault="00F8537E" w:rsidP="00F8537E">
      <w:pPr>
        <w:rPr>
          <w:rFonts w:ascii="Times New Roman" w:hAnsi="Times New Roman"/>
        </w:rPr>
      </w:pPr>
      <w:r w:rsidRPr="004608A8">
        <w:rPr>
          <w:rFonts w:ascii="Times New Roman" w:hAnsi="Times New Roman"/>
        </w:rPr>
        <w:t xml:space="preserve">De acordo com esse limite, o bioma ocupa uma área de 204.667.716 hectares, e está presente nas seguintes unidades federativas: Distrito Federal (em sua totalidade), Goiás (97%), Tocantins (91%) Maranhão (65%), Mato Grosso do Sul (61%), Minas Gerais (57%), Mato Grosso (40%), Piauí (37%), São Paulo (33%), Bahia (27%), Paraná (2%), e Rondônia (0,2%). </w:t>
      </w:r>
    </w:p>
    <w:p w:rsidR="00D66E47" w:rsidRPr="004608A8" w:rsidRDefault="00F8537E" w:rsidP="002329BE">
      <w:pPr>
        <w:rPr>
          <w:rFonts w:ascii="Times New Roman" w:hAnsi="Times New Roman"/>
        </w:rPr>
      </w:pPr>
      <w:r w:rsidRPr="004608A8">
        <w:rPr>
          <w:rFonts w:ascii="Times New Roman" w:hAnsi="Times New Roman"/>
        </w:rPr>
        <w:lastRenderedPageBreak/>
        <w:t xml:space="preserve">O Cerrado abrange um total de 1.389 municípios, porém, assim como nos Estados, alguns municípios não são totalmente cobertos por esse tipo de vegetação. Como trabalhamos com dados municipais, estaríamos “contaminando” nossa base de dados caso mantivéssemos aqueles municípios cujo porção de Cerrado é muito pequena. Para solucionar esse problema, mesclamos o mapa do bioma com o mapa dos municípios, e aplicamos um corte de área, selecionando apenas os municípios que possuem acima de 50% de sua área dentro do Cerrado. Essa delimitação resultou em um total de 1107 municípios, que garantiu uma disponibilidade de dados relativamente boa considerando-se o tamanho da região analisada e uma fina resolução espacial. </w:t>
      </w:r>
      <w:bookmarkStart w:id="9" w:name="_Toc527532379"/>
      <w:bookmarkStart w:id="10" w:name="_Toc4632597"/>
    </w:p>
    <w:p w:rsidR="002329BE" w:rsidRPr="004608A8" w:rsidRDefault="002329BE" w:rsidP="002329BE">
      <w:pPr>
        <w:rPr>
          <w:rFonts w:ascii="Times New Roman" w:hAnsi="Times New Roman"/>
        </w:rPr>
      </w:pPr>
    </w:p>
    <w:p w:rsidR="0029078A" w:rsidRPr="004608A8" w:rsidRDefault="00026328" w:rsidP="0029078A">
      <w:pPr>
        <w:pStyle w:val="Ttulo2"/>
        <w:rPr>
          <w:rFonts w:ascii="Times New Roman" w:hAnsi="Times New Roman" w:cs="Times New Roman"/>
        </w:rPr>
      </w:pPr>
      <w:r>
        <w:rPr>
          <w:rFonts w:ascii="Times New Roman" w:hAnsi="Times New Roman" w:cs="Times New Roman"/>
        </w:rPr>
        <w:t>3.1</w:t>
      </w:r>
      <w:r w:rsidR="0029078A" w:rsidRPr="004608A8">
        <w:rPr>
          <w:rFonts w:ascii="Times New Roman" w:hAnsi="Times New Roman" w:cs="Times New Roman"/>
        </w:rPr>
        <w:t xml:space="preserve"> Diversificação de culturas: Índice de Shannon</w:t>
      </w:r>
      <w:bookmarkEnd w:id="9"/>
      <w:bookmarkEnd w:id="10"/>
    </w:p>
    <w:p w:rsidR="0029078A" w:rsidRPr="004608A8" w:rsidRDefault="0029078A" w:rsidP="0029078A">
      <w:pPr>
        <w:rPr>
          <w:rFonts w:ascii="Times New Roman" w:hAnsi="Times New Roman"/>
        </w:rPr>
      </w:pPr>
      <w:r w:rsidRPr="004608A8">
        <w:rPr>
          <w:rFonts w:ascii="Times New Roman" w:hAnsi="Times New Roman"/>
        </w:rPr>
        <w:t xml:space="preserve">No ambiente da agropecuária a diversificação pode estar relacionada com diferentes atividades, incluindo a produção de diferentes tipos de culturas, como lavouras permanentes, temporárias, silvicultura, piscicultura, pecuária, além de poder apresentar diversas variedades genéticas numa mesma cultura </w:t>
      </w:r>
      <w:r w:rsidR="005F3586" w:rsidRPr="004608A8">
        <w:rPr>
          <w:rFonts w:ascii="Times New Roman" w:hAnsi="Times New Roman"/>
        </w:rPr>
        <w:fldChar w:fldCharType="begin" w:fldLock="1"/>
      </w:r>
      <w:r w:rsidRPr="004608A8">
        <w:rPr>
          <w:rFonts w:ascii="Times New Roman" w:hAnsi="Times New Roman"/>
        </w:rPr>
        <w:instrText>ADDIN CSL_CITATION {"citationItems":[{"id":"ITEM-1","itemData":{"ISBN":"978-85-7811-237-0","author":[{"dropping-particle":"","family":"Sambuichi","given":"Regina Helena Rosa","non-dropping-particle":"","parse-names":false,"suffix":""},{"dropping-particle":"","family":"Galindo","given":"Ernesto Pereira","non-dropping-particle":"","parse-names":false,"suffix":""},{"dropping-particle":"de","family":"Oliveira","given":"Michel Ângelo Constantino","non-dropping-particle":"","parse-names":false,"suffix":""},{"dropping-particle":"","family":"Pereira","given":"Rodrigo Mendes","non-dropping-particle":"","parse-names":false,"suffix":""}],"chapter-number":"3","container-title":"Brasil em Desenvolvimento: Estado, planejamento e políticas públicas","editor":[{"dropping-particle":"","family":"Monasterio","given":"Leonardo Monteiro","non-dropping-particle":"","parse-names":false,"suffix":""},{"dropping-particle":"","family":"Neri","given":"Marcelo Côrtes","non-dropping-particle":"","parse-names":false,"suffix":""},{"dropping-particle":"","family":"Soares","given":"Sergei Suarez Dillon","non-dropping-particle":"","parse-names":false,"suffix":""}],"id":"ITEM-1","issued":{"date-parts":[["2014"]]},"page":"61-84","publisher":"Instituto de Pesquisa Econômica Aplicada (Ipea)","title":"A diversificação produtiva como forma de viabilizar o desenvolvimento sustentável da agricultura familiar no Brasil","type":"chapter","volume":"2"},"uris":["http://www.mendeley.com/documents/?uuid=fce25d7d-dba8-33d2-8bd8-96365b8213d8"]}],"mendeley":{"formattedCitation":"(SAMBUICHI et al., 2014)","manualFormatting":"(SAMBUICHI, GALINDO, OLIVEIRA, &amp; PEREIRA, 2014)","plainTextFormattedCitation":"(SAMBUICHI et al., 2014)","previouslyFormattedCitation":"(SAMBUICHI et al., 2014)"},"properties":{"noteIndex":0},"schema":"https://github.com/citation-style-language/schema/raw/master/csl-citation.json"}</w:instrText>
      </w:r>
      <w:r w:rsidR="005F3586" w:rsidRPr="004608A8">
        <w:rPr>
          <w:rFonts w:ascii="Times New Roman" w:hAnsi="Times New Roman"/>
        </w:rPr>
        <w:fldChar w:fldCharType="separate"/>
      </w:r>
      <w:r w:rsidRPr="004608A8">
        <w:rPr>
          <w:rFonts w:ascii="Times New Roman" w:hAnsi="Times New Roman"/>
          <w:noProof/>
        </w:rPr>
        <w:t>(SAMBUICHI, GALINDO, OLIVEIRA, &amp; PEREIRA, 2014)</w:t>
      </w:r>
      <w:r w:rsidR="005F3586" w:rsidRPr="004608A8">
        <w:rPr>
          <w:rFonts w:ascii="Times New Roman" w:hAnsi="Times New Roman"/>
        </w:rPr>
        <w:fldChar w:fldCharType="end"/>
      </w:r>
      <w:r w:rsidRPr="004608A8">
        <w:rPr>
          <w:rFonts w:ascii="Times New Roman" w:hAnsi="Times New Roman"/>
        </w:rPr>
        <w:t>.</w:t>
      </w:r>
    </w:p>
    <w:p w:rsidR="00D66E47" w:rsidRPr="004608A8" w:rsidRDefault="0029078A" w:rsidP="0029078A">
      <w:pPr>
        <w:rPr>
          <w:rFonts w:ascii="Times New Roman" w:hAnsi="Times New Roman"/>
        </w:rPr>
      </w:pPr>
      <w:r w:rsidRPr="004608A8">
        <w:rPr>
          <w:rFonts w:ascii="Times New Roman" w:hAnsi="Times New Roman"/>
        </w:rPr>
        <w:t>Neste trabalho, optamos por trabalhar com a diversi</w:t>
      </w:r>
      <w:r w:rsidR="0011420E" w:rsidRPr="004608A8">
        <w:rPr>
          <w:rFonts w:ascii="Times New Roman" w:hAnsi="Times New Roman"/>
        </w:rPr>
        <w:t>ficação</w:t>
      </w:r>
      <w:r w:rsidRPr="004608A8">
        <w:rPr>
          <w:rFonts w:ascii="Times New Roman" w:hAnsi="Times New Roman"/>
        </w:rPr>
        <w:t xml:space="preserve"> d</w:t>
      </w:r>
      <w:r w:rsidR="0011420E" w:rsidRPr="004608A8">
        <w:rPr>
          <w:rFonts w:ascii="Times New Roman" w:hAnsi="Times New Roman"/>
        </w:rPr>
        <w:t>o valor da</w:t>
      </w:r>
      <w:r w:rsidRPr="004608A8">
        <w:rPr>
          <w:rFonts w:ascii="Times New Roman" w:hAnsi="Times New Roman"/>
        </w:rPr>
        <w:t xml:space="preserve"> produção agropecuária num primeiro momento, </w:t>
      </w:r>
      <w:r w:rsidR="0011420E" w:rsidRPr="004608A8">
        <w:rPr>
          <w:rFonts w:ascii="Times New Roman" w:hAnsi="Times New Roman"/>
        </w:rPr>
        <w:t>buscando considerar na análise o máximo de atividades produtivas disponíveis em dados recentes</w:t>
      </w:r>
      <w:r w:rsidR="00310F35" w:rsidRPr="004608A8">
        <w:rPr>
          <w:rFonts w:ascii="Times New Roman" w:hAnsi="Times New Roman"/>
        </w:rPr>
        <w:t>, portanto, calculamos o quão diversificado o município é, considerando a agricultura de culturas temporárias e permanentes, a silvicultura, a extração vegetal, e a pecuária. A decisão de se considerar o “valor da produção” nessa primeira análise se deu pelo fato de necessitarmos de uma medida em comum entre as atividades, chamaremos este indicador de Shannon-Valor</w:t>
      </w:r>
      <w:r w:rsidR="00D66E47" w:rsidRPr="004608A8">
        <w:rPr>
          <w:rStyle w:val="Refdenotaderodap"/>
          <w:rFonts w:ascii="Times New Roman" w:hAnsi="Times New Roman"/>
        </w:rPr>
        <w:footnoteReference w:id="3"/>
      </w:r>
      <w:r w:rsidR="00310F35" w:rsidRPr="004608A8">
        <w:rPr>
          <w:rFonts w:ascii="Times New Roman" w:hAnsi="Times New Roman"/>
        </w:rPr>
        <w:t xml:space="preserve">. </w:t>
      </w:r>
    </w:p>
    <w:p w:rsidR="0029078A" w:rsidRPr="004608A8" w:rsidRDefault="0029078A" w:rsidP="0029078A">
      <w:pPr>
        <w:rPr>
          <w:rFonts w:ascii="Times New Roman" w:hAnsi="Times New Roman"/>
        </w:rPr>
      </w:pPr>
      <w:r w:rsidRPr="004608A8">
        <w:rPr>
          <w:rFonts w:ascii="Times New Roman" w:hAnsi="Times New Roman"/>
          <w:color w:val="000000"/>
        </w:rPr>
        <w:t>O índice</w:t>
      </w:r>
      <w:r w:rsidRPr="004608A8">
        <w:rPr>
          <w:rFonts w:ascii="Times New Roman" w:hAnsi="Times New Roman"/>
          <w:color w:val="92D050"/>
        </w:rPr>
        <w:t xml:space="preserve"> </w:t>
      </w:r>
      <w:r w:rsidRPr="004608A8">
        <w:rPr>
          <w:rFonts w:ascii="Times New Roman" w:hAnsi="Times New Roman"/>
        </w:rPr>
        <w:t xml:space="preserve">testado foi o de Shannon-Wiener (H’), desenvolvido no período de 1948 - 1949, por Claude Elwood Shannon, e amplamente utilizado para medir diversidade de espécies em uma comunidade, baseado na teoria da informação (SHANNON; WIEVER, 1949 apud </w:t>
      </w:r>
      <w:r w:rsidR="005F3586" w:rsidRPr="004608A8">
        <w:rPr>
          <w:rFonts w:ascii="Times New Roman" w:hAnsi="Times New Roman"/>
        </w:rPr>
        <w:fldChar w:fldCharType="begin" w:fldLock="1"/>
      </w:r>
      <w:r w:rsidRPr="004608A8">
        <w:rPr>
          <w:rFonts w:ascii="Times New Roman" w:hAnsi="Times New Roman"/>
        </w:rPr>
        <w:instrText>ADDIN CSL_CITATION {"citationItems":[{"id":"ITEM-1","itemData":{"abstract":"Análises da diversidade de espécies são estudos rotineiros para caracterização de formações florestais nativas. Esses estudos são baseados na observação das espécies que ocorrem em um fragmento florestal num determinado espaço e em um dado momento. Porém, são raros os estudos que procuram mostrar a variabilidade espacial do seu comportamento ao longo da floresta. O presente trabalho objetivou caracterizar a variabilidade espacial do número de espécies (S) e do Índice de diversidade de Shannon-Wiener (H’) observados em unidade amostrais de 500 m² em um fragmento de Floresta Ombrófila Mista (FOM), utilizando a krigagem ordinária para gerar estimativas em locais não amostrados. Foram utilizadas 45 unidades amostrais georreferenciadas de um levantamento fitossociológico realizado no ano de 2007, em General Carneiro-PR. A análise fitossociológica foi realizada no programa Mata Nativa 2.1®, obtendo-se os parâmetros fitossociológicos e o Índice de Diversidade de Shannon-Wiener. As análises espaciais e elaboração dos mapas de isolinhas foram realizadas no programa GS+®. Foi possível ajustar os semivariogramas, utilizando os modelos exponencial e esférico, observando-se forte dependência espacial (80 e 87%), respectivamente para S e H’, resultando em mapas de isovalores considerados satisfatórios para as duas variáveis analisadas.","author":[{"dropping-particle":"","family":"Amaral","given":"Lúcio de Paula","non-dropping-particle":"","parse-names":false,"suffix":""},{"dropping-particle":"","family":"Ferreira","given":"Regiane Aparecida","non-dropping-particle":"","parse-names":false,"suffix":""},{"dropping-particle":"","family":"Lisboa","given":"Gerson do Santos","non-dropping-particle":"","parse-names":false,"suffix":""},{"dropping-particle":"","family":"Longhi","given":"Solon Jonas","non-dropping-particle":"","parse-names":false,"suffix":""},{"dropping-particle":"","family":"Watzlawick","given":"Luciano Farinha","non-dropping-particle":"","parse-names":false,"suffix":""}],"container-title":"Scientia Forestalis","id":"ITEM-1","issue":"97","issued":{"date-parts":[["2013"]]},"page":"83-93","title":"Variabilidade espacial do Índice de Diversidade de Shannon-Wiener em Floresta Ombrófila Mista","type":"article-journal","volume":"41"},"uris":["http://www.mendeley.com/documents/?uuid=2b86ad76-0ed0-393e-9233-5a36e6115ef9"]}],"mendeley":{"formattedCitation":"(AMARAL et al., 2013)","manualFormatting":"AMARAL et al., 2013)","plainTextFormattedCitation":"(AMARAL et al., 2013)","previouslyFormattedCitation":"(AMARAL et al., 2013)"},"properties":{"noteIndex":0},"schema":"https://github.com/citation-style-language/schema/raw/master/csl-citation.json"}</w:instrText>
      </w:r>
      <w:r w:rsidR="005F3586" w:rsidRPr="004608A8">
        <w:rPr>
          <w:rFonts w:ascii="Times New Roman" w:hAnsi="Times New Roman"/>
        </w:rPr>
        <w:fldChar w:fldCharType="separate"/>
      </w:r>
      <w:r w:rsidRPr="004608A8">
        <w:rPr>
          <w:rFonts w:ascii="Times New Roman" w:hAnsi="Times New Roman"/>
          <w:noProof/>
        </w:rPr>
        <w:t>AMARAL et al., 2013)</w:t>
      </w:r>
      <w:r w:rsidR="005F3586" w:rsidRPr="004608A8">
        <w:rPr>
          <w:rFonts w:ascii="Times New Roman" w:hAnsi="Times New Roman"/>
        </w:rPr>
        <w:fldChar w:fldCharType="end"/>
      </w:r>
      <w:r w:rsidRPr="004608A8">
        <w:rPr>
          <w:rFonts w:ascii="Times New Roman" w:hAnsi="Times New Roman"/>
        </w:rPr>
        <w:t xml:space="preserve">. Uma vantagem desse índice é que ele explica tanto a abundância quanto a uniformidade das espécies presentes. </w:t>
      </w:r>
    </w:p>
    <w:p w:rsidR="0029078A" w:rsidRPr="004608A8" w:rsidRDefault="0029078A" w:rsidP="0029078A">
      <w:pPr>
        <w:rPr>
          <w:rFonts w:ascii="Times New Roman" w:hAnsi="Times New Roman"/>
        </w:rPr>
      </w:pPr>
      <w:r w:rsidRPr="004608A8">
        <w:rPr>
          <w:rFonts w:ascii="Times New Roman" w:hAnsi="Times New Roman"/>
        </w:rPr>
        <w:t xml:space="preserve">Para o cálculo da diversificação </w:t>
      </w:r>
      <w:r w:rsidR="00E85C4A" w:rsidRPr="004608A8">
        <w:rPr>
          <w:rFonts w:ascii="Times New Roman" w:hAnsi="Times New Roman"/>
        </w:rPr>
        <w:t>agropecuária</w:t>
      </w:r>
      <w:r w:rsidRPr="004608A8">
        <w:rPr>
          <w:rFonts w:ascii="Times New Roman" w:hAnsi="Times New Roman"/>
        </w:rPr>
        <w:t>, foi utilizado a variável “Valor da produção”</w:t>
      </w:r>
      <w:r w:rsidRPr="004608A8">
        <w:rPr>
          <w:rStyle w:val="Refdenotaderodap"/>
          <w:rFonts w:ascii="Times New Roman" w:hAnsi="Times New Roman"/>
        </w:rPr>
        <w:footnoteReference w:id="4"/>
      </w:r>
      <w:r w:rsidRPr="004608A8">
        <w:rPr>
          <w:rFonts w:ascii="Times New Roman" w:hAnsi="Times New Roman"/>
        </w:rPr>
        <w:t xml:space="preserve"> extraída de três bancos de dados, ambos do IBGE. O primeiro - Produção Agrícola Municipal (PAM), de 2017 - disponibiliza as informações sobre a produção agrícola de culturas permanentes e temporárias anualmente. Deste banco, utilizamos todas as culturas que apresentaram p</w:t>
      </w:r>
      <w:r w:rsidR="00D66E47" w:rsidRPr="004608A8">
        <w:rPr>
          <w:rFonts w:ascii="Times New Roman" w:hAnsi="Times New Roman"/>
        </w:rPr>
        <w:t>rodução no ano de 2017</w:t>
      </w:r>
      <w:r w:rsidR="00836070" w:rsidRPr="004608A8">
        <w:rPr>
          <w:rFonts w:ascii="Times New Roman" w:hAnsi="Times New Roman"/>
        </w:rPr>
        <w:t xml:space="preserve">. </w:t>
      </w:r>
      <w:r w:rsidRPr="004608A8">
        <w:rPr>
          <w:rFonts w:ascii="Times New Roman" w:hAnsi="Times New Roman"/>
        </w:rPr>
        <w:t>A segunda base de dados é a Produção da Extração Vegetal e da Silvicultura (PEVS), a qual forneceu os valores para produtos do extrativismo vegetal, que são obtidos mediante o processo de exploração dos recursos florestais naturais, e da silvicultura, que contempla a exploração de maciços flor</w:t>
      </w:r>
      <w:r w:rsidR="00D66E47" w:rsidRPr="004608A8">
        <w:rPr>
          <w:rFonts w:ascii="Times New Roman" w:hAnsi="Times New Roman"/>
        </w:rPr>
        <w:t>estais plantados</w:t>
      </w:r>
      <w:r w:rsidRPr="004608A8">
        <w:rPr>
          <w:rFonts w:ascii="Times New Roman" w:hAnsi="Times New Roman"/>
        </w:rPr>
        <w:t>. Por fim, acrescentamos o valor da produção de origem animal, de produtos disponíveis na Pesquisa</w:t>
      </w:r>
      <w:r w:rsidR="00D66E47" w:rsidRPr="004608A8">
        <w:rPr>
          <w:rFonts w:ascii="Times New Roman" w:hAnsi="Times New Roman"/>
        </w:rPr>
        <w:t xml:space="preserve"> da Pecuária Municipal (PPM)</w:t>
      </w:r>
      <w:r w:rsidRPr="004608A8">
        <w:rPr>
          <w:rFonts w:ascii="Times New Roman" w:hAnsi="Times New Roman"/>
        </w:rPr>
        <w:t xml:space="preserve">. </w:t>
      </w:r>
      <w:r w:rsidRPr="004608A8">
        <w:rPr>
          <w:rFonts w:ascii="Times New Roman" w:hAnsi="Times New Roman"/>
        </w:rPr>
        <w:lastRenderedPageBreak/>
        <w:t xml:space="preserve">Sobre esse segmento, cabe ressaltar que a renda obtida com a pecuária é mais ampla do que as atividades que incorporamos na análise, como por exemplo o setor de carnes, porém carecemos de dados recentes a nível municipal sobre essas atividades. </w:t>
      </w:r>
    </w:p>
    <w:p w:rsidR="00836070" w:rsidRPr="004608A8" w:rsidRDefault="00836070" w:rsidP="00B6697D">
      <w:pPr>
        <w:rPr>
          <w:rFonts w:ascii="Times New Roman" w:hAnsi="Times New Roman"/>
        </w:rPr>
      </w:pPr>
      <w:r w:rsidRPr="004608A8">
        <w:rPr>
          <w:rFonts w:ascii="Times New Roman" w:hAnsi="Times New Roman"/>
        </w:rPr>
        <w:t xml:space="preserve">Antes de apresentar a metodologia utilizada para o cálculo do índice, cabe tecer algumas considerações a respeito do tratamento dos dados, precisamente sobre possíveis distorções que podem ocorrer devido a flutuações nos preços. Para os produtores, os preços são essenciais na tomada de decisão de o que plantar e o quanto investir na agricultura, tendendo na maioria das vezes a produzir aquelas culturas que oferecem maior rentabilidade </w:t>
      </w:r>
      <w:r w:rsidR="005F3586" w:rsidRPr="004608A8">
        <w:rPr>
          <w:rFonts w:ascii="Times New Roman" w:hAnsi="Times New Roman"/>
        </w:rPr>
        <w:fldChar w:fldCharType="begin" w:fldLock="1"/>
      </w:r>
      <w:r w:rsidRPr="004608A8">
        <w:rPr>
          <w:rFonts w:ascii="Times New Roman" w:hAnsi="Times New Roman"/>
        </w:rPr>
        <w:instrText>ADDIN CSL_CITATION {"citationItems":[{"id":"ITEM-1","itemData":{"author":[{"dropping-particle":"","family":"Conab","given":"","non-dropping-particle":"","parse-names":false,"suffix":""}],"container-title":"Compêndio de estudos Conab","id":"ITEM-1","issued":{"date-parts":[["2017"]]},"page":"63","title":"O comportamento dos preços dos insumos agrícolas na produção de milho e soja","type":"article-journal","volume":"17"},"uris":["http://www.mendeley.com/documents/?uuid=af2a13ae-d1de-3f16-a654-6d50ad2ca1cd"]}],"mendeley":{"formattedCitation":"(CONAB, 2017)","plainTextFormattedCitation":"(CONAB, 2017)","previouslyFormattedCitation":"(CONAB, 2017)"},"properties":{"noteIndex":0},"schema":"https://github.com/citation-style-language/schema/raw/master/csl-citation.json"}</w:instrText>
      </w:r>
      <w:r w:rsidR="005F3586" w:rsidRPr="004608A8">
        <w:rPr>
          <w:rFonts w:ascii="Times New Roman" w:hAnsi="Times New Roman"/>
        </w:rPr>
        <w:fldChar w:fldCharType="separate"/>
      </w:r>
      <w:r w:rsidRPr="004608A8">
        <w:rPr>
          <w:rFonts w:ascii="Times New Roman" w:hAnsi="Times New Roman"/>
          <w:noProof/>
        </w:rPr>
        <w:t>(CONAB, 2017)</w:t>
      </w:r>
      <w:r w:rsidR="005F3586" w:rsidRPr="004608A8">
        <w:rPr>
          <w:rFonts w:ascii="Times New Roman" w:hAnsi="Times New Roman"/>
        </w:rPr>
        <w:fldChar w:fldCharType="end"/>
      </w:r>
      <w:r w:rsidRPr="004608A8">
        <w:rPr>
          <w:rFonts w:ascii="Times New Roman" w:hAnsi="Times New Roman"/>
        </w:rPr>
        <w:t xml:space="preserve">. </w:t>
      </w:r>
    </w:p>
    <w:p w:rsidR="00836070" w:rsidRPr="004608A8" w:rsidRDefault="00836070" w:rsidP="00836070">
      <w:pPr>
        <w:rPr>
          <w:rFonts w:ascii="Times New Roman" w:hAnsi="Times New Roman"/>
        </w:rPr>
      </w:pPr>
      <w:r w:rsidRPr="004608A8">
        <w:rPr>
          <w:rFonts w:ascii="Times New Roman" w:hAnsi="Times New Roman"/>
        </w:rPr>
        <w:t xml:space="preserve">Dessa forma, pode acontecer de o preço de algumas culturas estarem supervalorizadas e outras subvalorizadas no ano analisado, e isto afetaria nossa análise. Outra questão, é que naturalmente os preços de todas as mercadorias variam ao longo do tempo, e no caso da agricultura mais ainda, e pode ser explicada por fatores exógenos, como condições climáticas, biológicas, mudança na demanda e no mercado internacional, etc., e fatores endógenos, como um sistema coordenado de forma fraca ou não coordenado </w:t>
      </w:r>
      <w:r w:rsidR="005F3586" w:rsidRPr="004608A8">
        <w:rPr>
          <w:rFonts w:ascii="Times New Roman" w:hAnsi="Times New Roman"/>
        </w:rPr>
        <w:fldChar w:fldCharType="begin" w:fldLock="1"/>
      </w:r>
      <w:r w:rsidRPr="004608A8">
        <w:rPr>
          <w:rFonts w:ascii="Times New Roman" w:hAnsi="Times New Roman"/>
        </w:rPr>
        <w:instrText>ADDIN CSL_CITATION {"citationItems":[{"id":"ITEM-1","itemData":{"author":[{"dropping-particle":"","family":"Conab","given":"","non-dropping-particle":"","parse-names":false,"suffix":""}],"container-title":"Compêndio de estudos Conab","id":"ITEM-1","issued":{"date-parts":[["2017"]]},"page":"63","title":"O comportamento dos preços dos insumos agrícolas na produção de milho e soja","type":"article-journal","volume":"17"},"uris":["http://www.mendeley.com/documents/?uuid=af2a13ae-d1de-3f16-a654-6d50ad2ca1cd"]}],"mendeley":{"formattedCitation":"(CONAB, 2017)","plainTextFormattedCitation":"(CONAB, 2017)","previouslyFormattedCitation":"(CONAB, 2017)"},"properties":{"noteIndex":0},"schema":"https://github.com/citation-style-language/schema/raw/master/csl-citation.json"}</w:instrText>
      </w:r>
      <w:r w:rsidR="005F3586" w:rsidRPr="004608A8">
        <w:rPr>
          <w:rFonts w:ascii="Times New Roman" w:hAnsi="Times New Roman"/>
        </w:rPr>
        <w:fldChar w:fldCharType="separate"/>
      </w:r>
      <w:r w:rsidRPr="004608A8">
        <w:rPr>
          <w:rFonts w:ascii="Times New Roman" w:hAnsi="Times New Roman"/>
          <w:noProof/>
        </w:rPr>
        <w:t>(CONAB, 2017)</w:t>
      </w:r>
      <w:r w:rsidR="005F3586" w:rsidRPr="004608A8">
        <w:rPr>
          <w:rFonts w:ascii="Times New Roman" w:hAnsi="Times New Roman"/>
        </w:rPr>
        <w:fldChar w:fldCharType="end"/>
      </w:r>
      <w:r w:rsidRPr="004608A8">
        <w:rPr>
          <w:rFonts w:ascii="Times New Roman" w:hAnsi="Times New Roman"/>
        </w:rPr>
        <w:t>. O que fizemos para tentar amenizar essas distorções foi calcular a média dos preços dos últimos três anos para cada produto (2015 – 2017), e com esse preço médio, multiplicamo-lo pela quantidade produzida no ano de 2017, resultando</w:t>
      </w:r>
      <w:r w:rsidR="002329BE" w:rsidRPr="004608A8">
        <w:rPr>
          <w:rFonts w:ascii="Times New Roman" w:hAnsi="Times New Roman"/>
        </w:rPr>
        <w:t xml:space="preserve"> em um novo valor de produção. </w:t>
      </w:r>
      <w:r w:rsidRPr="004608A8">
        <w:rPr>
          <w:rFonts w:ascii="Times New Roman" w:hAnsi="Times New Roman"/>
        </w:rPr>
        <w:t>Outro procedimento necessário foi o ajuste em três municípios que não continham os dados de produção agropecuária (Águas de São Pedro, Americana e Valparaíso de Goiás). Para esses municípios foi atribuído o valor da média aritmética da microrregião em que cada um está situado.</w:t>
      </w:r>
    </w:p>
    <w:p w:rsidR="00836070" w:rsidRPr="004608A8" w:rsidRDefault="00836070" w:rsidP="00836070">
      <w:pPr>
        <w:rPr>
          <w:rFonts w:ascii="Times New Roman" w:hAnsi="Times New Roman"/>
        </w:rPr>
      </w:pPr>
      <w:r w:rsidRPr="004608A8">
        <w:rPr>
          <w:rFonts w:ascii="Times New Roman" w:hAnsi="Times New Roman"/>
        </w:rPr>
        <w:t xml:space="preserve">O índice </w:t>
      </w:r>
      <w:r w:rsidR="00D34AE3" w:rsidRPr="004608A8">
        <w:rPr>
          <w:rFonts w:ascii="Times New Roman" w:hAnsi="Times New Roman"/>
        </w:rPr>
        <w:t>S</w:t>
      </w:r>
      <w:r w:rsidRPr="004608A8">
        <w:rPr>
          <w:rFonts w:ascii="Times New Roman" w:hAnsi="Times New Roman"/>
        </w:rPr>
        <w:t>hannon</w:t>
      </w:r>
      <w:r w:rsidR="00D34AE3" w:rsidRPr="004608A8">
        <w:rPr>
          <w:rFonts w:ascii="Times New Roman" w:hAnsi="Times New Roman"/>
        </w:rPr>
        <w:t>-Valor,</w:t>
      </w:r>
      <w:r w:rsidRPr="004608A8">
        <w:rPr>
          <w:rFonts w:ascii="Times New Roman" w:hAnsi="Times New Roman"/>
        </w:rPr>
        <w:t xml:space="preserve"> para a diversificação </w:t>
      </w:r>
      <w:r w:rsidR="004E734D" w:rsidRPr="004608A8">
        <w:rPr>
          <w:rFonts w:ascii="Times New Roman" w:hAnsi="Times New Roman"/>
        </w:rPr>
        <w:t xml:space="preserve">agropecuária, </w:t>
      </w:r>
      <w:r w:rsidRPr="004608A8">
        <w:rPr>
          <w:rFonts w:ascii="Times New Roman" w:hAnsi="Times New Roman"/>
        </w:rPr>
        <w:t>é calculado para cada município da seguinte maneira: primeiramente obtém-se a proporção do valor de cada cultura em relação ao valor total do município</w:t>
      </w:r>
      <w:r w:rsidRPr="004608A8">
        <w:rPr>
          <w:rFonts w:ascii="Times New Roman" w:eastAsia="Calibri" w:hAnsi="Times New Roman"/>
        </w:rPr>
        <w:object w:dxaOrig="780" w:dyaOrig="360">
          <v:shape id="_x0000_i1025" type="#_x0000_t75" style="width:39pt;height:18pt" o:ole="">
            <v:imagedata r:id="rId11" o:title=""/>
          </v:shape>
          <o:OLEObject Type="Embed" ProgID="Equation.DSMT4" ShapeID="_x0000_i1025" DrawAspect="Content" ObjectID="_1628184870" r:id="rId12"/>
        </w:object>
      </w:r>
      <w:r w:rsidRPr="004608A8">
        <w:rPr>
          <w:rFonts w:ascii="Times New Roman" w:hAnsi="Times New Roman"/>
        </w:rPr>
        <w:t xml:space="preserve">, chamaremos essa proporção de </w:t>
      </w:r>
      <w:r w:rsidRPr="004608A8">
        <w:rPr>
          <w:rFonts w:ascii="Times New Roman" w:eastAsia="Calibri" w:hAnsi="Times New Roman"/>
        </w:rPr>
        <w:object w:dxaOrig="255" w:dyaOrig="360">
          <v:shape id="_x0000_i1026" type="#_x0000_t75" style="width:12.6pt;height:18pt" o:ole="">
            <v:imagedata r:id="rId13" o:title=""/>
          </v:shape>
          <o:OLEObject Type="Embed" ProgID="Equation.DSMT4" ShapeID="_x0000_i1026" DrawAspect="Content" ObjectID="_1628184871" r:id="rId14"/>
        </w:object>
      </w:r>
      <w:r w:rsidRPr="004608A8">
        <w:rPr>
          <w:rFonts w:ascii="Times New Roman" w:hAnsi="Times New Roman"/>
        </w:rPr>
        <w:t>; com a proporção de cada cultura calculada, multiplica-se a mesma pelo seu logaritmo e aplica-se o somatório. O produto é posteriormente multiplicado por -1</w:t>
      </w:r>
      <w:r w:rsidR="0011420E" w:rsidRPr="004608A8">
        <w:rPr>
          <w:rFonts w:ascii="Times New Roman" w:hAnsi="Times New Roman"/>
        </w:rPr>
        <w:t xml:space="preserve">. Essa formula já foi utilizada em diversos trabalhos, por exemplo, em Donfouet </w:t>
      </w:r>
      <w:r w:rsidR="005F3586" w:rsidRPr="004608A8">
        <w:rPr>
          <w:rFonts w:ascii="Times New Roman" w:hAnsi="Times New Roman"/>
        </w:rPr>
        <w:fldChar w:fldCharType="begin" w:fldLock="1"/>
      </w:r>
      <w:r w:rsidR="008E0039" w:rsidRPr="004608A8">
        <w:rPr>
          <w:rFonts w:ascii="Times New Roman" w:hAnsi="Times New Roman"/>
        </w:rPr>
        <w:instrText>ADDIN CSL_CITATION {"citationItems":[{"id":"ITEM-1","itemData":{"DOI":"https://doi.org/10.1016/j.ecolecon.2016.11.016","ISSN":"0921-8009","abstract":"This paper aims to provide empirical evidence of the effect of crop diversity on crop production and spillover effect. Based on the estimation of production functions with spatial concerns on an original and rich dataset, results of the study suggest that crop diversity has a positive and significant effect on crop production. Its marginal contribution is substantial when rainfall is low in the agroecosystem. Furthermore, spatial dependence is a major issue and could be explained by topographic, climatic and agronomic constraints.","author":[{"dropping-particle":"","family":"Donfouet","given":"Hermann Pythagore Pierre","non-dropping-particle":"","parse-names":false,"suffix":""},{"dropping-particle":"","family":"Barczak","given":"Aleksandra","non-dropping-particle":"","parse-names":false,"suffix":""},{"dropping-particle":"","family":"Détang-Dessendre","given":"Cécile","non-dropping-particle":"","parse-names":false,"suffix":""},{"dropping-particle":"","family":"Maigné","given":"Elise","non-dropping-particle":"","parse-names":false,"suffix":""}],"container-title":"Ecological Economics","id":"ITEM-1","issued":{"date-parts":[["2017"]]},"page":"29-39","title":"Crop Production and Crop Diversity in France: A Spatial Analysis","type":"article-journal","volume":"134"},"suppress-author":1,"uris":["http://www.mendeley.com/documents/?uuid=41935ba8-1a80-433b-8746-3e00855a0041"]}],"mendeley":{"formattedCitation":"(2017)","plainTextFormattedCitation":"(2017)","previouslyFormattedCitation":"(2017)"},"properties":{"noteIndex":0},"schema":"https://github.com/citation-style-language/schema/raw/master/csl-citation.json"}</w:instrText>
      </w:r>
      <w:r w:rsidR="005F3586" w:rsidRPr="004608A8">
        <w:rPr>
          <w:rFonts w:ascii="Times New Roman" w:hAnsi="Times New Roman"/>
        </w:rPr>
        <w:fldChar w:fldCharType="separate"/>
      </w:r>
      <w:r w:rsidR="0011420E" w:rsidRPr="004608A8">
        <w:rPr>
          <w:rFonts w:ascii="Times New Roman" w:hAnsi="Times New Roman"/>
          <w:noProof/>
        </w:rPr>
        <w:t>(2017)</w:t>
      </w:r>
      <w:r w:rsidR="005F3586" w:rsidRPr="004608A8">
        <w:rPr>
          <w:rFonts w:ascii="Times New Roman" w:hAnsi="Times New Roman"/>
        </w:rPr>
        <w:fldChar w:fldCharType="end"/>
      </w:r>
      <w:r w:rsidRPr="004608A8">
        <w:rPr>
          <w:rFonts w:ascii="Times New Roman" w:hAnsi="Times New Roman"/>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C561FB" w:rsidTr="00C561FB">
        <w:tc>
          <w:tcPr>
            <w:tcW w:w="3020" w:type="dxa"/>
          </w:tcPr>
          <w:p w:rsidR="00C561FB" w:rsidRDefault="00C561FB" w:rsidP="00836070">
            <w:pPr>
              <w:ind w:firstLine="0"/>
            </w:pPr>
          </w:p>
        </w:tc>
        <w:tc>
          <w:tcPr>
            <w:tcW w:w="3020" w:type="dxa"/>
          </w:tcPr>
          <w:p w:rsidR="00C561FB" w:rsidRDefault="00C561FB" w:rsidP="00C561FB">
            <w:pPr>
              <w:ind w:firstLine="0"/>
              <w:jc w:val="center"/>
            </w:pPr>
            <w:r w:rsidRPr="00205119">
              <w:rPr>
                <w:rFonts w:eastAsia="Calibri"/>
                <w:position w:val="-28"/>
                <w:sz w:val="22"/>
                <w:szCs w:val="22"/>
                <w:lang w:eastAsia="en-US"/>
              </w:rPr>
              <w:object w:dxaOrig="1620" w:dyaOrig="675">
                <v:shape id="_x0000_i1027" type="#_x0000_t75" style="width:100.8pt;height:42pt" o:ole="">
                  <v:imagedata r:id="rId15" o:title=""/>
                </v:shape>
                <o:OLEObject Type="Embed" ProgID="Equation.DSMT4" ShapeID="_x0000_i1027" DrawAspect="Content" ObjectID="_1628184872" r:id="rId16"/>
              </w:object>
            </w:r>
          </w:p>
        </w:tc>
        <w:tc>
          <w:tcPr>
            <w:tcW w:w="3021" w:type="dxa"/>
            <w:vAlign w:val="center"/>
          </w:tcPr>
          <w:p w:rsidR="00C561FB" w:rsidRDefault="00C561FB" w:rsidP="00C561FB">
            <w:pPr>
              <w:ind w:firstLine="0"/>
              <w:jc w:val="right"/>
            </w:pPr>
            <w:r>
              <w:t>(1)</w:t>
            </w:r>
          </w:p>
        </w:tc>
      </w:tr>
    </w:tbl>
    <w:p w:rsidR="00836070" w:rsidRPr="004608A8" w:rsidRDefault="00836070" w:rsidP="00836070">
      <w:pPr>
        <w:rPr>
          <w:rFonts w:ascii="Times New Roman" w:hAnsi="Times New Roman"/>
        </w:rPr>
      </w:pPr>
      <w:r w:rsidRPr="004608A8">
        <w:rPr>
          <w:rFonts w:ascii="Times New Roman" w:hAnsi="Times New Roman"/>
        </w:rPr>
        <w:t>Para fins de interpretação do índice fizemos uma interpolação, de modo que o índice varie entre 0 (zero) e 1 (um). Demonstrando: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C561FB" w:rsidTr="000E6B21">
        <w:tc>
          <w:tcPr>
            <w:tcW w:w="3020" w:type="dxa"/>
          </w:tcPr>
          <w:p w:rsidR="00C561FB" w:rsidRDefault="00C561FB" w:rsidP="00836070">
            <w:pPr>
              <w:ind w:firstLine="0"/>
            </w:pPr>
          </w:p>
        </w:tc>
        <w:tc>
          <w:tcPr>
            <w:tcW w:w="3020" w:type="dxa"/>
          </w:tcPr>
          <w:p w:rsidR="00C561FB" w:rsidRDefault="00C561FB" w:rsidP="000E6B21">
            <w:pPr>
              <w:jc w:val="center"/>
            </w:pPr>
            <m:oMathPara>
              <m:oMath>
                <m:r>
                  <w:rPr>
                    <w:rFonts w:ascii="Cambria Math" w:hAnsi="Cambria Math"/>
                  </w:rPr>
                  <m:t xml:space="preserve">IS= </m:t>
                </m:r>
                <m:f>
                  <m:fPr>
                    <m:ctrlPr>
                      <w:rPr>
                        <w:rFonts w:ascii="Cambria Math" w:hAnsi="Cambria Math"/>
                        <w:i/>
                      </w:rPr>
                    </m:ctrlPr>
                  </m:fPr>
                  <m:num>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-m</m:t>
                    </m:r>
                  </m:num>
                  <m:den>
                    <m:r>
                      <w:rPr>
                        <w:rFonts w:ascii="Cambria Math" w:hAnsi="Cambria Math"/>
                      </w:rPr>
                      <m:t>M-m</m:t>
                    </m:r>
                  </m:den>
                </m:f>
              </m:oMath>
            </m:oMathPara>
          </w:p>
        </w:tc>
        <w:tc>
          <w:tcPr>
            <w:tcW w:w="3021" w:type="dxa"/>
            <w:vAlign w:val="center"/>
          </w:tcPr>
          <w:p w:rsidR="00C561FB" w:rsidRDefault="000E6B21" w:rsidP="000E6B21">
            <w:pPr>
              <w:ind w:firstLine="0"/>
              <w:jc w:val="right"/>
            </w:pPr>
            <w:r>
              <w:t>(2)</w:t>
            </w:r>
          </w:p>
        </w:tc>
      </w:tr>
    </w:tbl>
    <w:p w:rsidR="00836070" w:rsidRPr="004608A8" w:rsidRDefault="00F33931" w:rsidP="00836070">
      <w:pPr>
        <w:ind w:firstLine="0"/>
        <w:rPr>
          <w:rFonts w:ascii="Times New Roman" w:hAnsi="Times New Roman"/>
        </w:rPr>
      </w:pPr>
      <w:r>
        <w:rPr>
          <w:rFonts w:ascii="Times New Roman" w:hAnsi="Times New Roman"/>
        </w:rPr>
        <w:t>Em que</w:t>
      </w:r>
      <w:r w:rsidR="00836070" w:rsidRPr="004608A8">
        <w:rPr>
          <w:rFonts w:ascii="Times New Roman" w:hAnsi="Times New Roman"/>
        </w:rPr>
        <w:t>:</w:t>
      </w:r>
    </w:p>
    <w:p w:rsidR="00836070" w:rsidRPr="004608A8" w:rsidRDefault="00836070" w:rsidP="00836070">
      <w:pPr>
        <w:ind w:firstLine="0"/>
        <w:rPr>
          <w:rFonts w:ascii="Times New Roman" w:hAnsi="Times New Roman"/>
        </w:rPr>
      </w:pPr>
      <m:oMath>
        <m:r>
          <w:rPr>
            <w:rFonts w:ascii="Cambria Math" w:hAnsi="Cambria Math"/>
          </w:rPr>
          <m:t>IS=</m:t>
        </m:r>
      </m:oMath>
      <w:r w:rsidRPr="004608A8">
        <w:rPr>
          <w:rFonts w:ascii="Times New Roman" w:hAnsi="Times New Roman"/>
        </w:rPr>
        <w:t xml:space="preserve"> Índice calculado para cada município </w:t>
      </w:r>
    </w:p>
    <w:p w:rsidR="00836070" w:rsidRPr="004608A8" w:rsidRDefault="00132658" w:rsidP="00836070">
      <w:pPr>
        <w:ind w:firstLine="0"/>
        <w:rPr>
          <w:rFonts w:ascii="Times New Roman" w:hAnsi="Times New Roman"/>
        </w:rPr>
      </w:pPr>
      <m:oMath>
        <m:sSub>
          <m:sSubPr>
            <m:ctrlPr>
              <w:rPr>
                <w:rFonts w:ascii="Cambria Math" w:hAnsi="Cambria Math"/>
                <w:i/>
              </w:rPr>
            </m:ctrlPr>
          </m:sSubPr>
          <m:e>
            <m:r>
              <w:rPr>
                <w:rFonts w:ascii="Cambria Math" w:hAnsi="Cambria Math"/>
              </w:rPr>
              <m:t>H</m:t>
            </m:r>
          </m:e>
          <m:sub>
            <m:r>
              <w:rPr>
                <w:rFonts w:ascii="Cambria Math" w:hAnsi="Cambria Math"/>
              </w:rPr>
              <m:t>i</m:t>
            </m:r>
          </m:sub>
        </m:sSub>
        <m:r>
          <w:rPr>
            <w:rFonts w:ascii="Cambria Math" w:hAnsi="Cambria Math"/>
          </w:rPr>
          <m:t xml:space="preserve">= </m:t>
        </m:r>
      </m:oMath>
      <w:r w:rsidR="00836070" w:rsidRPr="004608A8">
        <w:rPr>
          <w:rFonts w:ascii="Times New Roman" w:hAnsi="Times New Roman"/>
        </w:rPr>
        <w:t>Valor real do índice de Shannon</w:t>
      </w:r>
    </w:p>
    <w:p w:rsidR="00836070" w:rsidRPr="004608A8" w:rsidRDefault="00836070" w:rsidP="00836070">
      <w:pPr>
        <w:ind w:firstLine="0"/>
        <w:rPr>
          <w:rFonts w:ascii="Times New Roman" w:hAnsi="Times New Roman"/>
        </w:rPr>
      </w:pPr>
      <m:oMath>
        <m:r>
          <w:rPr>
            <w:rFonts w:ascii="Cambria Math" w:hAnsi="Cambria Math"/>
          </w:rPr>
          <m:t>m=</m:t>
        </m:r>
      </m:oMath>
      <w:r w:rsidRPr="004608A8">
        <w:rPr>
          <w:rFonts w:ascii="Times New Roman" w:hAnsi="Times New Roman"/>
        </w:rPr>
        <w:t xml:space="preserve"> Valor mínimo considerado dentre todos os municípios</w:t>
      </w:r>
    </w:p>
    <w:p w:rsidR="00836070" w:rsidRPr="004608A8" w:rsidRDefault="00836070" w:rsidP="00836070">
      <w:pPr>
        <w:ind w:firstLine="0"/>
        <w:rPr>
          <w:rFonts w:ascii="Times New Roman" w:hAnsi="Times New Roman"/>
        </w:rPr>
      </w:pPr>
      <m:oMath>
        <m:r>
          <w:rPr>
            <w:rFonts w:ascii="Cambria Math" w:hAnsi="Cambria Math"/>
          </w:rPr>
          <m:t>M=</m:t>
        </m:r>
      </m:oMath>
      <w:r w:rsidRPr="004608A8">
        <w:rPr>
          <w:rFonts w:ascii="Times New Roman" w:hAnsi="Times New Roman"/>
        </w:rPr>
        <w:t xml:space="preserve"> Valor máximo considerado dentre todos os municípios</w:t>
      </w:r>
    </w:p>
    <w:p w:rsidR="00836070" w:rsidRPr="004608A8" w:rsidRDefault="00836070" w:rsidP="00836070">
      <w:pPr>
        <w:rPr>
          <w:rFonts w:ascii="Times New Roman" w:hAnsi="Times New Roman"/>
        </w:rPr>
      </w:pPr>
      <w:r w:rsidRPr="004608A8">
        <w:rPr>
          <w:rFonts w:ascii="Times New Roman" w:hAnsi="Times New Roman"/>
        </w:rPr>
        <w:lastRenderedPageBreak/>
        <w:t>Com a distribuição do índice, foram criadas cinco categorias para classificar cada município, da seguinte maneira:</w:t>
      </w:r>
    </w:p>
    <w:p w:rsidR="00836070" w:rsidRPr="004608A8" w:rsidRDefault="00836070" w:rsidP="00836070">
      <w:pPr>
        <w:pStyle w:val="PargrafodaLista"/>
        <w:numPr>
          <w:ilvl w:val="0"/>
          <w:numId w:val="6"/>
        </w:numPr>
        <w:suppressAutoHyphens w:val="0"/>
        <w:rPr>
          <w:rFonts w:ascii="Times New Roman" w:hAnsi="Times New Roman"/>
        </w:rPr>
      </w:pPr>
      <w:r w:rsidRPr="004608A8">
        <w:rPr>
          <w:rFonts w:ascii="Times New Roman" w:hAnsi="Times New Roman"/>
        </w:rPr>
        <w:t>Estrato 1 - superespecialização: [0; 0,2);</w:t>
      </w:r>
    </w:p>
    <w:p w:rsidR="00836070" w:rsidRPr="004608A8" w:rsidRDefault="00836070" w:rsidP="00836070">
      <w:pPr>
        <w:pStyle w:val="PargrafodaLista"/>
        <w:numPr>
          <w:ilvl w:val="0"/>
          <w:numId w:val="6"/>
        </w:numPr>
        <w:suppressAutoHyphens w:val="0"/>
        <w:rPr>
          <w:rFonts w:ascii="Times New Roman" w:hAnsi="Times New Roman"/>
        </w:rPr>
      </w:pPr>
      <w:r w:rsidRPr="004608A8">
        <w:rPr>
          <w:rFonts w:ascii="Times New Roman" w:hAnsi="Times New Roman"/>
        </w:rPr>
        <w:t>Estrato 2 - forte especialização:</w:t>
      </w:r>
      <m:oMath>
        <m:r>
          <w:rPr>
            <w:rFonts w:ascii="Cambria Math" w:hAnsi="Cambria Math"/>
          </w:rPr>
          <m:t xml:space="preserve"> </m:t>
        </m:r>
      </m:oMath>
      <w:r w:rsidRPr="004608A8">
        <w:rPr>
          <w:rFonts w:ascii="Times New Roman" w:hAnsi="Times New Roman"/>
        </w:rPr>
        <w:t>[0,2; 0,4);</w:t>
      </w:r>
    </w:p>
    <w:p w:rsidR="00836070" w:rsidRPr="004608A8" w:rsidRDefault="00836070" w:rsidP="00836070">
      <w:pPr>
        <w:pStyle w:val="PargrafodaLista"/>
        <w:numPr>
          <w:ilvl w:val="0"/>
          <w:numId w:val="6"/>
        </w:numPr>
        <w:suppressAutoHyphens w:val="0"/>
        <w:rPr>
          <w:rFonts w:ascii="Times New Roman" w:hAnsi="Times New Roman"/>
        </w:rPr>
      </w:pPr>
      <w:r w:rsidRPr="004608A8">
        <w:rPr>
          <w:rFonts w:ascii="Times New Roman" w:hAnsi="Times New Roman"/>
        </w:rPr>
        <w:t>Estrato 3 - média diversificação:</w:t>
      </w:r>
      <m:oMath>
        <m:r>
          <w:rPr>
            <w:rFonts w:ascii="Cambria Math" w:hAnsi="Cambria Math"/>
          </w:rPr>
          <m:t xml:space="preserve"> </m:t>
        </m:r>
      </m:oMath>
      <w:r w:rsidRPr="004608A8">
        <w:rPr>
          <w:rFonts w:ascii="Times New Roman" w:hAnsi="Times New Roman"/>
        </w:rPr>
        <w:t>[0,4; 0,6);</w:t>
      </w:r>
    </w:p>
    <w:p w:rsidR="00836070" w:rsidRPr="004608A8" w:rsidRDefault="00836070" w:rsidP="00836070">
      <w:pPr>
        <w:pStyle w:val="PargrafodaLista"/>
        <w:numPr>
          <w:ilvl w:val="0"/>
          <w:numId w:val="6"/>
        </w:numPr>
        <w:suppressAutoHyphens w:val="0"/>
        <w:rPr>
          <w:rFonts w:ascii="Times New Roman" w:hAnsi="Times New Roman"/>
        </w:rPr>
      </w:pPr>
      <w:r w:rsidRPr="004608A8">
        <w:rPr>
          <w:rFonts w:ascii="Times New Roman" w:hAnsi="Times New Roman"/>
        </w:rPr>
        <w:t xml:space="preserve">Estrato 4 - forte diversificação: [0,6; 0,8); e </w:t>
      </w:r>
    </w:p>
    <w:p w:rsidR="00836070" w:rsidRPr="004608A8" w:rsidRDefault="00836070" w:rsidP="00836070">
      <w:pPr>
        <w:pStyle w:val="PargrafodaLista"/>
        <w:numPr>
          <w:ilvl w:val="0"/>
          <w:numId w:val="6"/>
        </w:numPr>
        <w:suppressAutoHyphens w:val="0"/>
        <w:rPr>
          <w:rFonts w:ascii="Times New Roman" w:hAnsi="Times New Roman"/>
        </w:rPr>
      </w:pPr>
      <w:r w:rsidRPr="004608A8">
        <w:rPr>
          <w:rFonts w:ascii="Times New Roman" w:hAnsi="Times New Roman"/>
        </w:rPr>
        <w:t>Estrato 5 - superdiversificação: [0,8; 1].</w:t>
      </w:r>
    </w:p>
    <w:p w:rsidR="00836070" w:rsidRPr="004608A8" w:rsidRDefault="00836070" w:rsidP="00836070">
      <w:pPr>
        <w:rPr>
          <w:rFonts w:ascii="Times New Roman" w:hAnsi="Times New Roman"/>
          <w:lang w:eastAsia="en-US"/>
        </w:rPr>
      </w:pPr>
      <w:r w:rsidRPr="004608A8">
        <w:rPr>
          <w:rFonts w:ascii="Times New Roman" w:hAnsi="Times New Roman"/>
          <w:lang w:eastAsia="en-US"/>
        </w:rPr>
        <w:t xml:space="preserve">Vale ressaltar que essa caracterização de diversificação é relativa, ou seja, serve somente para demonstrar que um município é mais diversificado comparativamente a outro dentro do contexto analisado, nesse caso, o bioma Cerrado. </w:t>
      </w:r>
    </w:p>
    <w:p w:rsidR="00836070" w:rsidRPr="004608A8" w:rsidRDefault="00836070" w:rsidP="00836070">
      <w:pPr>
        <w:rPr>
          <w:rFonts w:ascii="Times New Roman" w:hAnsi="Times New Roman"/>
          <w:lang w:eastAsia="en-US"/>
        </w:rPr>
      </w:pPr>
    </w:p>
    <w:p w:rsidR="00836070" w:rsidRPr="004608A8" w:rsidRDefault="00836070" w:rsidP="00836070">
      <w:pPr>
        <w:pStyle w:val="Ttulo2"/>
        <w:rPr>
          <w:rFonts w:ascii="Times New Roman" w:hAnsi="Times New Roman" w:cs="Times New Roman"/>
        </w:rPr>
      </w:pPr>
      <w:bookmarkStart w:id="11" w:name="_Toc4632598"/>
      <w:r w:rsidRPr="004608A8">
        <w:rPr>
          <w:rFonts w:ascii="Times New Roman" w:hAnsi="Times New Roman" w:cs="Times New Roman"/>
        </w:rPr>
        <w:t>3.</w:t>
      </w:r>
      <w:r w:rsidR="00026328">
        <w:rPr>
          <w:rFonts w:ascii="Times New Roman" w:hAnsi="Times New Roman" w:cs="Times New Roman"/>
        </w:rPr>
        <w:t>2</w:t>
      </w:r>
      <w:r w:rsidRPr="004608A8">
        <w:rPr>
          <w:rFonts w:ascii="Times New Roman" w:hAnsi="Times New Roman" w:cs="Times New Roman"/>
        </w:rPr>
        <w:t xml:space="preserve"> Índice de Desenvolvimento Rural</w:t>
      </w:r>
      <w:bookmarkEnd w:id="11"/>
    </w:p>
    <w:p w:rsidR="00836070" w:rsidRPr="007A5F45" w:rsidRDefault="00836070" w:rsidP="00836070">
      <w:pPr>
        <w:rPr>
          <w:rFonts w:ascii="Times New Roman" w:hAnsi="Times New Roman"/>
        </w:rPr>
      </w:pPr>
      <w:r w:rsidRPr="004608A8">
        <w:rPr>
          <w:rFonts w:ascii="Times New Roman" w:hAnsi="Times New Roman"/>
        </w:rPr>
        <w:t>A</w:t>
      </w:r>
      <w:r w:rsidRPr="007A5F45">
        <w:rPr>
          <w:rFonts w:ascii="Times New Roman" w:hAnsi="Times New Roman"/>
        </w:rPr>
        <w:t xml:space="preserve"> mensuração do desenvolvimento rural dos municípios do Cerrado foi feita através da análise fatorial, amplamente utilizada nesse tipo de pesquisa. Esse método tem como objetivo principal a explicação de um determinado número de variáveis, previamente selecionadas, através da extração de fatores independentes, em outras palavras, um número reduzido de fatores explicam, de forma simples e reduzida, um grande número de variáveis originais.</w:t>
      </w:r>
    </w:p>
    <w:p w:rsidR="00836070" w:rsidRPr="007A5F45" w:rsidRDefault="00836070" w:rsidP="00836070">
      <w:pPr>
        <w:rPr>
          <w:rFonts w:ascii="Times New Roman" w:hAnsi="Times New Roman"/>
        </w:rPr>
      </w:pPr>
      <w:r w:rsidRPr="007A5F45">
        <w:rPr>
          <w:rFonts w:ascii="Times New Roman" w:hAnsi="Times New Roman"/>
        </w:rPr>
        <w:t xml:space="preserve">De acordo com Cunha et al.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{"citationItems":[{"id":"ITEM-1","itemData":{"DOI":"10.1590/S0103-20032008000200002","ISSN":"0103-2003","abstract":"&lt;p&gt;Constituindo-se no maior fator de risco e de efetiva degradação para o Cerrado, a intervenção do homem na natureza e, em especial, na exploração agropecuária requer análise e monitoramento mais profundos. Este trabalho objetiva analisar as relações entre a exploração agropecuária e a degradação ambiental na região dos Cerrados, em 1995-1996. Em particular, pretende-se, por meio de análise estatística multivariada, verificar os fatores associados à intensidade da agropecuária, predominantes na determinação do padrão de degradação, além de obter índices de intensidade de exploração que possibilitem hierarquizar e agrupar as microrregiões em termos de potencial de degradação. Analisando os resultados alcançados verificou-se que a intensidade da exploração agropecuária manifestou-se pelo uso intensivo do solo (exploração agrícola) e de tecnologias mecânica e bioquímica; pela intensidade de exploração pecuária; e outras dimensões da agricultura. As microrregiões com maiores níveis de degradação concen traram-se no noroeste de Minas Gerais, parte do sul de Goiás, e, em parte do sudeste de Mato Grosso. Os menores valores médios do índice de degradação ficaram por conta de Tocantins, Piauí e Maranhão. O maior índice coube à microrregião Primavera do Leste (MT) e o menor a Jalapão (TO).&lt;/p&gt;","author":[{"dropping-particle":"","family":"Cunha","given":"Nina Rosa da Silveira","non-dropping-particle":"","parse-names":false,"suffix":""},{"dropping-particle":"de","family":"Lima","given":"João Eustáquio","non-dropping-particle":"","parse-names":false,"suffix":""},{"dropping-particle":"","family":"Gomes","given":"Marília Fernandes de Maciel","non-dropping-particle":"","parse-names":false,"suffix":""},{"dropping-particle":"","family":"Braga","given":"Marcelo José","non-dropping-particle":"","parse-names":false,"suffix":""}],"container-title":"Revista de Economia e Sociologia Rural","id":"ITEM-1","issue":"2","issued":{"date-parts":[["2008","6"]]},"page":"291-323","publisher":"Sociedade Brasileira de Economia e Sociologia Rural","title":"A intensidade da exploração agropecuária como indicador da degradação ambiental na região dos Cerrados, Brasil","type":"article-journal","volume":"46"},"suppress-author":1,"uris":["http://www.mendeley.com/documents/?uuid=4188a9f2-638c-3b56-8060-20fcc4fa97bb"]}],"mendeley":{"formattedCitation":"(2008)","plainTextFormattedCitation":"(2008)","previouslyFormattedCitation":"(2008)"},"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(2008)</w:t>
      </w:r>
      <w:r w:rsidR="005F3586" w:rsidRPr="007A5F45">
        <w:rPr>
          <w:rFonts w:ascii="Times New Roman" w:hAnsi="Times New Roman"/>
        </w:rPr>
        <w:fldChar w:fldCharType="end"/>
      </w:r>
      <w:r w:rsidRPr="007A5F45">
        <w:rPr>
          <w:rFonts w:ascii="Times New Roman" w:hAnsi="Times New Roman"/>
        </w:rPr>
        <w:t xml:space="preserve">, os fatores são combinações lineares de variáveis correlacionadas entre si que revelam padrões de características. Assim, os fatores explicam as correlações entre as variáveis originais. </w:t>
      </w:r>
    </w:p>
    <w:p w:rsidR="00836070" w:rsidRPr="007A5F45" w:rsidRDefault="00836070" w:rsidP="00836070">
      <w:pPr>
        <w:rPr>
          <w:rFonts w:ascii="Times New Roman" w:hAnsi="Times New Roman"/>
        </w:rPr>
      </w:pPr>
      <w:r w:rsidRPr="007A5F45">
        <w:rPr>
          <w:rFonts w:ascii="Times New Roman" w:hAnsi="Times New Roman"/>
        </w:rPr>
        <w:t xml:space="preserve">Haddad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{"citationItems":[{"id":"ITEM-1","itemData":{"author":[{"dropping-particle":"","family":"Haddad","given":"Paulo Roberto","non-dropping-particle":"","parse-names":false,"suffix":""}],"editor":[{"dropping-particle":"","family":"HADDAD, P. R.; FERREIRA, C. M. de C.; BOISER, S.; ANDRADE","given":"T. A.","non-dropping-particle":"","parse-names":false,"suffix":""}],"id":"ITEM-1","issued":{"date-parts":[["1989"]]},"number-of-pages":"694","publisher":"BNB","publisher-place":"Fortaleza","title":"Economia regional : teorias métodos de análise","type":"book"},"suppress-author":1,"uris":["http://www.mendeley.com/documents/?uuid=efc9b2a1-806c-4826-8efb-61f05708112d"]}],"mendeley":{"formattedCitation":"(1989)","plainTextFormattedCitation":"(1989)","previouslyFormattedCitation":"(1989)"},"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(1989)</w:t>
      </w:r>
      <w:r w:rsidR="005F3586" w:rsidRPr="007A5F45">
        <w:rPr>
          <w:rFonts w:ascii="Times New Roman" w:hAnsi="Times New Roman"/>
        </w:rPr>
        <w:fldChar w:fldCharType="end"/>
      </w:r>
      <w:r w:rsidRPr="007A5F45">
        <w:rPr>
          <w:rFonts w:ascii="Times New Roman" w:hAnsi="Times New Roman"/>
        </w:rPr>
        <w:t xml:space="preserve"> aponta que este método é muito utilizado para juntar regiões e locais que compartilham similaridade em seus perfis, e também para juntar variáveis para definir padrões de variações nas características. Estes fatores permitem, por exemplo, identificar o estágio de desenvolvimento econômico, social, urbano, entre outros tipos de desenvolvimento de uma determinada região. Pode-se encontrar tal procedimento na mensuração da modernização agropecuária em Minas Gerais, em Ferreira Júnior, Baptista e Lima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{"citationItems":[{"id":"ITEM-1","itemData":{"DOI":"10.1590/S0103-20032004000100004","ISSN":"0103-2003","abstract":"Este estudo objetivou identificar e caracterizar grupos distintos de microrregiões homogêneas quanto ao grau de modernização agropecuária no Estado de Minas Gerais. Para tanto foram empregadas as técnicas de análise fatorial e de análise de agrupamento, a fim de obter os fatores que refletem o padrão tecnológico e cujas relações permitam formar grupos de microrregiões semelhantes. Foram identificados 10 grupos distintos de microrregiões homogêneas, cada um possuindo combinação distinta dos fatores encontrados e que reflete o seu nível tecnológico. Os grupos encontrados constituem informação preliminar para aplicação localizada de políticas de apoio ao setor, bem como para a tomada de decisão por parte dos agentes da iniciativa privada.","author":[{"dropping-particle":"","family":"Ferreira Júnior","given":"Sílvio","non-dropping-particle":"","parse-names":false,"suffix":""},{"dropping-particle":"","family":"Baptista","given":"Antônio José M. S.","non-dropping-particle":"","parse-names":false,"suffix":""},{"dropping-particle":"de","family":"Lima","given":"João Eustáquio","non-dropping-particle":"","parse-names":false,"suffix":""}],"container-title":"Revista de Economia e Sociologia Rural","id":"ITEM-1","issue":"1","issued":{"date-parts":[["2004","1"]]},"page":"73-89","title":"A modernização agropecuária nas microrregiões do Estado de Minas Gerais","type":"article-journal","volume":"42"},"suppress-author":1,"uris":["http://www.mendeley.com/documents/?uuid=64593159-1a15-348b-8501-6909570af477"]}],"mendeley":{"formattedCitation":"(2004)","plainTextFormattedCitation":"(2004)","previouslyFormattedCitation":"(2004)"},"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(2004)</w:t>
      </w:r>
      <w:r w:rsidR="005F3586" w:rsidRPr="007A5F45">
        <w:rPr>
          <w:rFonts w:ascii="Times New Roman" w:hAnsi="Times New Roman"/>
        </w:rPr>
        <w:fldChar w:fldCharType="end"/>
      </w:r>
      <w:r w:rsidRPr="007A5F45">
        <w:rPr>
          <w:rFonts w:ascii="Times New Roman" w:hAnsi="Times New Roman"/>
        </w:rPr>
        <w:t xml:space="preserve">, no estudo do desenvolvimento rural dos municípios paranaenses, em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{"citationItems":[{"id":"ITEM-1","itemData":{"author":[{"dropping-particle":"de","family":"Melo","given":"Carmem Ozana","non-dropping-particle":"","parse-names":false,"suffix":""}],"id":"ITEM-1","issued":{"date-parts":[["2006"]]},"publisher":"Universidade Estadual de Maringá","publisher-place":"Maringá, PR","title":"Caracterização do Desenvolvimento Rural dos Município Paranaenses: Uma Análise com Base na Estatística Multivariada","type":"thesis"},"uris":["http://www.mendeley.com/documents/?uuid=e12488c8-4d43-40b6-932f-913e4720c560"]}],"mendeley":{"formattedCitation":"(MELO, 2006)","plainTextFormattedCitation":"(MELO, 2006)","previouslyFormattedCitation":"(MELO, 2006)"},"properties":{"noteIndex":0},"schema":"https://github.com/citation-style-language/schema/raw/master/csl-citation.json"}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(MELO, 2006)</w:t>
      </w:r>
      <w:r w:rsidR="005F3586" w:rsidRPr="007A5F45">
        <w:rPr>
          <w:rFonts w:ascii="Times New Roman" w:hAnsi="Times New Roman"/>
        </w:rPr>
        <w:fldChar w:fldCharType="end"/>
      </w:r>
      <w:r w:rsidRPr="007A5F45">
        <w:rPr>
          <w:rFonts w:ascii="Times New Roman" w:hAnsi="Times New Roman"/>
        </w:rPr>
        <w:t xml:space="preserve">, na análise das dinâmicas regionais do desenvolvimento rural e estilos de agricultura familiar no Rio Grande do Sul, em Conterato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{"citationItems":[{"id":"ITEM-1","itemData":{"abstract":"Este trabalho de Tese tem como tema a problematização das interfaces, relações e determinações que podem vir a afetar as transformações da agricultura familiar e, em que medida, esse processo traz repercussões e/ou influenciam as dinâmicas de desenvolvimento rural e de formação de estilos de agricultura familiar. As regiões e os respectivos municípios representativos de cada uma delas objeto da investigação foram: Serra – Veranópolis; Alto Uruguai - Três Palmeiras e; Missões - Salvador das Missões. O objetivo consiste em investigar, comparativamente, as semelhanças e diferenças no que concerne aos processos de mercantilização da agricultura familiar e suas implicações, em termos de diversificação das estratégias produtivas e reprodutivas, dos padrões de autonomia e dependência e seus desdobramentos acerca das dinâmicas territoriais de desenvolvimento rural e de estilos de agricultura familiar. Quatro hipóteses norteiam o trabalho. A primeira aponta dois tipos de mercantilização da agricultura familiar que auxiliam na explicação do tipo de desenvolvimento: um mais endógeno e autônomo (gerando economias de escopo e diversificação) e outro mais dependente e especializado (gerando economias de escala e especialização). A segunda hipótese postula que, para entender e explicar as diferenças entre as dinâmicas de desenvolvimento rural, é preciso identificar e analisar as estratégias de reprodução empregadas na agricultura familiar. A terceira assevera que a dinâmica de desenvolvimento de uma região é tributária de sua capacidade efetiva ou em potencial de integração intersetorial da economia local, na medida em que esta permite a combinação de atividades produtivas e a diversificação das fontes de renda por meio da consolidação de um mercado de trabalho não-agrícola. A quarta hipótese aponta que, para se ter um desenvolvimento rural endógeno e estilos de agricultura familiar mais autônomos e diversificados setorial e intersetorialmente, o que se produz não pode ser drenado para fora da região e acumulado por atores que não reinvestem o capital onde ele foi gerado, pois acarreta uma economia e agricultura muito vulneráveis e dependentes. Através do tratamento estatístico atribuído aos dados secundários utilizados para a construção do Índice de Desenvolvimento Rural (IDR) e aos dados primários originados da aplicação de 59 questionários padronizados em Veranópolis; 59, em Três Palmeiras; e 58, em Salvador das Missões foi possível testar a validade das hipóteses.…","author":[{"dropping-particle":"","family":"Conterato","given":"Marcelo Antonio","non-dropping-particle":"","parse-names":false,"suffix":""}],"id":"ITEM-1","issued":{"date-parts":[["2008"]]},"number-of-pages":"288","publisher":"Universidade Federal do Rio Grande do Sul","title":"DINÂMICAS REGIONAIS DO DESENVOLVIMENTO RURAL E ESTILOS DE AGRICULTURA FAMILIAR: uma análise a partir do Rio Grande do Sul","type":"thesis"},"suppress-author":1,"uris":["http://www.mendeley.com/documents/?uuid=b3b4c466-2b0d-4504-8333-a39a2950dd76"]}],"mendeley":{"formattedCitation":"(2008)","plainTextFormattedCitation":"(2008)","previouslyFormattedCitation":"(2008)"},"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(2008)</w:t>
      </w:r>
      <w:r w:rsidR="005F3586" w:rsidRPr="007A5F45">
        <w:rPr>
          <w:rFonts w:ascii="Times New Roman" w:hAnsi="Times New Roman"/>
        </w:rPr>
        <w:fldChar w:fldCharType="end"/>
      </w:r>
      <w:r w:rsidRPr="007A5F45">
        <w:rPr>
          <w:rFonts w:ascii="Times New Roman" w:hAnsi="Times New Roman"/>
        </w:rPr>
        <w:t xml:space="preserve">, no estudo do desenvolvimento rural nas microrregiões do Brasil, em Stege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{"citationItems":[{"id":"ITEM-1","itemData":{"abstract":"Devido a população rural brasileira possuir características heterogêneas de caráter social, técnica e regional se fazem necessário conhecer como está distribuído o desenvolvimento rural no Brasil. Neste sentido, o objetivo do presente estudo é analisar o desenvolvimento rural nas microrregiões brasileiras, inserido no contexto multidimensional do desenvolvimento rural. Usando a técnica da estatística multivariada, mais especificamente, a análise fatorial, elabora-se um indicador sintético, o Índice de Desenvolvimento Rural para as 558 microrregiões brasileiras. Procura-se também verificar a dependência espacial do índice calculado. Os resultados apontam um desenvolvimento rural bastante heterogêneo nas microrregiões, e que o processo de desenvolvimento rural vai além da análise do crescimento econômico medido pelo produto e renda per capita, pois foram encontrados fatores relacionados ao bem estar dos domicílios rurais, ambientais, educacionais entre outros. Verificou-se que o Índice de Desenvolvimento Rural sobre influência da proximidade espacial, ou seja, o Índice de Desenvolvimento Rural de uma microrregião interfere no Índice de Desenvolvimento Rural da microrregião vizinha.","author":[{"dropping-particle":"","family":"Stege","given":"Alysson Luiz","non-dropping-particle":"","parse-names":false,"suffix":""}],"id":"ITEM-1","issued":{"date-parts":[["2011"]]},"publisher":"Universidade Estadual de Maringá, UEM","publisher-place":"Maringá, PR","title":"Desenvolvimento rural nas microrregiões do Brasil : um estudo multidimensional","type":"thesis"},"suppress-author":1,"uris":["http://www.mendeley.com/documents/?uuid=bc58f575-ced5-463a-acc8-c81f540bb607"]}],"mendeley":{"formattedCitation":"(2011)","plainTextFormattedCitation":"(2011)","previouslyFormattedCitation":"(2011)"},"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(2011)</w:t>
      </w:r>
      <w:r w:rsidR="005F3586" w:rsidRPr="007A5F45">
        <w:rPr>
          <w:rFonts w:ascii="Times New Roman" w:hAnsi="Times New Roman"/>
        </w:rPr>
        <w:fldChar w:fldCharType="end"/>
      </w:r>
      <w:r w:rsidRPr="007A5F45">
        <w:rPr>
          <w:rFonts w:ascii="Times New Roman" w:hAnsi="Times New Roman"/>
        </w:rPr>
        <w:t xml:space="preserve">, na pesquisa do desenvolvimento rural na Amazônia brasileira, em Lobão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{"citationItems":[{"id":"ITEM-1","itemData":{"author":[{"dropping-particle":"","family":"Lobão","given":"Mário Sérgio Pedroza","non-dropping-particle":"","parse-names":false,"suffix":""}],"id":"ITEM-1","issued":{"date-parts":[["2018"]]},"number-of-pages":"185 f.","publisher":"UNIOESTE, Toledo","title":"Desenvolvimento rural na Amazônia brasileira: determinantes, níveis e distribuição regional na década de 2000","type":"thesis"},"suppress-author":1,"uris":["http://www.mendeley.com/documents/?uuid=af0e6c49-0ab2-459a-81cb-c1ce74098734"]}],"mendeley":{"formattedCitation":"(2018)","plainTextFormattedCitation":"(2018)","previouslyFormattedCitation":"(2018)"},"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(2018)</w:t>
      </w:r>
      <w:r w:rsidR="005F3586" w:rsidRPr="007A5F45">
        <w:rPr>
          <w:rFonts w:ascii="Times New Roman" w:hAnsi="Times New Roman"/>
        </w:rPr>
        <w:fldChar w:fldCharType="end"/>
      </w:r>
      <w:r w:rsidRPr="007A5F45">
        <w:rPr>
          <w:rFonts w:ascii="Times New Roman" w:hAnsi="Times New Roman"/>
        </w:rPr>
        <w:t>, entre outros.</w:t>
      </w:r>
    </w:p>
    <w:p w:rsidR="00836070" w:rsidRPr="007A5F45" w:rsidRDefault="00836070" w:rsidP="00836070">
      <w:pPr>
        <w:rPr>
          <w:rFonts w:ascii="Times New Roman" w:hAnsi="Times New Roman"/>
        </w:rPr>
      </w:pPr>
      <w:r w:rsidRPr="007A5F45">
        <w:rPr>
          <w:rFonts w:ascii="Times New Roman" w:hAnsi="Times New Roman"/>
        </w:rPr>
        <w:t xml:space="preserve">Utilizou-se na análise fatorial o método de componentes principais, em que os fatores são encontrados a partir da matriz de covariâncias ou a da matriz de correlação das variáveis originais. Esse método faz com que cada fator extraído explique de maneira decrescente as variáveis originais, assim, o primeiro fator contém o maior percentual de explicação da variância total das variáveis, o segundo fator contém o segundo maior percentual, e assim por diante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{"citationItems":[{"id":"ITEM-1","itemData":{"DOI":"10.1590/S0103-20032004000100004","ISSN":"0103-2003","abstract":"Este estudo objetivou identificar e caracterizar grupos distintos de microrregiões homogêneas quanto ao grau de modernização agropecuária no Estado de Minas Gerais. Para tanto foram empregadas as técnicas de análise fatorial e de análise de agrupamento, a fim de obter os fatores que refletem o padrão tecnológico e cujas relações permitam formar grupos de microrregiões semelhantes. Foram identificados 10 grupos distintos de microrregiões homogêneas, cada um possuindo combinação distinta dos fatores encontrados e que reflete o seu nível tecnológico. Os grupos encontrados constituem informação preliminar para aplicação localizada de políticas de apoio ao setor, bem como para a tomada de decisão por parte dos agentes da iniciativa privada.","author":[{"dropping-particle":"","family":"Ferreira Júnior","given":"Sílvio","non-dropping-particle":"","parse-names":false,"suffix":""},{"dropping-particle":"","family":"Baptista","given":"Antônio José M. S.","non-dropping-particle":"","parse-names":false,"suffix":""},{"dropping-particle":"de","family":"Lima","given":"João Eustáquio","non-dropping-particle":"","parse-names":false,"suffix":""}],"container-title":"Revista de Economia e Sociologia Rural","id":"ITEM-1","issue":"1","issued":{"date-parts":[["2004","1"]]},"page":"73-89","title":"A modernização agropecuária nas microrregiões do Estado de Minas Gerais","type":"article-journal","volume":"42"},"uris":["http://www.mendeley.com/documents/?uuid=64593159-1a15-348b-8501-6909570af477"]}],"mendeley":{"formattedCitation":"(FERREIRA JÚNIOR; BAPTISTA; LIMA, 2004)","plainTextFormattedCitation":"(FERREIRA JÚNIOR; BAPTISTA; LIMA, 2004)","previouslyFormattedCitation":"(FERREIRA JÚNIOR; BAPTISTA; LIMA, 2004)"},"properties":{"noteIndex":0},"schema":"https://github.com/citation-style-language/schema/raw/master/csl-citation.json"}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(FERREIRA JÚNIOR; BAPTISTA; LIMA, 2004)</w:t>
      </w:r>
      <w:r w:rsidR="005F3586" w:rsidRPr="007A5F45">
        <w:rPr>
          <w:rFonts w:ascii="Times New Roman" w:hAnsi="Times New Roman"/>
        </w:rPr>
        <w:fldChar w:fldCharType="end"/>
      </w:r>
      <w:r w:rsidRPr="007A5F45">
        <w:rPr>
          <w:rFonts w:ascii="Times New Roman" w:hAnsi="Times New Roman"/>
        </w:rPr>
        <w:t>.</w:t>
      </w:r>
    </w:p>
    <w:p w:rsidR="00836070" w:rsidRPr="007A5F45" w:rsidRDefault="00836070" w:rsidP="007A5F45">
      <w:pPr>
        <w:rPr>
          <w:rFonts w:ascii="Times New Roman" w:hAnsi="Times New Roman"/>
        </w:rPr>
      </w:pPr>
      <w:r w:rsidRPr="007A5F45">
        <w:rPr>
          <w:rFonts w:ascii="Times New Roman" w:hAnsi="Times New Roman"/>
        </w:rPr>
        <w:lastRenderedPageBreak/>
        <w:t xml:space="preserve">O procedimento matemático utilizado é semelhante ao visto em Melo e Parré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{"citationItems":[{"id":"ITEM-1","itemData":{"DOI":"10.1590/S0103-20032007000200005","ISSN":"0103-2003","abstract":"A implementação do modelo produtivista na agricultura brasileira provocou importantes alterações no espaço rural, afetando o seu desenvolvimento. O setor agrícola paranaense inseriu-se nesse processo, apresentando mudanças significativas na sua estrutura produtiva, com reflexos econômicos e sociais importantes no meio rural. Neste sentido, este trabalho objetivou mensurar o índice de desenvolvimento rural dos municípios paranaenses, identificando os fatores determinantes. Os resultados mostraram que, numa escala de zero a 100, o índice médio de desenvolvimento rural situou-se em 43,63, resultando num total de 179 municípios (44,86%) acima deste valor e 220 municípios (55,14%) abaixo deste índice. A ordenação de acordo com o grau de desenvolvimento evidenciou que mais da metade dos municípios se encontra nos níveis baixo, muito baixo e muitíssimo baixo de desenvolvimento rural sugerindo a necessidade de medidas no sentido de minimizar os efeitos gerados pelos aspectos que devem ser trabalhados de forma mais intensa, no sentido de melhorar a vida no campo e, por conseguinte, a situação dos municípios.","author":[{"dropping-particle":"de","family":"Melo","given":"Cármem Ozana","non-dropping-particle":"","parse-names":false,"suffix":""},{"dropping-particle":"","family":"Parré","given":"José Luiz","non-dropping-particle":"","parse-names":false,"suffix":""}],"container-title":"Revista de Economia e Sociologia Rural","id":"ITEM-1","issue":"2","issued":{"date-parts":[["2007","6"]]},"page":"329-365","publisher":"Sociedade Brasileira de Economia e Sociologia Rural","title":"Índice de desenvolvimento rural dos municípios paranaenses: determinantes e hierarquização","type":"article-journal","volume":"45"},"suppress-author":1,"uris":["http://www.mendeley.com/documents/?uuid=791a75e1-5ce9-354e-942e-4f42e4064f41"]}],"mendeley":{"formattedCitation":"(2007)","plainTextFormattedCitation":"(2007)","previouslyFormattedCitation":"(2007)"},"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(2007)</w:t>
      </w:r>
      <w:r w:rsidR="005F3586" w:rsidRPr="007A5F45">
        <w:rPr>
          <w:rFonts w:ascii="Times New Roman" w:hAnsi="Times New Roman"/>
        </w:rPr>
        <w:fldChar w:fldCharType="end"/>
      </w:r>
      <w:r w:rsidRPr="007A5F45">
        <w:rPr>
          <w:rFonts w:ascii="Times New Roman" w:hAnsi="Times New Roman"/>
        </w:rPr>
        <w:t xml:space="preserve">. A verificação do grau de desenvolvimento de cada município do Cerrado foi feita através dos escores fatoriais, ou seja, dos valores dos fatores para cada uma das 1107 observações (municípios). Através da </w:t>
      </w:r>
      <w:r w:rsidR="00097034">
        <w:rPr>
          <w:rFonts w:ascii="Times New Roman" w:hAnsi="Times New Roman"/>
        </w:rPr>
        <w:t>expressão</w:t>
      </w:r>
      <w:r w:rsidRPr="007A5F45">
        <w:rPr>
          <w:rFonts w:ascii="Times New Roman" w:hAnsi="Times New Roman"/>
        </w:rPr>
        <w:t xml:space="preserve"> </w:t>
      </w:r>
      <w:r w:rsidR="00097034">
        <w:rPr>
          <w:rFonts w:ascii="Times New Roman" w:hAnsi="Times New Roman"/>
        </w:rPr>
        <w:t>3</w:t>
      </w:r>
      <w:r w:rsidRPr="007A5F45">
        <w:rPr>
          <w:rFonts w:ascii="Times New Roman" w:hAnsi="Times New Roman"/>
        </w:rPr>
        <w:t xml:space="preserve">, obteve-se o Índice Bruto de Desenvolvimento, por meio do cálculo da média dos fatores (ponderada pela variância) pertencentes a cada observação. Como procedeu-se à análise fatorial pelo método de componentes principais (que faz com que o primeiro fator contenha o maior percentual de explicação da variância total das variáveis da amostra, o segundo fator contenha o segundo maior percentual, e assim por diante), a ponderação pela proporção de explicação da variância total exprime a importância relativa de cada fator. De acordo com Melo e Parré </w:t>
      </w:r>
      <w:r w:rsidR="005F3586" w:rsidRPr="007A5F45">
        <w:rPr>
          <w:rFonts w:ascii="Times New Roman" w:hAnsi="Times New Roman"/>
        </w:rPr>
        <w:fldChar w:fldCharType="begin" w:fldLock="1"/>
      </w:r>
      <w:r w:rsidR="0035560E" w:rsidRPr="007A5F45">
        <w:rPr>
          <w:rFonts w:ascii="Times New Roman" w:hAnsi="Times New Roman"/>
        </w:rPr>
        <w:instrText>ADDIN CSL_CITATION {"citationItems":[{"id":"ITEM-1","itemData":{"DOI":"10.1590/S0103-20032007000200005","ISSN":"0103-2003","abstract":"A implementação do modelo produtivista na agricultura brasileira provocou importantes alterações no espaço rural, afetando o seu desenvolvimento. O setor agrícola paranaense inseriu-se nesse processo, apresentando mudanças significativas na sua estrutura produtiva, com reflexos econômicos e sociais importantes no meio rural. Neste sentido, este trabalho objetivou mensurar o índice de desenvolvimento rural dos municípios paranaenses, identificando os fatores determinantes. Os resultados mostraram que, numa escala de zero a 100, o índice médio de desenvolvimento rural situou-se em 43,63, resultando num total de 179 municípios (44,86%) acima deste valor e 220 municípios (55,14%) abaixo deste índice. A ordenação de acordo com o grau de desenvolvimento evidenciou que mais da metade dos municípios se encontra nos níveis baixo, muito baixo e muitíssimo baixo de desenvolvimento rural sugerindo a necessidade de medidas no sentido de minimizar os efeitos gerados pelos aspectos que devem ser trabalhados de forma mais intensa, no sentido de melhorar a vida no campo e, por conseguinte, a situação dos municípios.","author":[{"dropping-particle":"de","family":"Melo","given":"Cármem Ozana","non-dropping-particle":"","parse-names":false,"suffix":""},{"dropping-particle":"","family":"Parré","given":"José Luiz","non-dropping-particle":"","parse-names":false,"suffix":""}],"container-title":"Revista de Economia e Sociologia Rural","id":"ITEM-1","issue":"2","issued":{"date-parts":[["2007","6"]]},"page":"329-365","publisher":"Sociedade Brasileira de Economia e Sociologia Rural","title":"Índice de desenvolvimento rural dos municípios paranaenses: determinantes e hierarquização","type":"article-journal","volume":"45"},"suppress-author":1,"uris":["http://www.mendeley.com/documents/?uuid=791a75e1-5ce9-354e-942e-4f42e4064f41"]}],"mendeley":{"formattedCitation":"(2007)","plainTextFormattedCitation":"(2007)","previouslyFormattedCitation":"(2007)"},"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(2007)</w:t>
      </w:r>
      <w:r w:rsidR="005F3586" w:rsidRPr="007A5F45">
        <w:rPr>
          <w:rFonts w:ascii="Times New Roman" w:hAnsi="Times New Roman"/>
        </w:rPr>
        <w:fldChar w:fldCharType="end"/>
      </w:r>
      <w:r w:rsidRPr="007A5F45">
        <w:rPr>
          <w:rFonts w:ascii="Times New Roman" w:hAnsi="Times New Roman"/>
        </w:rPr>
        <w:t xml:space="preserve">, resultados médios podem disfarçar algum aspecto específico de determinado município, carregando algum tipo de viés, no entanto, mesmo não permitindo uma medida ideal, estudos neste sentido podem se constituir em um passo para posteriores pesquisas. </w:t>
      </w:r>
    </w:p>
    <w:p w:rsidR="000E6B21" w:rsidRPr="007A5F45" w:rsidRDefault="000E6B21" w:rsidP="00836070">
      <w:pPr>
        <w:rPr>
          <w:rFonts w:ascii="Times New Roman" w:hAnsi="Times New Roman"/>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0E6B21" w:rsidRPr="007A5F45" w:rsidTr="000E6B21">
        <w:tc>
          <w:tcPr>
            <w:tcW w:w="3020" w:type="dxa"/>
          </w:tcPr>
          <w:p w:rsidR="000E6B21" w:rsidRPr="007A5F45" w:rsidRDefault="000E6B21" w:rsidP="00836070">
            <w:pPr>
              <w:ind w:firstLine="0"/>
              <w:rPr>
                <w:rFonts w:ascii="Times New Roman" w:hAnsi="Times New Roman"/>
              </w:rPr>
            </w:pPr>
          </w:p>
        </w:tc>
        <w:tc>
          <w:tcPr>
            <w:tcW w:w="3020" w:type="dxa"/>
          </w:tcPr>
          <w:p w:rsidR="000E6B21" w:rsidRPr="007A5F45" w:rsidRDefault="000E6B21" w:rsidP="000E6B21">
            <w:pPr>
              <w:ind w:firstLine="0"/>
              <w:jc w:val="center"/>
              <w:rPr>
                <w:rFonts w:ascii="Times New Roman" w:hAnsi="Times New Roman"/>
              </w:rPr>
            </w:pPr>
            <m:oMathPara>
              <m:oMath>
                <m:r>
                  <w:rPr>
                    <w:rFonts w:ascii="Cambria Math" w:hAnsi="Cambria Math"/>
                  </w:rPr>
                  <m:t>IB=</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F</m:t>
                            </m:r>
                          </m:e>
                          <m:sub>
                            <m:r>
                              <w:rPr>
                                <w:rFonts w:ascii="Cambria Math" w:hAnsi="Cambria Math"/>
                              </w:rPr>
                              <m:t>i</m:t>
                            </m:r>
                          </m:sub>
                        </m:sSub>
                        <m:r>
                          <w:rPr>
                            <w:rFonts w:ascii="Cambria Math" w:hAnsi="Cambria Math"/>
                          </w:rPr>
                          <m:t>)</m:t>
                        </m:r>
                      </m:e>
                    </m:nary>
                  </m:num>
                  <m:den>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w</m:t>
                            </m:r>
                          </m:e>
                          <m:sub>
                            <m:r>
                              <w:rPr>
                                <w:rFonts w:ascii="Cambria Math" w:hAnsi="Cambria Math"/>
                              </w:rPr>
                              <m:t>i</m:t>
                            </m:r>
                          </m:sub>
                        </m:sSub>
                      </m:e>
                    </m:nary>
                  </m:den>
                </m:f>
              </m:oMath>
            </m:oMathPara>
          </w:p>
        </w:tc>
        <w:tc>
          <w:tcPr>
            <w:tcW w:w="3021" w:type="dxa"/>
            <w:vAlign w:val="center"/>
          </w:tcPr>
          <w:p w:rsidR="000E6B21" w:rsidRPr="007A5F45" w:rsidRDefault="000E6B21" w:rsidP="00097034">
            <w:pPr>
              <w:ind w:firstLine="0"/>
              <w:jc w:val="right"/>
              <w:rPr>
                <w:rFonts w:ascii="Times New Roman" w:hAnsi="Times New Roman"/>
              </w:rPr>
            </w:pPr>
            <w:r w:rsidRPr="007A5F45">
              <w:rPr>
                <w:rFonts w:ascii="Times New Roman" w:hAnsi="Times New Roman"/>
              </w:rPr>
              <w:t>(</w:t>
            </w:r>
            <w:r w:rsidR="00097034">
              <w:rPr>
                <w:rFonts w:ascii="Times New Roman" w:hAnsi="Times New Roman"/>
              </w:rPr>
              <w:t>3</w:t>
            </w:r>
            <w:r w:rsidRPr="007A5F45">
              <w:rPr>
                <w:rFonts w:ascii="Times New Roman" w:hAnsi="Times New Roman"/>
              </w:rPr>
              <w:t>)</w:t>
            </w:r>
          </w:p>
        </w:tc>
      </w:tr>
    </w:tbl>
    <w:p w:rsidR="00836070" w:rsidRPr="007A5F45" w:rsidRDefault="00836070" w:rsidP="00836070">
      <w:pPr>
        <w:ind w:firstLine="0"/>
        <w:rPr>
          <w:rFonts w:ascii="Times New Roman" w:hAnsi="Times New Roman"/>
        </w:rPr>
      </w:pPr>
      <w:r w:rsidRPr="007A5F45">
        <w:rPr>
          <w:rFonts w:ascii="Times New Roman" w:hAnsi="Times New Roman"/>
        </w:rPr>
        <w:t>Sendo: IB = Índice bruto (média ponderada dos escores fatoriais)</w:t>
      </w:r>
    </w:p>
    <w:p w:rsidR="00836070" w:rsidRPr="007A5F45" w:rsidRDefault="00836070" w:rsidP="00836070">
      <w:pPr>
        <w:rPr>
          <w:rFonts w:ascii="Times New Roman" w:hAnsi="Times New Roman"/>
        </w:rPr>
      </w:pPr>
      <w:r w:rsidRPr="007A5F45">
        <w:rPr>
          <w:rFonts w:ascii="Times New Roman" w:hAnsi="Times New Roman"/>
        </w:rPr>
        <w:t>w</w:t>
      </w:r>
      <w:r w:rsidRPr="007A5F45">
        <w:rPr>
          <w:rFonts w:ascii="Times New Roman" w:hAnsi="Times New Roman"/>
          <w:vertAlign w:val="subscript"/>
        </w:rPr>
        <w:t>i</w:t>
      </w:r>
      <w:r w:rsidRPr="007A5F45">
        <w:rPr>
          <w:rFonts w:ascii="Times New Roman" w:hAnsi="Times New Roman"/>
        </w:rPr>
        <w:t> = Proporção da variância explicada por cada fator</w:t>
      </w:r>
    </w:p>
    <w:p w:rsidR="00836070" w:rsidRPr="007A5F45" w:rsidRDefault="00836070" w:rsidP="00836070">
      <w:pPr>
        <w:rPr>
          <w:rFonts w:ascii="Times New Roman" w:hAnsi="Times New Roman"/>
        </w:rPr>
      </w:pPr>
      <w:r w:rsidRPr="007A5F45">
        <w:rPr>
          <w:rFonts w:ascii="Times New Roman" w:hAnsi="Times New Roman"/>
        </w:rPr>
        <w:t>F</w:t>
      </w:r>
      <w:r w:rsidRPr="007A5F45">
        <w:rPr>
          <w:rFonts w:ascii="Times New Roman" w:hAnsi="Times New Roman"/>
          <w:vertAlign w:val="subscript"/>
        </w:rPr>
        <w:t>i</w:t>
      </w:r>
      <w:r w:rsidRPr="007A5F45">
        <w:rPr>
          <w:rFonts w:ascii="Times New Roman" w:hAnsi="Times New Roman"/>
        </w:rPr>
        <w:t> = Escores fatoriais</w:t>
      </w:r>
    </w:p>
    <w:p w:rsidR="00836070" w:rsidRPr="007A5F45" w:rsidRDefault="00836070" w:rsidP="00836070">
      <w:pPr>
        <w:rPr>
          <w:rFonts w:ascii="Times New Roman" w:hAnsi="Times New Roman"/>
        </w:rPr>
      </w:pPr>
      <w:r w:rsidRPr="007A5F45">
        <w:rPr>
          <w:rFonts w:ascii="Times New Roman" w:hAnsi="Times New Roman"/>
        </w:rPr>
        <w:t>Com o IB, faz-se interpolação, considerando o maior valor como 100 e o menor como 0, obtendo com isso, o Índice de Desenvolvimento Rural (IDR) para cada município. Foram considerados com grau de desenvolvimento muitíssimo alto (MMA) aqueles que apresentaram resultados com três desvios-padrão acima da média; muito alto (MA) aqueles com resultados entre dois e três desvios-padrão acima da média; alto (A), aqueles com valores entre um e dois desvios-padrão acima da média; médio (M), os que apresentaram resultado entre a média e um desvio-padrão acima da média; baixo (B), aqueles com resultados no intervalo entre a média e um desvio-padrão abaixo da média; muito baixo (MB), os que tiveram resultados no intervalo entre um e dois desvios-padrão abaixo da média e, por último, muitíssimo baixo (MMB), os municípios com resultados dois desvios-padrão abaixo da média.</w:t>
      </w:r>
    </w:p>
    <w:p w:rsidR="00836070" w:rsidRPr="007A5F45" w:rsidRDefault="00836070" w:rsidP="00836070">
      <w:pPr>
        <w:rPr>
          <w:rFonts w:ascii="Times New Roman" w:hAnsi="Times New Roman"/>
        </w:rPr>
      </w:pPr>
      <w:r w:rsidRPr="007A5F45">
        <w:rPr>
          <w:rFonts w:ascii="Times New Roman" w:hAnsi="Times New Roman"/>
        </w:rPr>
        <w:t>Para testar a adequação dos dados, utilizou-se a medida de adequação </w:t>
      </w:r>
      <w:r w:rsidRPr="007A5F45">
        <w:rPr>
          <w:rFonts w:ascii="Times New Roman" w:hAnsi="Times New Roman"/>
          <w:i/>
        </w:rPr>
        <w:t>Kaiser-Meyer-Olkin Measure of Sampling Adequacy</w:t>
      </w:r>
      <w:r w:rsidRPr="007A5F45">
        <w:rPr>
          <w:rFonts w:ascii="Times New Roman" w:hAnsi="Times New Roman"/>
        </w:rPr>
        <w:t xml:space="preserve"> (KMO), e o </w:t>
      </w:r>
      <w:r w:rsidRPr="007A5F45">
        <w:rPr>
          <w:rFonts w:ascii="Times New Roman" w:hAnsi="Times New Roman"/>
          <w:i/>
        </w:rPr>
        <w:t>Barlett Test of Sphericity</w:t>
      </w:r>
      <w:r w:rsidRPr="007A5F45">
        <w:rPr>
          <w:rFonts w:ascii="Times New Roman" w:hAnsi="Times New Roman"/>
        </w:rPr>
        <w:t xml:space="preserve"> (BTS).</w:t>
      </w:r>
    </w:p>
    <w:p w:rsidR="00836070" w:rsidRPr="007A5F45" w:rsidRDefault="00836070" w:rsidP="00836070">
      <w:pPr>
        <w:ind w:firstLine="0"/>
        <w:rPr>
          <w:rFonts w:ascii="Times New Roman" w:hAnsi="Times New Roman"/>
        </w:rPr>
      </w:pPr>
    </w:p>
    <w:p w:rsidR="00836070" w:rsidRPr="007A5F45" w:rsidRDefault="00026328" w:rsidP="00836070">
      <w:pPr>
        <w:pStyle w:val="Ttulo2"/>
        <w:rPr>
          <w:rFonts w:ascii="Times New Roman" w:hAnsi="Times New Roman" w:cs="Times New Roman"/>
        </w:rPr>
      </w:pPr>
      <w:bookmarkStart w:id="12" w:name="_Toc527532381"/>
      <w:bookmarkStart w:id="13" w:name="_Toc4632599"/>
      <w:r>
        <w:rPr>
          <w:rFonts w:ascii="Times New Roman" w:hAnsi="Times New Roman" w:cs="Times New Roman"/>
        </w:rPr>
        <w:t>3</w:t>
      </w:r>
      <w:r w:rsidR="00836070" w:rsidRPr="007A5F45">
        <w:rPr>
          <w:rFonts w:ascii="Times New Roman" w:hAnsi="Times New Roman" w:cs="Times New Roman"/>
        </w:rPr>
        <w:t>.</w:t>
      </w:r>
      <w:r>
        <w:rPr>
          <w:rFonts w:ascii="Times New Roman" w:hAnsi="Times New Roman" w:cs="Times New Roman"/>
        </w:rPr>
        <w:t>3</w:t>
      </w:r>
      <w:r w:rsidR="00836070" w:rsidRPr="007A5F45">
        <w:rPr>
          <w:rFonts w:ascii="Times New Roman" w:hAnsi="Times New Roman" w:cs="Times New Roman"/>
        </w:rPr>
        <w:t xml:space="preserve"> Descrição das variáveis do IDR</w:t>
      </w:r>
      <w:bookmarkEnd w:id="12"/>
      <w:bookmarkEnd w:id="13"/>
    </w:p>
    <w:p w:rsidR="00836070" w:rsidRPr="007A5F45" w:rsidRDefault="00836070" w:rsidP="00836070">
      <w:pPr>
        <w:rPr>
          <w:rFonts w:ascii="Times New Roman" w:hAnsi="Times New Roman"/>
        </w:rPr>
      </w:pPr>
      <w:r w:rsidRPr="007A5F45">
        <w:rPr>
          <w:rFonts w:ascii="Times New Roman" w:hAnsi="Times New Roman"/>
        </w:rPr>
        <w:t xml:space="preserve">O desenvolvimento rural como um todo vai além do simples avanço identificado pelo progresso econômico, engloba um conjunto de indicadores que interagem entre si, reunindo aspectos sociais, demográficos, políticos-institucionais, econômicos e ambientais, ou seja, trata-se de um fenômeno multidimensional. Com base nessas dimensões pode-se buscar variáveis que expliquem a “causa” do desenvolvimento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{"citationItems":[{"id":"ITEM-1","itemData":{"abstract":"Devido a população rural brasileira possuir características heterogêneas de caráter social, técnica e regional se fazem necessário conhecer como está distribuído o desenvolvimento rural no Brasil. Neste sentido, o objetivo do presente estudo é analisar o desenvolvimento rural nas microrregiões brasileiras, inserido no contexto multidimensional do desenvolvimento rural. Usando a técnica da estatística multivariada, mais especificamente, a análise fatorial, elabora-se um indicador sintético, o Índice de Desenvolvimento Rural para as 558 microrregiões brasileiras. Procura-se também verificar a dependência espacial do índice calculado. Os resultados apontam um desenvolvimento rural bastante heterogêneo nas microrregiões, e que o processo de desenvolvimento rural vai além da análise do crescimento econômico medido pelo produto e renda per capita, pois foram encontrados fatores relacionados ao bem estar dos domicílios rurais, ambientais, educacionais entre outros. Verificou-se que o Índice de Desenvolvimento Rural sobre influência da proximidade espacial, ou seja, o Índice de Desenvolvimento Rural de uma microrregião interfere no Índice de Desenvolvimento Rural da microrregião vizinha.","author":[{"dropping-particle":"","family":"Stege","given":"Alysson Luiz","non-dropping-particle":"","parse-names":false,"suffix":""}],"id":"ITEM-1","issued":{"date-parts":[["2011"]]},"publisher":"Universidade Estadual de Maringá, UEM","publisher-place":"Maringá, PR","title":"Desenvolvimento rural nas microrregiões do Brasil : um estudo multidimensional","type":"thesis"},"uris":["http://www.mendeley.com/documents/?uuid=bc58f575-ced5-463a-acc8-c81f540bb607"]}],"mendeley":{"formattedCitation":"(STEGE, 2011)","plainTextFormattedCitation":"(STEGE, 2011)","previouslyFormattedCitation":"(STEGE, 2011)"},"properties":{"noteIndex":0},"schema":"https://github.com/citation-style-language/schema/raw/master/csl-citation.json"}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(STEGE, 2011)</w:t>
      </w:r>
      <w:r w:rsidR="005F3586" w:rsidRPr="007A5F45">
        <w:rPr>
          <w:rFonts w:ascii="Times New Roman" w:hAnsi="Times New Roman"/>
        </w:rPr>
        <w:fldChar w:fldCharType="end"/>
      </w:r>
      <w:r w:rsidRPr="007A5F45">
        <w:rPr>
          <w:rFonts w:ascii="Times New Roman" w:hAnsi="Times New Roman"/>
        </w:rPr>
        <w:t>.</w:t>
      </w:r>
    </w:p>
    <w:p w:rsidR="00836070" w:rsidRPr="007A5F45" w:rsidRDefault="007264C3" w:rsidP="00836070">
      <w:pPr>
        <w:rPr>
          <w:rFonts w:ascii="Times New Roman" w:hAnsi="Times New Roman"/>
        </w:rPr>
      </w:pPr>
      <w:r w:rsidRPr="007A5F45">
        <w:rPr>
          <w:rFonts w:ascii="Times New Roman" w:hAnsi="Times New Roman"/>
        </w:rPr>
        <w:lastRenderedPageBreak/>
        <w:t xml:space="preserve">O </w:t>
      </w:r>
      <w:r w:rsidR="005F3586" w:rsidRPr="007A5F45">
        <w:rPr>
          <w:rFonts w:ascii="Times New Roman" w:hAnsi="Times New Roman"/>
        </w:rPr>
        <w:fldChar w:fldCharType="begin"/>
      </w:r>
      <w:r w:rsidRPr="007A5F45">
        <w:rPr>
          <w:rFonts w:ascii="Times New Roman" w:hAnsi="Times New Roman"/>
        </w:rPr>
        <w:instrText xml:space="preserve"> REF _Ref2877206 \h </w:instrText>
      </w:r>
      <w:r w:rsidR="007A5F45">
        <w:rPr>
          <w:rFonts w:ascii="Times New Roman" w:hAnsi="Times New Roman"/>
        </w:rPr>
        <w:instrText xml:space="preserve"> \* MERGEFORMAT </w:instrText>
      </w:r>
      <w:r w:rsidR="005F3586" w:rsidRPr="007A5F45">
        <w:rPr>
          <w:rFonts w:ascii="Times New Roman" w:hAnsi="Times New Roman"/>
        </w:rPr>
      </w:r>
      <w:r w:rsidR="005F3586" w:rsidRPr="007A5F45">
        <w:rPr>
          <w:rFonts w:ascii="Times New Roman" w:hAnsi="Times New Roman"/>
        </w:rPr>
        <w:fldChar w:fldCharType="separate"/>
      </w:r>
      <w:r w:rsidR="00D057EE" w:rsidRPr="007A5F45">
        <w:rPr>
          <w:rFonts w:ascii="Times New Roman" w:hAnsi="Times New Roman"/>
        </w:rPr>
        <w:t xml:space="preserve">Quadro </w:t>
      </w:r>
      <w:r w:rsidR="00E06816">
        <w:rPr>
          <w:rFonts w:ascii="Times New Roman" w:hAnsi="Times New Roman"/>
        </w:rPr>
        <w:t>1</w:t>
      </w:r>
      <w:r w:rsidR="005F3586" w:rsidRPr="007A5F45">
        <w:rPr>
          <w:rFonts w:ascii="Times New Roman" w:hAnsi="Times New Roman"/>
        </w:rPr>
        <w:fldChar w:fldCharType="end"/>
      </w:r>
      <w:r w:rsidRPr="007A5F45">
        <w:rPr>
          <w:rFonts w:ascii="Times New Roman" w:hAnsi="Times New Roman"/>
        </w:rPr>
        <w:t xml:space="preserve"> </w:t>
      </w:r>
      <w:r w:rsidR="00836070" w:rsidRPr="007A5F45">
        <w:rPr>
          <w:rFonts w:ascii="Times New Roman" w:hAnsi="Times New Roman"/>
        </w:rPr>
        <w:t>fornece uma síntese das dimensões, das variáveis, descrição, sinal que indica como a variável impacta no índice e a fonte dos dados.</w:t>
      </w:r>
    </w:p>
    <w:p w:rsidR="000E6B21" w:rsidRDefault="00836070" w:rsidP="002329BE">
      <w:pPr>
        <w:rPr>
          <w:rFonts w:ascii="Times New Roman" w:hAnsi="Times New Roman"/>
        </w:rPr>
      </w:pPr>
      <w:r w:rsidRPr="007A5F45">
        <w:rPr>
          <w:rFonts w:ascii="Times New Roman" w:hAnsi="Times New Roman"/>
        </w:rPr>
        <w:t xml:space="preserve">Escolher as variáveis que compõe o índice não é tarefa fácil e não devem ser selecionadas arbitrariamente, cada uma retrata um aspecto importante ao desenvolvimento rural, e alguns desses são quase imensuráveis, como por exemplo o caso daqueles relacionados à dimensão ambiental </w:t>
      </w:r>
      <w:r w:rsidR="005F3586" w:rsidRPr="007A5F45">
        <w:rPr>
          <w:rFonts w:ascii="Times New Roman" w:hAnsi="Times New Roman"/>
        </w:rPr>
        <w:fldChar w:fldCharType="begin" w:fldLock="1"/>
      </w:r>
      <w:r w:rsidRPr="007A5F45">
        <w:rPr>
          <w:rFonts w:ascii="Times New Roman" w:hAnsi="Times New Roman"/>
        </w:rPr>
        <w:instrText>ADDIN CSL_CITATION {"citationItems":[{"id":"ITEM-1","itemData":{"abstract":"Devido a população rural brasileira possuir características heterogêneas de caráter social, técnica e regional se fazem necessário conhecer como está distribuído o desenvolvimento rural no Brasil. Neste sentido, o objetivo do presente estudo é analisar o desenvolvimento rural nas microrregiões brasileiras, inserido no contexto multidimensional do desenvolvimento rural. Usando a técnica da estatística multivariada, mais especificamente, a análise fatorial, elabora-se um indicador sintético, o Índice de Desenvolvimento Rural para as 558 microrregiões brasileiras. Procura-se também verificar a dependência espacial do índice calculado. Os resultados apontam um desenvolvimento rural bastante heterogêneo nas microrregiões, e que o processo de desenvolvimento rural vai além da análise do crescimento econômico medido pelo produto e renda per capita, pois foram encontrados fatores relacionados ao bem estar dos domicílios rurais, ambientais, educacionais entre outros. Verificou-se que o Índice de Desenvolvimento Rural sobre influência da proximidade espacial, ou seja, o Índice de Desenvolvimento Rural de uma microrregião interfere no Índice de Desenvolvimento Rural da microrregião vizinha.","author":[{"dropping-particle":"","family":"Stege","given":"Alysson Luiz","non-dropping-particle":"","parse-names":false,"suffix":""}],"id":"ITEM-1","issued":{"date-parts":[["2011"]]},"publisher":"Universidade Estadual de Maringá, UEM","publisher-place":"Maringá, PR","title":"Desenvolvimento rural nas microrregiões do Brasil : um estudo multidimensional","type":"thesis"},"uris":["http://www.mendeley.com/documents/?uuid=bc58f575-ced5-463a-acc8-c81f540bb607"]},{"id":"ITEM-2","itemData":{"author":[{"dropping-particle":"","family":"Lobão","given":"Mário Sérgio Pedroza","non-dropping-particle":"","parse-names":false,"suffix":""}],"id":"ITEM-2","issued":{"date-parts":[["2018"]]},"number-of-pages":"185 f.","publisher":"UNIOESTE, Toledo","title":"Desenvolvimento rural na Amazônia brasileira: determinantes, níveis e distribuição regional na década de 2000","type":"thesis"},"uris":["http://www.mendeley.com/documents/?uuid=af0e6c49-0ab2-459a-81cb-c1ce74098734"]}],"mendeley":{"formattedCitation":"(LOBÃO, 2018; STEGE, 2011)","plainTextFormattedCitation":"(LOBÃO, 2018; STEGE, 2011)","previouslyFormattedCitation":"(LOBÃO, 2018; STEGE, 2011)"},"properties":{"noteIndex":0},"schema":"https://github.com/citation-style-language/schema/raw/master/csl-citation.json"}</w:instrText>
      </w:r>
      <w:r w:rsidR="005F3586" w:rsidRPr="007A5F45">
        <w:rPr>
          <w:rFonts w:ascii="Times New Roman" w:hAnsi="Times New Roman"/>
        </w:rPr>
        <w:fldChar w:fldCharType="separate"/>
      </w:r>
      <w:r w:rsidRPr="007A5F45">
        <w:rPr>
          <w:rFonts w:ascii="Times New Roman" w:hAnsi="Times New Roman"/>
          <w:noProof/>
        </w:rPr>
        <w:t>(LOBÃO, 2018; STEGE, 2011)</w:t>
      </w:r>
      <w:r w:rsidR="005F3586" w:rsidRPr="007A5F45">
        <w:rPr>
          <w:rFonts w:ascii="Times New Roman" w:hAnsi="Times New Roman"/>
        </w:rPr>
        <w:fldChar w:fldCharType="end"/>
      </w:r>
      <w:r w:rsidRPr="007A5F45">
        <w:rPr>
          <w:rFonts w:ascii="Times New Roman" w:hAnsi="Times New Roman"/>
        </w:rPr>
        <w:t>. As variáveis formarão um banco de dados englobando os 1107 municípios do Cerrado. O ano de referência é 2017, mas há variáveis de 2015 e 2016. A metodologia adotada permite essa prática.</w:t>
      </w:r>
    </w:p>
    <w:p w:rsidR="007264C3" w:rsidRPr="007A5F45" w:rsidRDefault="007264C3" w:rsidP="007264C3">
      <w:pPr>
        <w:pStyle w:val="QUADROSeTABELAS"/>
        <w:rPr>
          <w:rFonts w:ascii="Times New Roman" w:hAnsi="Times New Roman" w:cs="Times New Roman"/>
        </w:rPr>
      </w:pPr>
      <w:bookmarkStart w:id="14" w:name="_Ref2877206"/>
      <w:bookmarkStart w:id="15" w:name="_Toc4632898"/>
      <w:r w:rsidRPr="007A5F45">
        <w:rPr>
          <w:rFonts w:ascii="Times New Roman" w:hAnsi="Times New Roman" w:cs="Times New Roman"/>
        </w:rPr>
        <w:t xml:space="preserve">Quadro </w:t>
      </w:r>
      <w:bookmarkEnd w:id="14"/>
      <w:r w:rsidR="00E06816">
        <w:rPr>
          <w:rFonts w:ascii="Times New Roman" w:hAnsi="Times New Roman" w:cs="Times New Roman"/>
          <w:noProof/>
        </w:rPr>
        <w:t>1</w:t>
      </w:r>
      <w:r w:rsidR="00A428D4">
        <w:rPr>
          <w:rFonts w:ascii="Times New Roman" w:hAnsi="Times New Roman" w:cs="Times New Roman"/>
        </w:rPr>
        <w:t>:</w:t>
      </w:r>
      <w:r w:rsidRPr="007A5F45">
        <w:rPr>
          <w:rFonts w:ascii="Times New Roman" w:hAnsi="Times New Roman" w:cs="Times New Roman"/>
        </w:rPr>
        <w:t xml:space="preserve"> Resumo das variáveis do IDR</w:t>
      </w:r>
      <w:bookmarkEnd w:id="15"/>
      <w:r w:rsidR="00A428D4">
        <w:rPr>
          <w:rFonts w:ascii="Times New Roman" w:hAnsi="Times New Roman" w:cs="Times New Roman"/>
        </w:rPr>
        <w:t>.</w:t>
      </w:r>
    </w:p>
    <w:tbl>
      <w:tblPr>
        <w:tblpPr w:leftFromText="141" w:rightFromText="141" w:vertAnchor="text" w:horzAnchor="margin" w:tblpXSpec="center" w:tblpY="101"/>
        <w:tblW w:w="9493" w:type="dxa"/>
        <w:tblLayout w:type="fixed"/>
        <w:tblCellMar>
          <w:left w:w="70" w:type="dxa"/>
          <w:right w:w="70" w:type="dxa"/>
        </w:tblCellMar>
        <w:tblLook w:val="04A0" w:firstRow="1" w:lastRow="0" w:firstColumn="1" w:lastColumn="0" w:noHBand="0" w:noVBand="1"/>
      </w:tblPr>
      <w:tblGrid>
        <w:gridCol w:w="967"/>
        <w:gridCol w:w="446"/>
        <w:gridCol w:w="1276"/>
        <w:gridCol w:w="3823"/>
        <w:gridCol w:w="574"/>
        <w:gridCol w:w="1840"/>
        <w:gridCol w:w="567"/>
      </w:tblGrid>
      <w:tr w:rsidR="007264C3" w:rsidRPr="006E3E45" w:rsidTr="007A5F45">
        <w:trPr>
          <w:trHeight w:val="253"/>
        </w:trPr>
        <w:tc>
          <w:tcPr>
            <w:tcW w:w="967" w:type="dxa"/>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bookmarkStart w:id="16" w:name="_Ref527516923"/>
            <w:r w:rsidRPr="006E3E45">
              <w:rPr>
                <w:rFonts w:cs="Arial"/>
                <w:sz w:val="16"/>
                <w:szCs w:val="16"/>
                <w:lang w:eastAsia="pt-BR"/>
              </w:rPr>
              <w:t>Dimensão</w:t>
            </w:r>
          </w:p>
        </w:tc>
        <w:tc>
          <w:tcPr>
            <w:tcW w:w="446" w:type="dxa"/>
            <w:tcBorders>
              <w:top w:val="single" w:sz="4" w:space="0" w:color="auto"/>
              <w:left w:val="nil"/>
              <w:bottom w:val="single" w:sz="4" w:space="0" w:color="auto"/>
              <w:right w:val="single" w:sz="4" w:space="0" w:color="auto"/>
            </w:tcBorders>
            <w:shd w:val="clear" w:color="000000" w:fill="E7E6E6"/>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Var.</w:t>
            </w:r>
          </w:p>
        </w:tc>
        <w:tc>
          <w:tcPr>
            <w:tcW w:w="1276" w:type="dxa"/>
            <w:tcBorders>
              <w:top w:val="single" w:sz="4" w:space="0" w:color="auto"/>
              <w:left w:val="nil"/>
              <w:bottom w:val="single" w:sz="4" w:space="0" w:color="auto"/>
              <w:right w:val="single" w:sz="4" w:space="0" w:color="auto"/>
            </w:tcBorders>
            <w:shd w:val="clear" w:color="000000" w:fill="E7E6E6"/>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resumo</w:t>
            </w:r>
          </w:p>
        </w:tc>
        <w:tc>
          <w:tcPr>
            <w:tcW w:w="3823" w:type="dxa"/>
            <w:tcBorders>
              <w:top w:val="single" w:sz="4" w:space="0" w:color="auto"/>
              <w:left w:val="nil"/>
              <w:bottom w:val="single" w:sz="4" w:space="0" w:color="auto"/>
              <w:right w:val="single" w:sz="4" w:space="0" w:color="auto"/>
            </w:tcBorders>
            <w:shd w:val="clear" w:color="000000" w:fill="E7E6E6"/>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Descrição</w:t>
            </w:r>
          </w:p>
        </w:tc>
        <w:tc>
          <w:tcPr>
            <w:tcW w:w="574" w:type="dxa"/>
            <w:tcBorders>
              <w:top w:val="single" w:sz="4" w:space="0" w:color="auto"/>
              <w:left w:val="nil"/>
              <w:bottom w:val="single" w:sz="4" w:space="0" w:color="auto"/>
              <w:right w:val="single" w:sz="4" w:space="0" w:color="auto"/>
            </w:tcBorders>
            <w:shd w:val="clear" w:color="000000" w:fill="E7E6E6"/>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Sinal</w:t>
            </w:r>
          </w:p>
        </w:tc>
        <w:tc>
          <w:tcPr>
            <w:tcW w:w="1840" w:type="dxa"/>
            <w:tcBorders>
              <w:top w:val="single" w:sz="4" w:space="0" w:color="auto"/>
              <w:left w:val="nil"/>
              <w:bottom w:val="single" w:sz="4" w:space="0" w:color="auto"/>
              <w:right w:val="single" w:sz="4" w:space="0" w:color="auto"/>
            </w:tcBorders>
            <w:shd w:val="clear" w:color="000000" w:fill="E7E6E6"/>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Fonte</w:t>
            </w:r>
          </w:p>
        </w:tc>
        <w:tc>
          <w:tcPr>
            <w:tcW w:w="567" w:type="dxa"/>
            <w:tcBorders>
              <w:top w:val="single" w:sz="4" w:space="0" w:color="auto"/>
              <w:left w:val="nil"/>
              <w:bottom w:val="single" w:sz="4" w:space="0" w:color="auto"/>
              <w:right w:val="single" w:sz="4" w:space="0" w:color="auto"/>
            </w:tcBorders>
            <w:shd w:val="clear" w:color="000000" w:fill="E7E6E6"/>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Ano</w:t>
            </w:r>
          </w:p>
        </w:tc>
      </w:tr>
      <w:tr w:rsidR="007264C3" w:rsidRPr="006E3E45" w:rsidTr="007A5F45">
        <w:trPr>
          <w:cantSplit/>
          <w:trHeight w:val="855"/>
        </w:trPr>
        <w:tc>
          <w:tcPr>
            <w:tcW w:w="967" w:type="dxa"/>
            <w:tcBorders>
              <w:top w:val="nil"/>
              <w:left w:val="single" w:sz="4" w:space="0" w:color="auto"/>
              <w:bottom w:val="single" w:sz="4" w:space="0" w:color="auto"/>
              <w:right w:val="single" w:sz="4" w:space="0" w:color="auto"/>
            </w:tcBorders>
            <w:shd w:val="clear" w:color="auto" w:fill="auto"/>
            <w:textDirection w:val="btLr"/>
            <w:vAlign w:val="center"/>
            <w:hideMark/>
          </w:tcPr>
          <w:p w:rsidR="007264C3" w:rsidRPr="006E3E45" w:rsidRDefault="007264C3" w:rsidP="007264C3">
            <w:pPr>
              <w:suppressAutoHyphens w:val="0"/>
              <w:spacing w:line="240" w:lineRule="auto"/>
              <w:ind w:left="113" w:right="113" w:firstLine="0"/>
              <w:jc w:val="center"/>
              <w:rPr>
                <w:rFonts w:cs="Arial"/>
                <w:sz w:val="16"/>
                <w:szCs w:val="16"/>
                <w:lang w:eastAsia="pt-BR"/>
              </w:rPr>
            </w:pPr>
            <w:r w:rsidRPr="006E3E45">
              <w:rPr>
                <w:rFonts w:cs="Arial"/>
                <w:sz w:val="16"/>
                <w:szCs w:val="16"/>
                <w:lang w:eastAsia="pt-BR"/>
              </w:rPr>
              <w:t>dotação inicial</w:t>
            </w: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PIB per capita (R$)</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PIB per capita (R$)</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IBGE - PIB dos municípios</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2015</w:t>
            </w:r>
          </w:p>
        </w:tc>
      </w:tr>
      <w:tr w:rsidR="007264C3" w:rsidRPr="006E3E45" w:rsidTr="007A5F45">
        <w:trPr>
          <w:trHeight w:val="429"/>
        </w:trPr>
        <w:tc>
          <w:tcPr>
            <w:tcW w:w="96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264C3" w:rsidRPr="006E3E45" w:rsidRDefault="007264C3" w:rsidP="007264C3">
            <w:pPr>
              <w:suppressAutoHyphens w:val="0"/>
              <w:spacing w:line="240" w:lineRule="auto"/>
              <w:ind w:left="113" w:right="113" w:firstLine="0"/>
              <w:jc w:val="center"/>
              <w:rPr>
                <w:rFonts w:cs="Arial"/>
                <w:sz w:val="16"/>
                <w:szCs w:val="16"/>
                <w:lang w:eastAsia="pt-BR"/>
              </w:rPr>
            </w:pPr>
            <w:r w:rsidRPr="006E3E45">
              <w:rPr>
                <w:rFonts w:cs="Arial"/>
                <w:sz w:val="16"/>
                <w:szCs w:val="16"/>
                <w:lang w:eastAsia="pt-BR"/>
              </w:rPr>
              <w:t>Demografia e Isolamento Territorial</w:t>
            </w: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 xml:space="preserve">densidade demogr. </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número de pessoas por Km2</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IBGE - Estimativas de população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29"/>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X3</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pessoal ocupado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pessoal ocupado em estabelecimentos agropecuários</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29"/>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X4</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veículos</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número de veículos por estabelecimento</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29"/>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X5</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telefone</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estabelecimentos que possuem telefone</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29"/>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X6</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internet</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estabelecimentos que possuem acesso à internet</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391"/>
        </w:trPr>
        <w:tc>
          <w:tcPr>
            <w:tcW w:w="96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264C3" w:rsidRPr="006E3E45" w:rsidRDefault="007264C3" w:rsidP="007264C3">
            <w:pPr>
              <w:suppressAutoHyphens w:val="0"/>
              <w:spacing w:line="240" w:lineRule="auto"/>
              <w:ind w:left="113" w:right="113" w:firstLine="0"/>
              <w:jc w:val="center"/>
              <w:rPr>
                <w:rFonts w:cs="Arial"/>
                <w:sz w:val="16"/>
                <w:szCs w:val="16"/>
                <w:lang w:eastAsia="pt-BR"/>
              </w:rPr>
            </w:pPr>
            <w:r w:rsidRPr="006E3E45">
              <w:rPr>
                <w:rFonts w:cs="Arial"/>
                <w:sz w:val="16"/>
                <w:szCs w:val="16"/>
                <w:lang w:eastAsia="pt-BR"/>
              </w:rPr>
              <w:t>Social</w:t>
            </w: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X7</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energia elétrica</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estabelecimentos que possuem energia elétrica</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391"/>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X8</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água rede geral</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famílias rurais com abastecimento de água encanada</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Datasus</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2015</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X9</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esgoto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famílias rurais com sistema de esgoto</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Datasus</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2015</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X10</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lixo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famílias que possuem coleta de lixo na residência</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Datasus</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2015</w:t>
            </w:r>
          </w:p>
        </w:tc>
      </w:tr>
      <w:tr w:rsidR="007264C3" w:rsidRPr="006E3E45" w:rsidTr="007A5F45">
        <w:trPr>
          <w:trHeight w:val="379"/>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X11</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leitos</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número de leitos por estabelecimento agropecuário</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Datasus</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X12</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óbitos</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número de óbitos por causas evitáveis em crianças menores de 5 anos</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MS/SUS/CGIAE</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2016</w:t>
            </w:r>
          </w:p>
        </w:tc>
      </w:tr>
      <w:tr w:rsidR="007264C3" w:rsidRPr="006E3E45" w:rsidTr="007A5F45">
        <w:trPr>
          <w:trHeight w:val="429"/>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X13</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Alfabetização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produtores e cônjuges que sabem ler e escrever</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608"/>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X14</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Ensino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número de alunos matriculados nos ensinos pré-escolar, fundamental e médio na zona rural</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Escolar - INEP</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253"/>
        </w:trPr>
        <w:tc>
          <w:tcPr>
            <w:tcW w:w="96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264C3" w:rsidRPr="006E3E45" w:rsidRDefault="007264C3" w:rsidP="007264C3">
            <w:pPr>
              <w:suppressAutoHyphens w:val="0"/>
              <w:spacing w:line="240" w:lineRule="auto"/>
              <w:ind w:left="113" w:right="113" w:firstLine="0"/>
              <w:jc w:val="center"/>
              <w:rPr>
                <w:rFonts w:cs="Arial"/>
                <w:sz w:val="16"/>
                <w:szCs w:val="16"/>
                <w:lang w:eastAsia="pt-BR"/>
              </w:rPr>
            </w:pPr>
            <w:r w:rsidRPr="006E3E45">
              <w:rPr>
                <w:rFonts w:cs="Arial"/>
                <w:sz w:val="16"/>
                <w:szCs w:val="16"/>
                <w:lang w:eastAsia="pt-BR"/>
              </w:rPr>
              <w:t>Econômico</w:t>
            </w: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X15</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VBP Animal</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VBP animal em relação VBP agropecuária</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PPM</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X16</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VBP Vegetal</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VBP vegetal e silvicultura em relação ao VBP agropecuária</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PEVS</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X17</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VBP Agricultura</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VBP agrícola em relação ao VBP agropecuária</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PAM</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253"/>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X18</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VBP por hectare</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VBP agropecuária por hectare</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PPM/PEVS/PAM/CA</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X19</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PIB agrope</w:t>
            </w:r>
            <w:r>
              <w:rPr>
                <w:rFonts w:cs="Arial"/>
                <w:color w:val="000000"/>
                <w:sz w:val="16"/>
                <w:szCs w:val="16"/>
                <w:lang w:eastAsia="pt-BR"/>
              </w:rPr>
              <w:t>cuária</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 xml:space="preserve">Participação do PIB da agropecuária no PIB </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 </w:t>
            </w:r>
            <w:r w:rsidR="00D9182D">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 </w:t>
            </w:r>
            <w:r w:rsidR="00815719">
              <w:rPr>
                <w:rFonts w:cs="Arial"/>
                <w:sz w:val="16"/>
                <w:szCs w:val="16"/>
                <w:lang w:eastAsia="pt-BR"/>
              </w:rPr>
              <w:t>IBGE</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 </w:t>
            </w:r>
            <w:r w:rsidR="00815719">
              <w:rPr>
                <w:rFonts w:cs="Arial"/>
                <w:sz w:val="16"/>
                <w:szCs w:val="16"/>
                <w:lang w:eastAsia="pt-BR"/>
              </w:rPr>
              <w:t>2015</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X20</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Salário médio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Salário médio nominal da agropecuária (R$)</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RAIS</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519"/>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X21</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Com. da produção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estabelecimentos que produzem com a finalidade de comércio/escambo</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X22</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Tratores</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estabelecimentos que possuem tratores</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textDirection w:val="btLr"/>
            <w:vAlign w:val="center"/>
            <w:hideMark/>
          </w:tcPr>
          <w:p w:rsidR="007264C3" w:rsidRPr="006E3E45" w:rsidRDefault="007264C3" w:rsidP="007264C3">
            <w:pPr>
              <w:suppressAutoHyphens w:val="0"/>
              <w:spacing w:line="240" w:lineRule="auto"/>
              <w:ind w:left="113" w:right="113"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X23</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Financiamento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estabelecimentos que obtiveram financiamento</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379"/>
        </w:trPr>
        <w:tc>
          <w:tcPr>
            <w:tcW w:w="967" w:type="dxa"/>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rsidR="007264C3" w:rsidRPr="006E3E45" w:rsidRDefault="007264C3" w:rsidP="007264C3">
            <w:pPr>
              <w:suppressAutoHyphens w:val="0"/>
              <w:spacing w:line="240" w:lineRule="auto"/>
              <w:ind w:left="113" w:right="113" w:firstLine="0"/>
              <w:jc w:val="center"/>
              <w:rPr>
                <w:rFonts w:cs="Arial"/>
                <w:sz w:val="16"/>
                <w:szCs w:val="16"/>
                <w:lang w:eastAsia="pt-BR"/>
              </w:rPr>
            </w:pPr>
            <w:r w:rsidRPr="006E3E45">
              <w:rPr>
                <w:rFonts w:cs="Arial"/>
                <w:sz w:val="16"/>
                <w:szCs w:val="16"/>
                <w:lang w:eastAsia="pt-BR"/>
              </w:rPr>
              <w:t>Ambiental</w:t>
            </w: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X24</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Orgânico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estabelecimentos que fazem uso da agropecuária orgânica</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56"/>
        </w:trPr>
        <w:tc>
          <w:tcPr>
            <w:tcW w:w="967" w:type="dxa"/>
            <w:vMerge/>
            <w:tcBorders>
              <w:top w:val="nil"/>
              <w:left w:val="single" w:sz="4" w:space="0" w:color="auto"/>
              <w:bottom w:val="single" w:sz="4" w:space="0" w:color="auto"/>
              <w:right w:val="single" w:sz="4" w:space="0" w:color="auto"/>
            </w:tcBorders>
            <w:vAlign w:val="center"/>
            <w:hideMark/>
          </w:tcPr>
          <w:p w:rsidR="007264C3" w:rsidRPr="006E3E45" w:rsidRDefault="007264C3" w:rsidP="007264C3">
            <w:pPr>
              <w:suppressAutoHyphens w:val="0"/>
              <w:spacing w:line="240" w:lineRule="auto"/>
              <w:ind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X25</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Agrotóxico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proporção de estabelecimentos que usaram agrotóxico</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05"/>
        </w:trPr>
        <w:tc>
          <w:tcPr>
            <w:tcW w:w="967" w:type="dxa"/>
            <w:vMerge/>
            <w:tcBorders>
              <w:top w:val="nil"/>
              <w:left w:val="single" w:sz="4" w:space="0" w:color="auto"/>
              <w:bottom w:val="single" w:sz="4" w:space="0" w:color="auto"/>
              <w:right w:val="single" w:sz="4" w:space="0" w:color="auto"/>
            </w:tcBorders>
            <w:vAlign w:val="center"/>
            <w:hideMark/>
          </w:tcPr>
          <w:p w:rsidR="007264C3" w:rsidRPr="006E3E45" w:rsidRDefault="007264C3" w:rsidP="007264C3">
            <w:pPr>
              <w:suppressAutoHyphens w:val="0"/>
              <w:spacing w:line="240" w:lineRule="auto"/>
              <w:ind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X26</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Pastagem Natural</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relação entre área de pastagem plantada e natural</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429"/>
        </w:trPr>
        <w:tc>
          <w:tcPr>
            <w:tcW w:w="967" w:type="dxa"/>
            <w:vMerge/>
            <w:tcBorders>
              <w:top w:val="nil"/>
              <w:left w:val="single" w:sz="4" w:space="0" w:color="auto"/>
              <w:bottom w:val="single" w:sz="4" w:space="0" w:color="auto"/>
              <w:right w:val="single" w:sz="4" w:space="0" w:color="auto"/>
            </w:tcBorders>
            <w:vAlign w:val="center"/>
            <w:hideMark/>
          </w:tcPr>
          <w:p w:rsidR="007264C3" w:rsidRPr="006E3E45" w:rsidRDefault="007264C3" w:rsidP="007264C3">
            <w:pPr>
              <w:suppressAutoHyphens w:val="0"/>
              <w:spacing w:line="240" w:lineRule="auto"/>
              <w:ind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X27</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Área de lavouras</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relação entre área de lavouras e outros usos</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Censo Agropecuário</w:t>
            </w:r>
          </w:p>
        </w:tc>
        <w:tc>
          <w:tcPr>
            <w:tcW w:w="567"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2017</w:t>
            </w:r>
          </w:p>
        </w:tc>
      </w:tr>
      <w:tr w:rsidR="007264C3" w:rsidRPr="006E3E45" w:rsidTr="007A5F45">
        <w:trPr>
          <w:trHeight w:val="231"/>
        </w:trPr>
        <w:tc>
          <w:tcPr>
            <w:tcW w:w="967" w:type="dxa"/>
            <w:vMerge/>
            <w:tcBorders>
              <w:top w:val="nil"/>
              <w:left w:val="single" w:sz="4" w:space="0" w:color="auto"/>
              <w:bottom w:val="single" w:sz="4" w:space="0" w:color="auto"/>
              <w:right w:val="single" w:sz="4" w:space="0" w:color="auto"/>
            </w:tcBorders>
            <w:vAlign w:val="center"/>
            <w:hideMark/>
          </w:tcPr>
          <w:p w:rsidR="007264C3" w:rsidRPr="006E3E45" w:rsidRDefault="007264C3" w:rsidP="007264C3">
            <w:pPr>
              <w:suppressAutoHyphens w:val="0"/>
              <w:spacing w:line="240" w:lineRule="auto"/>
              <w:ind w:firstLine="0"/>
              <w:jc w:val="left"/>
              <w:rPr>
                <w:rFonts w:cs="Arial"/>
                <w:sz w:val="16"/>
                <w:szCs w:val="16"/>
                <w:lang w:eastAsia="pt-BR"/>
              </w:rPr>
            </w:pPr>
          </w:p>
        </w:tc>
        <w:tc>
          <w:tcPr>
            <w:tcW w:w="44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X28</w:t>
            </w:r>
          </w:p>
        </w:tc>
        <w:tc>
          <w:tcPr>
            <w:tcW w:w="1276"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color w:val="000000"/>
                <w:sz w:val="16"/>
                <w:szCs w:val="16"/>
                <w:lang w:eastAsia="pt-BR"/>
              </w:rPr>
            </w:pPr>
            <w:r w:rsidRPr="006E3E45">
              <w:rPr>
                <w:rFonts w:cs="Arial"/>
                <w:color w:val="000000"/>
                <w:sz w:val="16"/>
                <w:szCs w:val="16"/>
                <w:lang w:eastAsia="pt-BR"/>
              </w:rPr>
              <w:t>Desmatamento</w:t>
            </w:r>
          </w:p>
        </w:tc>
        <w:tc>
          <w:tcPr>
            <w:tcW w:w="3823"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 xml:space="preserve">área desmatada no período 2002 - 2010 </w:t>
            </w:r>
          </w:p>
        </w:tc>
        <w:tc>
          <w:tcPr>
            <w:tcW w:w="574"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w:t>
            </w:r>
          </w:p>
        </w:tc>
        <w:tc>
          <w:tcPr>
            <w:tcW w:w="1840" w:type="dxa"/>
            <w:tcBorders>
              <w:top w:val="nil"/>
              <w:left w:val="nil"/>
              <w:bottom w:val="single" w:sz="4" w:space="0" w:color="auto"/>
              <w:right w:val="single" w:sz="4" w:space="0" w:color="auto"/>
            </w:tcBorders>
            <w:shd w:val="clear" w:color="auto" w:fill="auto"/>
            <w:noWrap/>
            <w:vAlign w:val="center"/>
            <w:hideMark/>
          </w:tcPr>
          <w:p w:rsidR="007264C3" w:rsidRPr="006E3E45" w:rsidRDefault="007264C3" w:rsidP="007264C3">
            <w:pPr>
              <w:suppressAutoHyphens w:val="0"/>
              <w:spacing w:line="240" w:lineRule="auto"/>
              <w:ind w:firstLine="0"/>
              <w:jc w:val="left"/>
              <w:rPr>
                <w:rFonts w:cs="Arial"/>
                <w:sz w:val="16"/>
                <w:szCs w:val="16"/>
                <w:lang w:eastAsia="pt-BR"/>
              </w:rPr>
            </w:pPr>
            <w:r w:rsidRPr="006E3E45">
              <w:rPr>
                <w:rFonts w:cs="Arial"/>
                <w:sz w:val="16"/>
                <w:szCs w:val="16"/>
                <w:lang w:eastAsia="pt-BR"/>
              </w:rPr>
              <w:t>MMA</w:t>
            </w:r>
          </w:p>
        </w:tc>
        <w:tc>
          <w:tcPr>
            <w:tcW w:w="567" w:type="dxa"/>
            <w:tcBorders>
              <w:top w:val="nil"/>
              <w:left w:val="nil"/>
              <w:bottom w:val="single" w:sz="4" w:space="0" w:color="auto"/>
              <w:right w:val="single" w:sz="4" w:space="0" w:color="auto"/>
            </w:tcBorders>
            <w:shd w:val="clear" w:color="auto" w:fill="auto"/>
            <w:vAlign w:val="center"/>
            <w:hideMark/>
          </w:tcPr>
          <w:p w:rsidR="007264C3" w:rsidRPr="006E3E45" w:rsidRDefault="007264C3" w:rsidP="007264C3">
            <w:pPr>
              <w:suppressAutoHyphens w:val="0"/>
              <w:spacing w:line="240" w:lineRule="auto"/>
              <w:ind w:firstLine="0"/>
              <w:jc w:val="center"/>
              <w:rPr>
                <w:rFonts w:cs="Arial"/>
                <w:sz w:val="16"/>
                <w:szCs w:val="16"/>
                <w:lang w:eastAsia="pt-BR"/>
              </w:rPr>
            </w:pPr>
            <w:r w:rsidRPr="006E3E45">
              <w:rPr>
                <w:rFonts w:cs="Arial"/>
                <w:sz w:val="16"/>
                <w:szCs w:val="16"/>
                <w:lang w:eastAsia="pt-BR"/>
              </w:rPr>
              <w:t>2010</w:t>
            </w:r>
          </w:p>
        </w:tc>
      </w:tr>
    </w:tbl>
    <w:bookmarkEnd w:id="16"/>
    <w:p w:rsidR="007264C3" w:rsidRPr="007A5F45" w:rsidRDefault="007264C3" w:rsidP="007264C3">
      <w:pPr>
        <w:ind w:firstLine="0"/>
        <w:rPr>
          <w:rFonts w:ascii="Times New Roman" w:hAnsi="Times New Roman"/>
        </w:rPr>
      </w:pPr>
      <w:r w:rsidRPr="007A5F45">
        <w:rPr>
          <w:rFonts w:ascii="Times New Roman" w:hAnsi="Times New Roman"/>
        </w:rPr>
        <w:t>Fonte: elaboração própria</w:t>
      </w:r>
    </w:p>
    <w:p w:rsidR="007264C3" w:rsidRDefault="007264C3" w:rsidP="007264C3">
      <w:pPr>
        <w:ind w:firstLine="0"/>
        <w:rPr>
          <w:rFonts w:ascii="Times New Roman" w:hAnsi="Times New Roman"/>
        </w:rPr>
      </w:pPr>
    </w:p>
    <w:p w:rsidR="0058039A" w:rsidRPr="00F45834" w:rsidRDefault="00026328" w:rsidP="0058039A">
      <w:pPr>
        <w:pStyle w:val="Ttulo1"/>
        <w:rPr>
          <w:rFonts w:ascii="Times New Roman" w:hAnsi="Times New Roman" w:cs="Times New Roman"/>
        </w:rPr>
      </w:pPr>
      <w:bookmarkStart w:id="17" w:name="_Toc527532391"/>
      <w:bookmarkStart w:id="18" w:name="_Toc4632610"/>
      <w:r>
        <w:rPr>
          <w:rFonts w:ascii="Times New Roman" w:hAnsi="Times New Roman" w:cs="Times New Roman"/>
        </w:rPr>
        <w:t>4</w:t>
      </w:r>
      <w:r w:rsidR="0058039A" w:rsidRPr="00F45834">
        <w:rPr>
          <w:rFonts w:ascii="Times New Roman" w:hAnsi="Times New Roman" w:cs="Times New Roman"/>
        </w:rPr>
        <w:t xml:space="preserve"> ANÁLISE DOS RESULTADOS</w:t>
      </w:r>
      <w:bookmarkEnd w:id="17"/>
      <w:bookmarkEnd w:id="18"/>
      <w:r w:rsidR="0058039A" w:rsidRPr="00F45834">
        <w:rPr>
          <w:rFonts w:ascii="Times New Roman" w:hAnsi="Times New Roman" w:cs="Times New Roman"/>
        </w:rPr>
        <w:tab/>
      </w:r>
    </w:p>
    <w:p w:rsidR="0058039A" w:rsidRPr="00F45834" w:rsidRDefault="0058039A" w:rsidP="00755868">
      <w:pPr>
        <w:pStyle w:val="Pargrafo"/>
        <w:spacing w:line="360" w:lineRule="auto"/>
        <w:ind w:firstLine="0"/>
        <w:rPr>
          <w:rFonts w:ascii="Times New Roman" w:hAnsi="Times New Roman" w:cs="Times New Roman"/>
        </w:rPr>
      </w:pPr>
    </w:p>
    <w:p w:rsidR="0058039A" w:rsidRPr="00F45834" w:rsidRDefault="00F33931" w:rsidP="00755868">
      <w:pPr>
        <w:rPr>
          <w:rFonts w:ascii="Times New Roman" w:hAnsi="Times New Roman"/>
        </w:rPr>
      </w:pPr>
      <w:r>
        <w:rPr>
          <w:rFonts w:ascii="Times New Roman" w:hAnsi="Times New Roman"/>
        </w:rPr>
        <w:t>Nessa seção</w:t>
      </w:r>
      <w:r w:rsidR="0058039A" w:rsidRPr="00F45834">
        <w:rPr>
          <w:rFonts w:ascii="Times New Roman" w:hAnsi="Times New Roman"/>
        </w:rPr>
        <w:t xml:space="preserve">, serão apresentados os principais resultados do trabalho, sendo dividido em </w:t>
      </w:r>
      <w:r w:rsidR="00030B03" w:rsidRPr="00F45834">
        <w:rPr>
          <w:rFonts w:ascii="Times New Roman" w:hAnsi="Times New Roman"/>
        </w:rPr>
        <w:t>três</w:t>
      </w:r>
      <w:r w:rsidR="0058039A" w:rsidRPr="00F45834">
        <w:rPr>
          <w:rFonts w:ascii="Times New Roman" w:hAnsi="Times New Roman"/>
        </w:rPr>
        <w:t xml:space="preserve"> seções. A primeira seção verifica o nível de diversificação </w:t>
      </w:r>
      <w:r w:rsidR="00942E18" w:rsidRPr="00F45834">
        <w:rPr>
          <w:rFonts w:ascii="Times New Roman" w:hAnsi="Times New Roman"/>
        </w:rPr>
        <w:t xml:space="preserve">agropecuária </w:t>
      </w:r>
      <w:r w:rsidR="0058039A" w:rsidRPr="00F45834">
        <w:rPr>
          <w:rFonts w:ascii="Times New Roman" w:hAnsi="Times New Roman"/>
        </w:rPr>
        <w:t>dos municípios através do índice de diversificação de Shannon</w:t>
      </w:r>
      <w:r w:rsidR="00942E18" w:rsidRPr="00F45834">
        <w:rPr>
          <w:rFonts w:ascii="Times New Roman" w:hAnsi="Times New Roman"/>
        </w:rPr>
        <w:t>-Valor</w:t>
      </w:r>
      <w:r w:rsidR="0058039A" w:rsidRPr="00F45834">
        <w:rPr>
          <w:rFonts w:ascii="Times New Roman" w:hAnsi="Times New Roman"/>
        </w:rPr>
        <w:t>,</w:t>
      </w:r>
      <w:r w:rsidR="00CB2636" w:rsidRPr="00F45834">
        <w:rPr>
          <w:rFonts w:ascii="Times New Roman" w:hAnsi="Times New Roman"/>
        </w:rPr>
        <w:t xml:space="preserve"> </w:t>
      </w:r>
      <w:r w:rsidR="0058039A" w:rsidRPr="00F45834">
        <w:rPr>
          <w:rFonts w:ascii="Times New Roman" w:hAnsi="Times New Roman"/>
        </w:rPr>
        <w:t xml:space="preserve">a segunda </w:t>
      </w:r>
      <w:r w:rsidR="000553BD" w:rsidRPr="00F45834">
        <w:rPr>
          <w:rFonts w:ascii="Times New Roman" w:hAnsi="Times New Roman"/>
        </w:rPr>
        <w:t xml:space="preserve">seção </w:t>
      </w:r>
      <w:r w:rsidR="0058039A" w:rsidRPr="00F45834">
        <w:rPr>
          <w:rFonts w:ascii="Times New Roman" w:hAnsi="Times New Roman"/>
        </w:rPr>
        <w:t xml:space="preserve">apresenta o grau de desenvolvimento rural dos municípios através do IDR, </w:t>
      </w:r>
      <w:r w:rsidR="000553BD" w:rsidRPr="00F45834">
        <w:rPr>
          <w:rFonts w:ascii="Times New Roman" w:hAnsi="Times New Roman"/>
        </w:rPr>
        <w:t xml:space="preserve">e </w:t>
      </w:r>
      <w:r w:rsidR="0058039A" w:rsidRPr="00F45834">
        <w:rPr>
          <w:rFonts w:ascii="Times New Roman" w:hAnsi="Times New Roman"/>
        </w:rPr>
        <w:t xml:space="preserve">a </w:t>
      </w:r>
      <w:r w:rsidR="00030B03" w:rsidRPr="00F45834">
        <w:rPr>
          <w:rFonts w:ascii="Times New Roman" w:hAnsi="Times New Roman"/>
        </w:rPr>
        <w:t>terceir</w:t>
      </w:r>
      <w:r w:rsidR="000553BD" w:rsidRPr="00F45834">
        <w:rPr>
          <w:rFonts w:ascii="Times New Roman" w:hAnsi="Times New Roman"/>
        </w:rPr>
        <w:t xml:space="preserve">a </w:t>
      </w:r>
      <w:r w:rsidR="0058039A" w:rsidRPr="00F45834">
        <w:rPr>
          <w:rFonts w:ascii="Times New Roman" w:hAnsi="Times New Roman"/>
        </w:rPr>
        <w:t>seção mostra a</w:t>
      </w:r>
      <w:r w:rsidR="000553BD" w:rsidRPr="00F45834">
        <w:rPr>
          <w:rFonts w:ascii="Times New Roman" w:hAnsi="Times New Roman"/>
        </w:rPr>
        <w:t xml:space="preserve"> relação entre o desenvolvimento rural e a diversificação agropecuária</w:t>
      </w:r>
      <w:r w:rsidR="004506C8" w:rsidRPr="00F45834">
        <w:rPr>
          <w:rFonts w:ascii="Times New Roman" w:hAnsi="Times New Roman"/>
          <w:color w:val="000000" w:themeColor="text1"/>
        </w:rPr>
        <w:t>.</w:t>
      </w:r>
    </w:p>
    <w:p w:rsidR="005F5895" w:rsidRPr="00F45834" w:rsidRDefault="005F5895" w:rsidP="0058039A">
      <w:pPr>
        <w:pStyle w:val="Ttulo2"/>
        <w:rPr>
          <w:rFonts w:ascii="Times New Roman" w:hAnsi="Times New Roman" w:cs="Times New Roman"/>
        </w:rPr>
      </w:pPr>
      <w:bookmarkStart w:id="19" w:name="_Toc527532392"/>
    </w:p>
    <w:p w:rsidR="0058039A" w:rsidRPr="00F45834" w:rsidRDefault="00026328" w:rsidP="0058039A">
      <w:pPr>
        <w:pStyle w:val="Ttulo2"/>
        <w:rPr>
          <w:rFonts w:ascii="Times New Roman" w:hAnsi="Times New Roman" w:cs="Times New Roman"/>
        </w:rPr>
      </w:pPr>
      <w:bookmarkStart w:id="20" w:name="_Toc4632611"/>
      <w:r>
        <w:rPr>
          <w:rFonts w:ascii="Times New Roman" w:hAnsi="Times New Roman" w:cs="Times New Roman"/>
        </w:rPr>
        <w:t>4</w:t>
      </w:r>
      <w:r w:rsidR="0058039A" w:rsidRPr="00F45834">
        <w:rPr>
          <w:rFonts w:ascii="Times New Roman" w:hAnsi="Times New Roman" w:cs="Times New Roman"/>
        </w:rPr>
        <w:t>.1 Diversi</w:t>
      </w:r>
      <w:r w:rsidR="007E0B4E" w:rsidRPr="00F45834">
        <w:rPr>
          <w:rFonts w:ascii="Times New Roman" w:hAnsi="Times New Roman" w:cs="Times New Roman"/>
        </w:rPr>
        <w:t>ficação</w:t>
      </w:r>
      <w:r w:rsidR="0058039A" w:rsidRPr="00F45834">
        <w:rPr>
          <w:rFonts w:ascii="Times New Roman" w:hAnsi="Times New Roman" w:cs="Times New Roman"/>
        </w:rPr>
        <w:t xml:space="preserve"> agropecuária</w:t>
      </w:r>
      <w:bookmarkEnd w:id="19"/>
      <w:bookmarkEnd w:id="20"/>
    </w:p>
    <w:p w:rsidR="007E0B4E" w:rsidRPr="00F45834" w:rsidRDefault="007E0B4E" w:rsidP="003F0C7E">
      <w:pPr>
        <w:rPr>
          <w:rFonts w:ascii="Times New Roman" w:hAnsi="Times New Roman"/>
        </w:rPr>
      </w:pPr>
      <w:r w:rsidRPr="00F45834">
        <w:rPr>
          <w:rFonts w:ascii="Times New Roman" w:hAnsi="Times New Roman"/>
        </w:rPr>
        <w:t>A diversificação d</w:t>
      </w:r>
      <w:r w:rsidR="00896163" w:rsidRPr="00F45834">
        <w:rPr>
          <w:rFonts w:ascii="Times New Roman" w:hAnsi="Times New Roman"/>
        </w:rPr>
        <w:t xml:space="preserve">as atividades e fontes de renda no meio rural podem estar relacionadas as atividades </w:t>
      </w:r>
      <w:r w:rsidR="000F7397" w:rsidRPr="00F45834">
        <w:rPr>
          <w:rFonts w:ascii="Times New Roman" w:hAnsi="Times New Roman"/>
        </w:rPr>
        <w:t xml:space="preserve">desenvolvidas </w:t>
      </w:r>
      <w:r w:rsidR="00803D07" w:rsidRPr="00F45834">
        <w:rPr>
          <w:rFonts w:ascii="Times New Roman" w:hAnsi="Times New Roman"/>
        </w:rPr>
        <w:t>dentro do estabelecimento agropecuário (</w:t>
      </w:r>
      <w:r w:rsidR="00803D07" w:rsidRPr="00F45834">
        <w:rPr>
          <w:rFonts w:ascii="Times New Roman" w:hAnsi="Times New Roman"/>
          <w:i/>
        </w:rPr>
        <w:t>on-farm</w:t>
      </w:r>
      <w:r w:rsidR="00803D07" w:rsidRPr="00F45834">
        <w:rPr>
          <w:rFonts w:ascii="Times New Roman" w:hAnsi="Times New Roman"/>
        </w:rPr>
        <w:t>), as quais abrangem a produção agropecuária, a agroindústria familiar e outras atividades não agrícolas, e atividades desenvolvidas fora do estabelecimento (</w:t>
      </w:r>
      <w:r w:rsidR="00803D07" w:rsidRPr="00F45834">
        <w:rPr>
          <w:rFonts w:ascii="Times New Roman" w:hAnsi="Times New Roman"/>
          <w:i/>
        </w:rPr>
        <w:t>off-farm</w:t>
      </w:r>
      <w:r w:rsidR="00803D07" w:rsidRPr="00F45834">
        <w:rPr>
          <w:rFonts w:ascii="Times New Roman" w:hAnsi="Times New Roman"/>
        </w:rPr>
        <w:t>) como empregos</w:t>
      </w:r>
      <w:r w:rsidR="00A0694A" w:rsidRPr="00F45834">
        <w:rPr>
          <w:rFonts w:ascii="Times New Roman" w:hAnsi="Times New Roman"/>
        </w:rPr>
        <w:t xml:space="preserve">, e outras fontes de renda, como benefícios sociais, aposentadorias, arrendamentos, e remessas de dinheiro provenientes de membros que migraram para área urbana (ELLIS, 1998 </w:t>
      </w:r>
      <w:r w:rsidR="00A0694A" w:rsidRPr="00F45834">
        <w:rPr>
          <w:rFonts w:ascii="Times New Roman" w:hAnsi="Times New Roman"/>
          <w:i/>
        </w:rPr>
        <w:t>apud</w:t>
      </w:r>
      <w:r w:rsidR="00A0694A" w:rsidRPr="00F45834">
        <w:rPr>
          <w:rFonts w:ascii="Times New Roman" w:hAnsi="Times New Roman"/>
        </w:rPr>
        <w:t xml:space="preserve"> </w:t>
      </w:r>
      <w:r w:rsidR="005F3586" w:rsidRPr="00F45834">
        <w:rPr>
          <w:rFonts w:ascii="Times New Roman" w:hAnsi="Times New Roman"/>
        </w:rPr>
        <w:fldChar w:fldCharType="begin" w:fldLock="1"/>
      </w:r>
      <w:r w:rsidR="00A0694A" w:rsidRPr="00F45834">
        <w:rPr>
          <w:rFonts w:ascii="Times New Roman" w:hAnsi="Times New Roman"/>
        </w:rPr>
        <w:instrText>ADDIN CSL_CITATION {"citationItems":[{"id":"ITEM-1","itemData":{"ISBN":"978-85-7811-237-0","author":[{"dropping-particle":"","family":"Sambuichi","given":"Regina Helena Rosa","non-dropping-particle":"","parse-names":false,"suffix":""},{"dropping-particle":"","family":"Galindo","given":"Ernesto Pereira","non-dropping-particle":"","parse-names":false,"suffix":""},{"dropping-particle":"de","family":"Oliveira","given":"Michel Ângelo Constantino","non-dropping-particle":"","parse-names":false,"suffix":""},{"dropping-particle":"","family":"Pereira","given":"Rodrigo Mendes","non-dropping-particle":"","parse-names":false,"suffix":""}],"chapter-number":"3","container-title":"Brasil em Desenvolvimento: Estado, planejamento e políticas públicas","editor":[{"dropping-particle":"","family":"Monasterio","given":"Leonardo Monteiro","non-dropping-particle":"","parse-names":false,"suffix":""},{"dropping-particle":"","family":"Neri","given":"Marcelo Côrtes","non-dropping-particle":"","parse-names":false,"suffix":""},{"dropping-particle":"","family":"Soares","given":"Sergei Suarez Dillon","non-dropping-particle":"","parse-names":false,"suffix":""}],"id":"ITEM-1","issued":{"date-parts":[["2014"]]},"page":"61-84","publisher":"Instituto de Pesquisa Econômica Aplicada (Ipea)","title":"A diversificação produtiva como forma de viabilizar o desenvolvimento sustentável da agricultura familiar no Brasil","type":"chapter","volume":"2"},"uris":["http://www.mendeley.com/documents/?uuid=fce25d7d-dba8-33d2-8bd8-96365b8213d8"]}],"mendeley":{"formattedCitation":"(SAMBUICHI et al., 2014)","manualFormatting":"SAMBUICHI et al., 2014)","plainTextFormattedCitation":"(SAMBUICHI et al., 2014)","previouslyFormattedCitation":"(SAMBUICHI et al., 2014)"},"properties":{"noteIndex":0},"schema":"https://github.com/citation-style-language/schema/raw/master/csl-citation.json"}</w:instrText>
      </w:r>
      <w:r w:rsidR="005F3586" w:rsidRPr="00F45834">
        <w:rPr>
          <w:rFonts w:ascii="Times New Roman" w:hAnsi="Times New Roman"/>
        </w:rPr>
        <w:fldChar w:fldCharType="separate"/>
      </w:r>
      <w:r w:rsidR="00A0694A" w:rsidRPr="00F45834">
        <w:rPr>
          <w:rFonts w:ascii="Times New Roman" w:hAnsi="Times New Roman"/>
          <w:noProof/>
        </w:rPr>
        <w:t>SAMBUICHI et al., 2014)</w:t>
      </w:r>
      <w:r w:rsidR="005F3586" w:rsidRPr="00F45834">
        <w:rPr>
          <w:rFonts w:ascii="Times New Roman" w:hAnsi="Times New Roman"/>
        </w:rPr>
        <w:fldChar w:fldCharType="end"/>
      </w:r>
      <w:r w:rsidR="00A0694A" w:rsidRPr="00F45834">
        <w:rPr>
          <w:rFonts w:ascii="Times New Roman" w:hAnsi="Times New Roman"/>
        </w:rPr>
        <w:t>.</w:t>
      </w:r>
    </w:p>
    <w:p w:rsidR="0058039A" w:rsidRPr="00F45834" w:rsidRDefault="0058039A" w:rsidP="0058039A">
      <w:pPr>
        <w:rPr>
          <w:rFonts w:ascii="Times New Roman" w:hAnsi="Times New Roman"/>
        </w:rPr>
      </w:pPr>
      <w:r w:rsidRPr="00F45834">
        <w:rPr>
          <w:rFonts w:ascii="Times New Roman" w:hAnsi="Times New Roman"/>
        </w:rPr>
        <w:t xml:space="preserve">A diversidade da produção agropecuária do Cerrado apresentou padrões de variação entre os municípios. A quantidade de municípios de nossa análise é muito grande, e seria inviável analisar cada município individualmente, </w:t>
      </w:r>
      <w:r w:rsidR="00D079B6" w:rsidRPr="00F45834">
        <w:rPr>
          <w:rFonts w:ascii="Times New Roman" w:hAnsi="Times New Roman"/>
        </w:rPr>
        <w:t>p</w:t>
      </w:r>
      <w:r w:rsidRPr="00F45834">
        <w:rPr>
          <w:rFonts w:ascii="Times New Roman" w:hAnsi="Times New Roman"/>
        </w:rPr>
        <w:t xml:space="preserve">ara uma melhor didática na exposição dos dados agrupamos os resultados pelas unidades da federação. A </w:t>
      </w:r>
      <w:r w:rsidR="00E06816">
        <w:rPr>
          <w:rFonts w:ascii="Times New Roman" w:hAnsi="Times New Roman"/>
        </w:rPr>
        <w:t xml:space="preserve">Tabela 1 </w:t>
      </w:r>
      <w:r w:rsidRPr="00F45834">
        <w:rPr>
          <w:rFonts w:ascii="Times New Roman" w:hAnsi="Times New Roman"/>
        </w:rPr>
        <w:t>apresenta um resumo do índice de Shannon em seu formato original (antes de ser categorizado), pode-se inferir que a média geral foi 1,274, e a amplitude do índice foi de 0,084 a 2,558. Ficaram acima da média o Distrito Federal, Paraná, Maranhão, Bahia e Minas Gerais, e abaixo da média, Tocantins, Mato Grosso, São Paulo, Goiás, Mato Grosso do Sul e Piauí.</w:t>
      </w:r>
    </w:p>
    <w:p w:rsidR="0058039A" w:rsidRPr="00F45834" w:rsidRDefault="0058039A" w:rsidP="0058039A">
      <w:pPr>
        <w:pStyle w:val="QUADROSeTABELAS"/>
        <w:rPr>
          <w:rFonts w:ascii="Times New Roman" w:hAnsi="Times New Roman" w:cs="Times New Roman"/>
        </w:rPr>
      </w:pPr>
      <w:bookmarkStart w:id="21" w:name="_Ref2902487"/>
      <w:bookmarkStart w:id="22" w:name="_Toc4632962"/>
      <w:r w:rsidRPr="00F45834">
        <w:rPr>
          <w:rFonts w:ascii="Times New Roman" w:hAnsi="Times New Roman" w:cs="Times New Roman"/>
        </w:rPr>
        <w:t xml:space="preserve">Tabela </w:t>
      </w:r>
      <w:r w:rsidR="00E06816">
        <w:rPr>
          <w:rFonts w:ascii="Times New Roman" w:hAnsi="Times New Roman" w:cs="Times New Roman"/>
        </w:rPr>
        <w:t>1</w:t>
      </w:r>
      <w:bookmarkEnd w:id="21"/>
      <w:r w:rsidR="00E06816">
        <w:rPr>
          <w:rFonts w:ascii="Times New Roman" w:hAnsi="Times New Roman" w:cs="Times New Roman"/>
          <w:noProof/>
        </w:rPr>
        <w:t>:</w:t>
      </w:r>
      <w:r w:rsidRPr="00F45834">
        <w:rPr>
          <w:rFonts w:ascii="Times New Roman" w:hAnsi="Times New Roman" w:cs="Times New Roman"/>
        </w:rPr>
        <w:t xml:space="preserve"> Resumo do índice de shannon</w:t>
      </w:r>
      <w:bookmarkEnd w:id="22"/>
    </w:p>
    <w:tbl>
      <w:tblPr>
        <w:tblW w:w="9214" w:type="dxa"/>
        <w:tblInd w:w="70" w:type="dxa"/>
        <w:tblCellMar>
          <w:left w:w="70" w:type="dxa"/>
          <w:right w:w="70" w:type="dxa"/>
        </w:tblCellMar>
        <w:tblLook w:val="04A0" w:firstRow="1" w:lastRow="0" w:firstColumn="1" w:lastColumn="0" w:noHBand="0" w:noVBand="1"/>
      </w:tblPr>
      <w:tblGrid>
        <w:gridCol w:w="2140"/>
        <w:gridCol w:w="2255"/>
        <w:gridCol w:w="2551"/>
        <w:gridCol w:w="2268"/>
      </w:tblGrid>
      <w:tr w:rsidR="0058039A" w:rsidRPr="00A84266" w:rsidTr="00475076">
        <w:trPr>
          <w:trHeight w:val="300"/>
        </w:trPr>
        <w:tc>
          <w:tcPr>
            <w:tcW w:w="2140" w:type="dxa"/>
            <w:tcBorders>
              <w:top w:val="single" w:sz="4" w:space="0" w:color="auto"/>
              <w:left w:val="nil"/>
              <w:bottom w:val="single" w:sz="4" w:space="0" w:color="auto"/>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Estados</w:t>
            </w:r>
          </w:p>
        </w:tc>
        <w:tc>
          <w:tcPr>
            <w:tcW w:w="2255" w:type="dxa"/>
            <w:tcBorders>
              <w:top w:val="single" w:sz="4" w:space="0" w:color="auto"/>
              <w:left w:val="nil"/>
              <w:bottom w:val="single" w:sz="4" w:space="0" w:color="auto"/>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Média de SHANN</w:t>
            </w:r>
          </w:p>
        </w:tc>
        <w:tc>
          <w:tcPr>
            <w:tcW w:w="2551" w:type="dxa"/>
            <w:tcBorders>
              <w:top w:val="single" w:sz="4" w:space="0" w:color="auto"/>
              <w:left w:val="nil"/>
              <w:bottom w:val="single" w:sz="4" w:space="0" w:color="auto"/>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Mín. de SHANN</w:t>
            </w:r>
          </w:p>
        </w:tc>
        <w:tc>
          <w:tcPr>
            <w:tcW w:w="2268" w:type="dxa"/>
            <w:tcBorders>
              <w:top w:val="single" w:sz="4" w:space="0" w:color="auto"/>
              <w:left w:val="nil"/>
              <w:bottom w:val="single" w:sz="4" w:space="0" w:color="auto"/>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Máx. de SHANN</w:t>
            </w:r>
          </w:p>
        </w:tc>
      </w:tr>
      <w:tr w:rsidR="0058039A" w:rsidRPr="00A84266" w:rsidTr="00475076">
        <w:trPr>
          <w:trHeight w:val="42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Bahia</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1,477</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0,326</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2,172</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Distrito Federal</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2,375</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2,375</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2,375</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Goiás</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1,193</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0,092</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2,211</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Maranhão</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1,489</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0,287</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2,292</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Mato Grosso</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1,136</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0,448</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2,431</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Mato Grosso do Sul</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1,204</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0,301</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2,220</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Minas Gerais</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1,396</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0,084</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2,558</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Paran</w:t>
            </w:r>
            <w:r>
              <w:rPr>
                <w:rFonts w:ascii="Calibri" w:hAnsi="Calibri" w:cs="Calibri"/>
                <w:color w:val="000000"/>
                <w:sz w:val="22"/>
                <w:szCs w:val="22"/>
                <w:lang w:eastAsia="pt-BR"/>
              </w:rPr>
              <w:t>á</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1,556</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1,556</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1,556</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Piauí</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1,236</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0,526</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2,020</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São Paulo</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1,187</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0,193</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2,313</w:t>
            </w:r>
          </w:p>
        </w:tc>
      </w:tr>
      <w:tr w:rsidR="0058039A" w:rsidRPr="00A84266" w:rsidTr="00475076">
        <w:trPr>
          <w:trHeight w:val="300"/>
        </w:trPr>
        <w:tc>
          <w:tcPr>
            <w:tcW w:w="2140"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lastRenderedPageBreak/>
              <w:t>Tocantins</w:t>
            </w:r>
          </w:p>
        </w:tc>
        <w:tc>
          <w:tcPr>
            <w:tcW w:w="2255"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1,096</w:t>
            </w:r>
          </w:p>
        </w:tc>
        <w:tc>
          <w:tcPr>
            <w:tcW w:w="2551"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0,345</w:t>
            </w:r>
          </w:p>
        </w:tc>
        <w:tc>
          <w:tcPr>
            <w:tcW w:w="2268" w:type="dxa"/>
            <w:tcBorders>
              <w:top w:val="nil"/>
              <w:left w:val="nil"/>
              <w:bottom w:val="nil"/>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2,243</w:t>
            </w:r>
          </w:p>
        </w:tc>
      </w:tr>
      <w:tr w:rsidR="0058039A" w:rsidRPr="00A84266" w:rsidTr="00475076">
        <w:trPr>
          <w:trHeight w:val="450"/>
        </w:trPr>
        <w:tc>
          <w:tcPr>
            <w:tcW w:w="2140" w:type="dxa"/>
            <w:tcBorders>
              <w:top w:val="nil"/>
              <w:left w:val="nil"/>
              <w:bottom w:val="single" w:sz="4" w:space="0" w:color="auto"/>
              <w:right w:val="nil"/>
            </w:tcBorders>
            <w:shd w:val="clear" w:color="auto" w:fill="auto"/>
            <w:noWrap/>
            <w:vAlign w:val="bottom"/>
            <w:hideMark/>
          </w:tcPr>
          <w:p w:rsidR="0058039A" w:rsidRPr="00A84266" w:rsidRDefault="0058039A" w:rsidP="00475076">
            <w:pPr>
              <w:suppressAutoHyphens w:val="0"/>
              <w:spacing w:line="240" w:lineRule="auto"/>
              <w:ind w:firstLine="0"/>
              <w:jc w:val="left"/>
              <w:rPr>
                <w:rFonts w:ascii="Calibri" w:hAnsi="Calibri" w:cs="Calibri"/>
                <w:color w:val="000000"/>
                <w:lang w:eastAsia="pt-BR"/>
              </w:rPr>
            </w:pPr>
            <w:r w:rsidRPr="00A84266">
              <w:rPr>
                <w:rFonts w:ascii="Calibri" w:hAnsi="Calibri" w:cs="Calibri"/>
                <w:color w:val="000000"/>
                <w:sz w:val="22"/>
                <w:szCs w:val="22"/>
                <w:lang w:eastAsia="pt-BR"/>
              </w:rPr>
              <w:t>Total Geral</w:t>
            </w:r>
          </w:p>
        </w:tc>
        <w:tc>
          <w:tcPr>
            <w:tcW w:w="2255" w:type="dxa"/>
            <w:tcBorders>
              <w:top w:val="nil"/>
              <w:left w:val="nil"/>
              <w:bottom w:val="single" w:sz="4" w:space="0" w:color="auto"/>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1,274</w:t>
            </w:r>
          </w:p>
        </w:tc>
        <w:tc>
          <w:tcPr>
            <w:tcW w:w="2551" w:type="dxa"/>
            <w:tcBorders>
              <w:top w:val="nil"/>
              <w:left w:val="nil"/>
              <w:bottom w:val="single" w:sz="4" w:space="0" w:color="auto"/>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0,084</w:t>
            </w:r>
          </w:p>
        </w:tc>
        <w:tc>
          <w:tcPr>
            <w:tcW w:w="2268" w:type="dxa"/>
            <w:tcBorders>
              <w:top w:val="nil"/>
              <w:left w:val="nil"/>
              <w:bottom w:val="single" w:sz="4" w:space="0" w:color="auto"/>
              <w:right w:val="nil"/>
            </w:tcBorders>
            <w:shd w:val="clear" w:color="auto" w:fill="auto"/>
            <w:noWrap/>
            <w:vAlign w:val="bottom"/>
            <w:hideMark/>
          </w:tcPr>
          <w:p w:rsidR="0058039A" w:rsidRPr="00A84266" w:rsidRDefault="0058039A" w:rsidP="00475076">
            <w:pPr>
              <w:suppressAutoHyphens w:val="0"/>
              <w:spacing w:line="240" w:lineRule="auto"/>
              <w:ind w:firstLine="0"/>
              <w:jc w:val="center"/>
              <w:rPr>
                <w:rFonts w:ascii="Calibri" w:hAnsi="Calibri" w:cs="Calibri"/>
                <w:color w:val="000000"/>
                <w:lang w:eastAsia="pt-BR"/>
              </w:rPr>
            </w:pPr>
            <w:r w:rsidRPr="00A84266">
              <w:rPr>
                <w:rFonts w:ascii="Calibri" w:hAnsi="Calibri" w:cs="Calibri"/>
                <w:color w:val="000000"/>
                <w:sz w:val="22"/>
                <w:szCs w:val="22"/>
                <w:lang w:eastAsia="pt-BR"/>
              </w:rPr>
              <w:t>2,558</w:t>
            </w:r>
          </w:p>
        </w:tc>
      </w:tr>
    </w:tbl>
    <w:p w:rsidR="0058039A" w:rsidRPr="00F45834" w:rsidRDefault="0058039A" w:rsidP="0058039A">
      <w:pPr>
        <w:ind w:firstLine="0"/>
        <w:rPr>
          <w:rFonts w:ascii="Times New Roman" w:hAnsi="Times New Roman"/>
        </w:rPr>
      </w:pPr>
      <w:r w:rsidRPr="00F45834">
        <w:rPr>
          <w:rFonts w:ascii="Times New Roman" w:hAnsi="Times New Roman"/>
        </w:rPr>
        <w:t>Fonte: elaboração própria</w:t>
      </w:r>
    </w:p>
    <w:p w:rsidR="00513E20" w:rsidRDefault="00513E20" w:rsidP="00833E01">
      <w:pPr>
        <w:rPr>
          <w:rFonts w:ascii="Times New Roman" w:hAnsi="Times New Roman"/>
        </w:rPr>
      </w:pPr>
      <w:r w:rsidRPr="004B7DDC">
        <w:rPr>
          <w:rFonts w:ascii="Times New Roman" w:hAnsi="Times New Roman"/>
        </w:rPr>
        <w:t xml:space="preserve">A </w:t>
      </w:r>
      <w:r w:rsidR="00833E01">
        <w:rPr>
          <w:rFonts w:ascii="Times New Roman" w:hAnsi="Times New Roman"/>
        </w:rPr>
        <w:t xml:space="preserve">Figura </w:t>
      </w:r>
      <w:r w:rsidR="00E06816">
        <w:rPr>
          <w:rFonts w:ascii="Times New Roman" w:hAnsi="Times New Roman"/>
        </w:rPr>
        <w:t>2</w:t>
      </w:r>
      <w:r w:rsidR="00833E01">
        <w:rPr>
          <w:rFonts w:ascii="Times New Roman" w:hAnsi="Times New Roman"/>
        </w:rPr>
        <w:t xml:space="preserve"> </w:t>
      </w:r>
      <w:r w:rsidRPr="004B7DDC">
        <w:rPr>
          <w:rFonts w:ascii="Times New Roman" w:hAnsi="Times New Roman"/>
        </w:rPr>
        <w:t xml:space="preserve">apresenta a diversificação agropecuária no Cerrado em 2017 por categorias, </w:t>
      </w:r>
      <w:r w:rsidR="00833E01">
        <w:rPr>
          <w:rFonts w:ascii="Times New Roman" w:hAnsi="Times New Roman"/>
        </w:rPr>
        <w:t xml:space="preserve">sendo que </w:t>
      </w:r>
      <w:r w:rsidR="00833E01" w:rsidRPr="004B7DDC">
        <w:rPr>
          <w:rFonts w:ascii="Times New Roman" w:hAnsi="Times New Roman"/>
        </w:rPr>
        <w:t xml:space="preserve">em amarelo claro </w:t>
      </w:r>
      <w:r w:rsidR="00833E01">
        <w:rPr>
          <w:rFonts w:ascii="Times New Roman" w:hAnsi="Times New Roman"/>
        </w:rPr>
        <w:t xml:space="preserve">estão </w:t>
      </w:r>
      <w:r w:rsidR="00833E01" w:rsidRPr="004B7DDC">
        <w:rPr>
          <w:rFonts w:ascii="Times New Roman" w:hAnsi="Times New Roman"/>
        </w:rPr>
        <w:t>os municípios com média diversificação</w:t>
      </w:r>
      <w:r w:rsidR="00833E01">
        <w:rPr>
          <w:rFonts w:ascii="Times New Roman" w:hAnsi="Times New Roman"/>
        </w:rPr>
        <w:t xml:space="preserve">, que representam a </w:t>
      </w:r>
      <w:r w:rsidR="00833E01" w:rsidRPr="004B7DDC">
        <w:rPr>
          <w:rFonts w:ascii="Times New Roman" w:hAnsi="Times New Roman"/>
        </w:rPr>
        <w:t>maioria dos municípios (36,7%), os municípios especializados estão em azul e os diversificados em vermelho. É possível notar visualmente, que na maioria dos casos extremos (superespecialização e superdiversificação) os municípios estão dispersos ao longo do bioma, porém, nos outros estratos de diversificação há uma clara relação de semelhança entre municípios vizinhos.</w:t>
      </w:r>
      <w:r w:rsidR="00833E01">
        <w:rPr>
          <w:rFonts w:ascii="Times New Roman" w:hAnsi="Times New Roman"/>
        </w:rPr>
        <w:t xml:space="preserve"> Além disso, e</w:t>
      </w:r>
      <w:r w:rsidRPr="004B7DDC">
        <w:rPr>
          <w:rFonts w:ascii="Times New Roman" w:hAnsi="Times New Roman"/>
        </w:rPr>
        <w:t xml:space="preserve">xcluindo a parcela média e agrupando as restantes em dois grupos (superespecialização + forte especialização, e superdiversificação + forte diversificação) encontramos mais municípios especializados do que diversificados, 34,3% contra 29%, respectivamente. </w:t>
      </w:r>
    </w:p>
    <w:p w:rsidR="00C929DA" w:rsidRDefault="00C929DA" w:rsidP="00833E01">
      <w:pPr>
        <w:rPr>
          <w:rFonts w:ascii="Times New Roman" w:hAnsi="Times New Roman"/>
        </w:rPr>
      </w:pPr>
    </w:p>
    <w:p w:rsidR="00513E20" w:rsidRPr="004B7DDC" w:rsidRDefault="00513E20" w:rsidP="00513E20">
      <w:pPr>
        <w:pStyle w:val="QUADROSeTABELAS"/>
        <w:rPr>
          <w:rFonts w:ascii="Times New Roman" w:hAnsi="Times New Roman" w:cs="Times New Roman"/>
        </w:rPr>
      </w:pPr>
      <w:bookmarkStart w:id="23" w:name="_Ref2902793"/>
      <w:bookmarkStart w:id="24" w:name="_Toc4632704"/>
      <w:r w:rsidRPr="004B7DDC">
        <w:rPr>
          <w:rFonts w:ascii="Times New Roman" w:hAnsi="Times New Roman" w:cs="Times New Roman"/>
        </w:rPr>
        <w:t xml:space="preserve">Figura </w:t>
      </w:r>
      <w:r w:rsidR="00E06816">
        <w:rPr>
          <w:rFonts w:ascii="Times New Roman" w:hAnsi="Times New Roman" w:cs="Times New Roman"/>
        </w:rPr>
        <w:t>2:</w:t>
      </w:r>
      <w:bookmarkEnd w:id="23"/>
      <w:r w:rsidRPr="004B7DDC">
        <w:rPr>
          <w:rFonts w:ascii="Times New Roman" w:hAnsi="Times New Roman" w:cs="Times New Roman"/>
        </w:rPr>
        <w:t xml:space="preserve"> Mapa da diversificação da renda agropecuária nos municípios do Cerrado</w:t>
      </w:r>
      <w:r w:rsidR="00352C9F" w:rsidRPr="004B7DDC">
        <w:rPr>
          <w:rFonts w:ascii="Times New Roman" w:hAnsi="Times New Roman" w:cs="Times New Roman"/>
        </w:rPr>
        <w:t>, 2017</w:t>
      </w:r>
      <w:r w:rsidRPr="004B7DDC">
        <w:rPr>
          <w:rFonts w:ascii="Times New Roman" w:hAnsi="Times New Roman" w:cs="Times New Roman"/>
        </w:rPr>
        <w:t>.</w:t>
      </w:r>
      <w:bookmarkEnd w:id="24"/>
    </w:p>
    <w:p w:rsidR="00513E20" w:rsidRDefault="00513E20" w:rsidP="00513E20">
      <w:pPr>
        <w:ind w:firstLine="0"/>
      </w:pPr>
      <w:r w:rsidRPr="00255E76">
        <w:rPr>
          <w:noProof/>
          <w:lang w:eastAsia="pt-BR"/>
        </w:rPr>
        <w:drawing>
          <wp:inline distT="0" distB="0" distL="0" distR="0">
            <wp:extent cx="5692675" cy="5067300"/>
            <wp:effectExtent l="19050" t="19050" r="381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5"/>
                    <pic:cNvPicPr>
                      <a:picLocks noChangeAspect="1" noChangeArrowheads="1"/>
                    </pic:cNvPicPr>
                  </pic:nvPicPr>
                  <pic:blipFill>
                    <a:blip r:embed="rId17" cstate="print">
                      <a:extLst>
                        <a:ext uri="{28A0092B-C50C-407E-A947-70E740481C1C}">
                          <a14:useLocalDpi xmlns:a14="http://schemas.microsoft.com/office/drawing/2010/main" val="0"/>
                        </a:ext>
                      </a:extLst>
                    </a:blip>
                    <a:srcRect t="21136" b="11659"/>
                    <a:stretch>
                      <a:fillRect/>
                    </a:stretch>
                  </pic:blipFill>
                  <pic:spPr bwMode="auto">
                    <a:xfrm>
                      <a:off x="0" y="0"/>
                      <a:ext cx="5698249" cy="5072261"/>
                    </a:xfrm>
                    <a:prstGeom prst="rect">
                      <a:avLst/>
                    </a:prstGeom>
                    <a:noFill/>
                    <a:ln w="3175" cmpd="sng">
                      <a:solidFill>
                        <a:srgbClr val="BFBFBF"/>
                      </a:solidFill>
                      <a:miter lim="800000"/>
                      <a:headEnd/>
                      <a:tailEnd/>
                    </a:ln>
                    <a:effectLst/>
                  </pic:spPr>
                </pic:pic>
              </a:graphicData>
            </a:graphic>
          </wp:inline>
        </w:drawing>
      </w:r>
    </w:p>
    <w:p w:rsidR="00513E20" w:rsidRDefault="00513E20" w:rsidP="007264C3">
      <w:pPr>
        <w:ind w:firstLine="0"/>
        <w:rPr>
          <w:rFonts w:ascii="Times New Roman" w:hAnsi="Times New Roman"/>
        </w:rPr>
      </w:pPr>
      <w:r w:rsidRPr="004B7DDC">
        <w:rPr>
          <w:rFonts w:ascii="Times New Roman" w:hAnsi="Times New Roman"/>
        </w:rPr>
        <w:t>Fonte: elaboração própria.</w:t>
      </w:r>
    </w:p>
    <w:p w:rsidR="00D06236" w:rsidRPr="004B7DDC" w:rsidRDefault="00D06236" w:rsidP="007264C3">
      <w:pPr>
        <w:ind w:firstLine="0"/>
        <w:rPr>
          <w:rFonts w:ascii="Times New Roman" w:hAnsi="Times New Roman"/>
        </w:rPr>
      </w:pPr>
    </w:p>
    <w:p w:rsidR="004E5ECD" w:rsidRPr="00312EF5" w:rsidRDefault="00026328" w:rsidP="004E5ECD">
      <w:pPr>
        <w:pStyle w:val="Ttulo2"/>
        <w:rPr>
          <w:rFonts w:ascii="Times New Roman" w:hAnsi="Times New Roman" w:cs="Times New Roman"/>
        </w:rPr>
      </w:pPr>
      <w:bookmarkStart w:id="25" w:name="_Toc527532393"/>
      <w:bookmarkStart w:id="26" w:name="_Toc4632615"/>
      <w:r w:rsidRPr="00F57AE5">
        <w:rPr>
          <w:rFonts w:ascii="Times New Roman" w:hAnsi="Times New Roman" w:cs="Times New Roman"/>
        </w:rPr>
        <w:lastRenderedPageBreak/>
        <w:t>4.2</w:t>
      </w:r>
      <w:r w:rsidR="004E5ECD" w:rsidRPr="00F57AE5">
        <w:rPr>
          <w:rFonts w:ascii="Times New Roman" w:hAnsi="Times New Roman" w:cs="Times New Roman"/>
        </w:rPr>
        <w:t xml:space="preserve"> Desenvolvimento rural</w:t>
      </w:r>
      <w:bookmarkEnd w:id="25"/>
      <w:bookmarkEnd w:id="26"/>
      <w:r w:rsidR="004E5ECD" w:rsidRPr="00F57AE5">
        <w:rPr>
          <w:rFonts w:ascii="Times New Roman" w:hAnsi="Times New Roman" w:cs="Times New Roman"/>
        </w:rPr>
        <w:t xml:space="preserve"> </w:t>
      </w:r>
      <w:r w:rsidR="00312EF5" w:rsidRPr="00F57AE5">
        <w:rPr>
          <w:rFonts w:ascii="Times New Roman" w:hAnsi="Times New Roman" w:cs="Times New Roman"/>
        </w:rPr>
        <w:t>- IDR</w:t>
      </w:r>
    </w:p>
    <w:p w:rsidR="007A4F90" w:rsidRPr="00312EF5" w:rsidRDefault="007A4F90" w:rsidP="007A4F90">
      <w:pPr>
        <w:rPr>
          <w:rFonts w:ascii="Times New Roman" w:hAnsi="Times New Roman"/>
          <w:lang w:eastAsia="pt-BR"/>
        </w:rPr>
      </w:pPr>
      <w:r w:rsidRPr="00312EF5">
        <w:rPr>
          <w:rFonts w:ascii="Times New Roman" w:hAnsi="Times New Roman"/>
          <w:lang w:eastAsia="pt-BR"/>
        </w:rPr>
        <w:t>A partir d</w:t>
      </w:r>
      <w:r w:rsidR="00312EF5" w:rsidRPr="00312EF5">
        <w:rPr>
          <w:rFonts w:ascii="Times New Roman" w:hAnsi="Times New Roman"/>
          <w:lang w:eastAsia="pt-BR"/>
        </w:rPr>
        <w:t>a</w:t>
      </w:r>
      <w:r w:rsidRPr="00312EF5">
        <w:rPr>
          <w:rFonts w:ascii="Times New Roman" w:hAnsi="Times New Roman"/>
          <w:lang w:eastAsia="pt-BR"/>
        </w:rPr>
        <w:t xml:space="preserve">s 28 variáveis </w:t>
      </w:r>
      <w:r w:rsidR="00312EF5" w:rsidRPr="00312EF5">
        <w:rPr>
          <w:rFonts w:ascii="Times New Roman" w:hAnsi="Times New Roman"/>
          <w:lang w:eastAsia="pt-BR"/>
        </w:rPr>
        <w:t xml:space="preserve">originais </w:t>
      </w:r>
      <w:r w:rsidRPr="00312EF5">
        <w:rPr>
          <w:rFonts w:ascii="Times New Roman" w:hAnsi="Times New Roman"/>
          <w:lang w:eastAsia="pt-BR"/>
        </w:rPr>
        <w:t>são extraídos os fatores através da análise fatorial pelo método dos componentes principais. Duas dessas variáveis, PIB per capita e produção orgânica, apresentaram comunalidade abaixo de 0,5, isso significa que elas não têm sua variabilidade captada representada pelos fatores, desse modo, ficaram fora do estudo. Passamos a trabalhar, portanto, com 26 variáveis.</w:t>
      </w:r>
    </w:p>
    <w:p w:rsidR="007A4F90" w:rsidRPr="00312EF5" w:rsidRDefault="007A4F90" w:rsidP="007A4F90">
      <w:pPr>
        <w:rPr>
          <w:rFonts w:ascii="Times New Roman" w:hAnsi="Times New Roman"/>
          <w:lang w:eastAsia="pt-BR"/>
        </w:rPr>
      </w:pPr>
      <w:r w:rsidRPr="00312EF5">
        <w:rPr>
          <w:rFonts w:ascii="Times New Roman" w:hAnsi="Times New Roman"/>
          <w:lang w:eastAsia="pt-BR"/>
        </w:rPr>
        <w:t>Para verificar a adequabilidade da amostra, utilizou-se os testes Kaiser-Meyer-Olkim (KMO) e o teste de esfericidade de Bartlett. O valor encontrado em KMO foi de 0,703, e o resultado do teste de esfericidade de Bartlett mostrou-se significativo a 1% apresentando um valor de 17.876,366, isso significa que hipótese nula de que a matriz de correlação é uma matriz identidade pode ser rejeitada. Conclui-se disso que a amostra utilizada é adequada ao procedimento de análise fatorial.</w:t>
      </w:r>
    </w:p>
    <w:p w:rsidR="00F376C7" w:rsidRPr="00312EF5" w:rsidRDefault="007A4F90" w:rsidP="00F376C7">
      <w:pPr>
        <w:rPr>
          <w:rFonts w:ascii="Times New Roman" w:hAnsi="Times New Roman"/>
          <w:noProof/>
        </w:rPr>
      </w:pPr>
      <w:r w:rsidRPr="00312EF5">
        <w:rPr>
          <w:rFonts w:ascii="Times New Roman" w:hAnsi="Times New Roman"/>
          <w:lang w:eastAsia="pt-BR"/>
        </w:rPr>
        <w:t xml:space="preserve">A análise fatorial pelo método dos componentes principais possibilitou a extração de oito fatores </w:t>
      </w:r>
      <w:r w:rsidRPr="004C422F">
        <w:rPr>
          <w:rFonts w:ascii="Times New Roman" w:hAnsi="Times New Roman"/>
          <w:lang w:eastAsia="pt-BR"/>
        </w:rPr>
        <w:t xml:space="preserve">com raiz característica maior que 1, sintetizando as informações contidas nas 26 variáveis analisadas. </w:t>
      </w:r>
      <w:r w:rsidR="00312EF5" w:rsidRPr="004C422F">
        <w:rPr>
          <w:rFonts w:ascii="Times New Roman" w:hAnsi="Times New Roman"/>
          <w:noProof/>
        </w:rPr>
        <w:t>Com as cargas fatorias</w:t>
      </w:r>
      <w:r w:rsidR="004C422F" w:rsidRPr="004C422F">
        <w:rPr>
          <w:rFonts w:ascii="Times New Roman" w:hAnsi="Times New Roman"/>
          <w:noProof/>
        </w:rPr>
        <w:t xml:space="preserve"> (</w:t>
      </w:r>
      <w:r w:rsidR="00F376C7" w:rsidRPr="004C422F">
        <w:rPr>
          <w:rFonts w:ascii="Times New Roman" w:hAnsi="Times New Roman"/>
          <w:noProof/>
        </w:rPr>
        <w:t>escores fatoriais</w:t>
      </w:r>
      <w:r w:rsidR="004C422F" w:rsidRPr="004C422F">
        <w:rPr>
          <w:rFonts w:ascii="Times New Roman" w:hAnsi="Times New Roman"/>
          <w:noProof/>
        </w:rPr>
        <w:t>)</w:t>
      </w:r>
      <w:r w:rsidR="00F376C7" w:rsidRPr="004C422F">
        <w:rPr>
          <w:rFonts w:ascii="Times New Roman" w:hAnsi="Times New Roman"/>
          <w:noProof/>
        </w:rPr>
        <w:t>,</w:t>
      </w:r>
      <w:r w:rsidR="004C422F" w:rsidRPr="004C422F">
        <w:rPr>
          <w:rFonts w:ascii="Times New Roman" w:hAnsi="Times New Roman"/>
          <w:noProof/>
        </w:rPr>
        <w:t xml:space="preserve"> foi possível obter o</w:t>
      </w:r>
      <w:r w:rsidR="00F376C7" w:rsidRPr="004C422F">
        <w:rPr>
          <w:rFonts w:ascii="Times New Roman" w:hAnsi="Times New Roman"/>
          <w:noProof/>
        </w:rPr>
        <w:t xml:space="preserve"> valor do fator para cada município. É preciso levar</w:t>
      </w:r>
      <w:r w:rsidR="00F376C7" w:rsidRPr="00312EF5">
        <w:rPr>
          <w:rFonts w:ascii="Times New Roman" w:hAnsi="Times New Roman"/>
          <w:noProof/>
        </w:rPr>
        <w:t xml:space="preserve"> em conta que seus escores originais, quando considerados todos os municípios em conjunto, são variáveis de média zero e desvio padrão igual a 1, desse modo, escores com valores próximos de zero indicam nível de desenvolvimento médio e, quanto mais distante de zero for o fator, mais avançado ou atrasado será o município, no que se refere ao significado do fator considerado. </w:t>
      </w:r>
      <w:r w:rsidR="004C422F">
        <w:rPr>
          <w:rFonts w:ascii="Times New Roman" w:hAnsi="Times New Roman"/>
          <w:noProof/>
        </w:rPr>
        <w:t>Por fim, a partir da expressão (</w:t>
      </w:r>
      <w:r w:rsidR="00097034">
        <w:rPr>
          <w:rFonts w:ascii="Times New Roman" w:hAnsi="Times New Roman"/>
          <w:noProof/>
        </w:rPr>
        <w:t>3</w:t>
      </w:r>
      <w:r w:rsidR="004C422F">
        <w:rPr>
          <w:rFonts w:ascii="Times New Roman" w:hAnsi="Times New Roman"/>
          <w:noProof/>
        </w:rPr>
        <w:t>) foi obtido o IB e o IDR para os municípios, variando entre 0 e 100.</w:t>
      </w:r>
    </w:p>
    <w:p w:rsidR="00F376C7" w:rsidRPr="00312EF5" w:rsidRDefault="00F376C7" w:rsidP="00F376C7">
      <w:pPr>
        <w:rPr>
          <w:rFonts w:ascii="Times New Roman" w:hAnsi="Times New Roman"/>
          <w:noProof/>
        </w:rPr>
      </w:pPr>
      <w:r w:rsidRPr="00312EF5">
        <w:rPr>
          <w:rFonts w:ascii="Times New Roman" w:hAnsi="Times New Roman"/>
          <w:noProof/>
        </w:rPr>
        <w:t xml:space="preserve">A média do IDR situou-se em 21,10 e o desvio padrão em 9,76. Estes valores mostram o quanto o Cerrado ainda está atrasado em questão de desenvolvimento rural, comparando com Paraná, o trabalho de Melo e Parré (2007) mostrou que a média do índice para os municípios foi de 43,63. Em relação ao Brasil como um todo, Stege (2011) mostrou que a média do índice das microrregiões foi de 44,12. Cabe ressaltar que as variáveis utilizadas variam entre um estudo e outro, não tendo, portanto, uma metodologia identica, e impossibilitando comparações diretas entre os trabalhos, mas é possível inferir como as regiões ainda possuem grande desigualdade de desenvolvimento. </w:t>
      </w:r>
    </w:p>
    <w:p w:rsidR="00F376C7" w:rsidRDefault="00F376C7" w:rsidP="00F376C7">
      <w:pPr>
        <w:rPr>
          <w:rFonts w:ascii="Times New Roman" w:hAnsi="Times New Roman"/>
          <w:noProof/>
        </w:rPr>
      </w:pPr>
      <w:r w:rsidRPr="00312EF5">
        <w:rPr>
          <w:rFonts w:ascii="Times New Roman" w:hAnsi="Times New Roman"/>
          <w:noProof/>
        </w:rPr>
        <w:t>A partir da média, gerou-se os seguintes limites inferiores e superiores para a determinação da categoria do g</w:t>
      </w:r>
      <w:r w:rsidR="00F66FEF">
        <w:rPr>
          <w:rFonts w:ascii="Times New Roman" w:hAnsi="Times New Roman"/>
          <w:noProof/>
        </w:rPr>
        <w:t>rau de desenvolvimento</w:t>
      </w:r>
      <w:r w:rsidRPr="00312EF5">
        <w:rPr>
          <w:rFonts w:ascii="Times New Roman" w:hAnsi="Times New Roman"/>
          <w:noProof/>
        </w:rPr>
        <w:t>. Verifica-se que treze municípios apresentam grau de desenvolvimento muitíssimo alto (MMA). Vinte e quatro municípios foram classificados com desenvolvimento Muito Alto (MA). Com grau de desenvolvimento Alto (A), noventa e oito municípios foram observados. A quarta categoria, Médio (M), apresentou trezentos e noventa e cinco municípios. Já a quinta categoria, Baixo (B), foi a que obteve o maior número de observações, com quatrocentos e dezesseis municípios. Abaixo dessa categoria, 156 e 6 municípios possuem desenvolvimento Muito Baixo (MB) e Muitíssimo Baixo (MMB), respectivamente.</w:t>
      </w:r>
    </w:p>
    <w:p w:rsidR="00312EF5" w:rsidRPr="00312EF5" w:rsidRDefault="00F66FEF" w:rsidP="00F66FEF">
      <w:pPr>
        <w:rPr>
          <w:rFonts w:ascii="Times New Roman" w:hAnsi="Times New Roman"/>
        </w:rPr>
      </w:pPr>
      <w:r w:rsidRPr="00312EF5">
        <w:rPr>
          <w:rFonts w:ascii="Times New Roman" w:hAnsi="Times New Roman"/>
        </w:rPr>
        <w:t>Com o IDR calculado, plotamos os resultados em um mapa (</w:t>
      </w:r>
      <w:r w:rsidR="00E06816">
        <w:rPr>
          <w:rFonts w:ascii="Times New Roman" w:hAnsi="Times New Roman"/>
        </w:rPr>
        <w:t>Figura 3</w:t>
      </w:r>
      <w:r w:rsidRPr="00312EF5">
        <w:rPr>
          <w:rFonts w:ascii="Times New Roman" w:hAnsi="Times New Roman"/>
        </w:rPr>
        <w:t>), podendo v</w:t>
      </w:r>
      <w:r>
        <w:rPr>
          <w:rFonts w:ascii="Times New Roman" w:hAnsi="Times New Roman"/>
        </w:rPr>
        <w:t>isualizar</w:t>
      </w:r>
      <w:r w:rsidRPr="00312EF5">
        <w:rPr>
          <w:rFonts w:ascii="Times New Roman" w:hAnsi="Times New Roman"/>
        </w:rPr>
        <w:t xml:space="preserve"> como o desenvolvimento rural está distribuído espacialmente no Cerrado. Visualmente podemos notar uma aglomeração de municípios menos desenvolvidos nas regiões mais ao topo do mapa, e a medida em que </w:t>
      </w:r>
      <w:r w:rsidRPr="00312EF5">
        <w:rPr>
          <w:rFonts w:ascii="Times New Roman" w:hAnsi="Times New Roman"/>
        </w:rPr>
        <w:lastRenderedPageBreak/>
        <w:t>percorremos o mapa sentido Sul, aumentam os municípios c</w:t>
      </w:r>
      <w:r>
        <w:rPr>
          <w:rFonts w:ascii="Times New Roman" w:hAnsi="Times New Roman"/>
        </w:rPr>
        <w:t>om médio e alto desenvolvimento</w:t>
      </w:r>
      <w:r w:rsidR="00312EF5" w:rsidRPr="00312EF5">
        <w:rPr>
          <w:rFonts w:ascii="Times New Roman" w:hAnsi="Times New Roman"/>
          <w:noProof/>
        </w:rPr>
        <w:t xml:space="preserve">. É interessante verificar que a grande fronteira agrícola MATOPIBA compreende os estados que possuem a maior quantidade de municípios com desenvolvimento rural abaixo da média, proporcionalmente. </w:t>
      </w:r>
    </w:p>
    <w:p w:rsidR="00312EF5" w:rsidRPr="00312EF5" w:rsidRDefault="00312EF5" w:rsidP="00312EF5">
      <w:pPr>
        <w:rPr>
          <w:rFonts w:ascii="Times New Roman" w:hAnsi="Times New Roman"/>
          <w:noProof/>
        </w:rPr>
      </w:pPr>
      <w:r w:rsidRPr="00312EF5">
        <w:rPr>
          <w:rFonts w:ascii="Times New Roman" w:hAnsi="Times New Roman"/>
          <w:noProof/>
        </w:rPr>
        <w:t>Podemos dar um destaque positivo ao Mato Grosso, Minas Gerais, São Paulo, Paraná e Distrito Federal, que possuem a maioria dos municípios com Médio desenvolvimento rural ou superior.</w:t>
      </w:r>
    </w:p>
    <w:p w:rsidR="00312EF5" w:rsidRPr="00312EF5" w:rsidRDefault="00312EF5" w:rsidP="00312EF5">
      <w:pPr>
        <w:rPr>
          <w:rFonts w:ascii="Times New Roman" w:hAnsi="Times New Roman"/>
          <w:noProof/>
        </w:rPr>
      </w:pPr>
      <w:r w:rsidRPr="00312EF5">
        <w:rPr>
          <w:rFonts w:ascii="Times New Roman" w:hAnsi="Times New Roman"/>
          <w:noProof/>
        </w:rPr>
        <w:t>Um ponto preocupante é que no Cerrado todo, a maior parte dos municípios apresentam IDR Baixo (B), com 415 municípios. A segunda maior representatividade se encontra no estrato Médio (M), com 395 municípios. Na sequência, MB (156 municípios), A (98 municípios), MA (24 municípios), MMA (13 municípios), e MMB (5 municípios).</w:t>
      </w:r>
    </w:p>
    <w:p w:rsidR="00312EF5" w:rsidRPr="00312EF5" w:rsidRDefault="00312EF5" w:rsidP="00F376C7">
      <w:pPr>
        <w:rPr>
          <w:rFonts w:ascii="Times New Roman" w:hAnsi="Times New Roman"/>
        </w:rPr>
      </w:pPr>
    </w:p>
    <w:p w:rsidR="00F376C7" w:rsidRPr="00DD03D2" w:rsidRDefault="00632F5C" w:rsidP="00C34314">
      <w:pPr>
        <w:pStyle w:val="QUADROSeTABELAS"/>
        <w:ind w:left="1134" w:hanging="1134"/>
        <w:rPr>
          <w:rFonts w:ascii="Times New Roman" w:hAnsi="Times New Roman" w:cs="Times New Roman"/>
        </w:rPr>
      </w:pPr>
      <w:bookmarkStart w:id="27" w:name="_Ref4632470"/>
      <w:bookmarkStart w:id="28" w:name="_Toc4632712"/>
      <w:r w:rsidRPr="00DD03D2">
        <w:rPr>
          <w:rFonts w:ascii="Times New Roman" w:hAnsi="Times New Roman" w:cs="Times New Roman"/>
        </w:rPr>
        <w:t>Figura</w:t>
      </w:r>
      <w:bookmarkEnd w:id="27"/>
      <w:r w:rsidR="00E06816">
        <w:rPr>
          <w:rFonts w:ascii="Times New Roman" w:hAnsi="Times New Roman" w:cs="Times New Roman"/>
        </w:rPr>
        <w:t xml:space="preserve"> 3:</w:t>
      </w:r>
      <w:r w:rsidR="00C34314" w:rsidRPr="00DD03D2">
        <w:rPr>
          <w:rFonts w:ascii="Times New Roman" w:hAnsi="Times New Roman" w:cs="Times New Roman"/>
        </w:rPr>
        <w:t xml:space="preserve"> </w:t>
      </w:r>
      <w:r w:rsidRPr="00DD03D2">
        <w:rPr>
          <w:rFonts w:ascii="Times New Roman" w:hAnsi="Times New Roman" w:cs="Times New Roman"/>
        </w:rPr>
        <w:t>Mapa classes de desenvolvimento rural dos municípios do cerrado, 2017</w:t>
      </w:r>
      <w:bookmarkEnd w:id="28"/>
    </w:p>
    <w:p w:rsidR="00F376C7" w:rsidRDefault="00F376C7" w:rsidP="00F376C7">
      <w:pPr>
        <w:ind w:firstLine="0"/>
      </w:pPr>
      <w:r w:rsidRPr="00255E76">
        <w:rPr>
          <w:noProof/>
          <w:lang w:eastAsia="pt-BR"/>
        </w:rPr>
        <w:drawing>
          <wp:inline distT="0" distB="0" distL="0" distR="0">
            <wp:extent cx="5760085" cy="5455419"/>
            <wp:effectExtent l="19050" t="19050" r="12065" b="1206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8" cstate="print">
                      <a:extLst>
                        <a:ext uri="{28A0092B-C50C-407E-A947-70E740481C1C}">
                          <a14:useLocalDpi xmlns:a14="http://schemas.microsoft.com/office/drawing/2010/main" val="0"/>
                        </a:ext>
                      </a:extLst>
                    </a:blip>
                    <a:srcRect t="21144" b="11777"/>
                    <a:stretch>
                      <a:fillRect/>
                    </a:stretch>
                  </pic:blipFill>
                  <pic:spPr bwMode="auto">
                    <a:xfrm>
                      <a:off x="0" y="0"/>
                      <a:ext cx="5760085" cy="5455419"/>
                    </a:xfrm>
                    <a:prstGeom prst="rect">
                      <a:avLst/>
                    </a:prstGeom>
                    <a:noFill/>
                    <a:ln w="3175" cmpd="sng">
                      <a:solidFill>
                        <a:srgbClr val="BFBFBF"/>
                      </a:solidFill>
                      <a:miter lim="800000"/>
                      <a:headEnd/>
                      <a:tailEnd/>
                    </a:ln>
                    <a:effectLst/>
                  </pic:spPr>
                </pic:pic>
              </a:graphicData>
            </a:graphic>
          </wp:inline>
        </w:drawing>
      </w:r>
    </w:p>
    <w:p w:rsidR="00F15666" w:rsidRPr="00DD03D2" w:rsidRDefault="00F376C7" w:rsidP="00F376C7">
      <w:pPr>
        <w:ind w:firstLine="0"/>
        <w:rPr>
          <w:rFonts w:ascii="Times New Roman" w:hAnsi="Times New Roman"/>
        </w:rPr>
      </w:pPr>
      <w:r w:rsidRPr="00DD03D2">
        <w:rPr>
          <w:rFonts w:ascii="Times New Roman" w:hAnsi="Times New Roman"/>
        </w:rPr>
        <w:t>Fonte: Resultados da pesquisa</w:t>
      </w:r>
    </w:p>
    <w:p w:rsidR="00F15666" w:rsidRPr="00DD03D2" w:rsidRDefault="00F15666" w:rsidP="00F15666">
      <w:pPr>
        <w:rPr>
          <w:rFonts w:ascii="Times New Roman" w:hAnsi="Times New Roman"/>
        </w:rPr>
      </w:pPr>
    </w:p>
    <w:p w:rsidR="00AB66BC" w:rsidRDefault="00AB66BC" w:rsidP="00AB66BC">
      <w:pPr>
        <w:ind w:firstLine="0"/>
        <w:rPr>
          <w:rFonts w:ascii="Times New Roman" w:hAnsi="Times New Roman"/>
        </w:rPr>
      </w:pPr>
    </w:p>
    <w:p w:rsidR="00AB66BC" w:rsidRPr="00FC635E" w:rsidRDefault="00026328" w:rsidP="00AB66BC">
      <w:pPr>
        <w:pStyle w:val="Ttulo2"/>
        <w:rPr>
          <w:rFonts w:ascii="Times New Roman" w:hAnsi="Times New Roman" w:cs="Times New Roman"/>
          <w:noProof/>
        </w:rPr>
      </w:pPr>
      <w:bookmarkStart w:id="29" w:name="_Toc4632617"/>
      <w:r>
        <w:rPr>
          <w:rFonts w:ascii="Times New Roman" w:hAnsi="Times New Roman" w:cs="Times New Roman"/>
          <w:noProof/>
        </w:rPr>
        <w:lastRenderedPageBreak/>
        <w:t>4.3</w:t>
      </w:r>
      <w:r w:rsidR="00AB66BC" w:rsidRPr="00FC635E">
        <w:rPr>
          <w:rFonts w:ascii="Times New Roman" w:hAnsi="Times New Roman" w:cs="Times New Roman"/>
          <w:noProof/>
        </w:rPr>
        <w:t xml:space="preserve"> Análise conjunta do desenvolvimento rural e da diversificação </w:t>
      </w:r>
      <w:r w:rsidR="000553BD" w:rsidRPr="00FC635E">
        <w:rPr>
          <w:rFonts w:ascii="Times New Roman" w:hAnsi="Times New Roman" w:cs="Times New Roman"/>
          <w:noProof/>
        </w:rPr>
        <w:t>agropecuária</w:t>
      </w:r>
      <w:bookmarkEnd w:id="29"/>
    </w:p>
    <w:p w:rsidR="00AB66BC" w:rsidRPr="00FC635E" w:rsidRDefault="00AB66BC" w:rsidP="00AB66BC">
      <w:pPr>
        <w:rPr>
          <w:rFonts w:ascii="Times New Roman" w:hAnsi="Times New Roman"/>
          <w:noProof/>
        </w:rPr>
      </w:pPr>
      <w:r w:rsidRPr="00FC635E">
        <w:rPr>
          <w:rFonts w:ascii="Times New Roman" w:hAnsi="Times New Roman"/>
          <w:noProof/>
        </w:rPr>
        <w:t xml:space="preserve">A partir da caracterização de cada município do Cerrado pelo seu grau de desenvolvimento rural e pela sua diversificação agropecuária, analisamos esses dois indicadores conjuntamente. Uma de nossas hipóteses é a de que o crescimento econômico tem influência positiva mas não decisiva no processo de desenvolvimento rural, levando em consideração as várias dimensões que uma sociedade precisa para elevar o seu nível de bem-estar. Outra hipótese é a de que municípios mais “ricos” (economicamente) tendem a especializar sua produção agropecuária, como forma de alcançar melhores resultados econômicos, no entanto, nem sempre essa riqueza se traduz em melhora nos indicadores sociais. </w:t>
      </w:r>
    </w:p>
    <w:p w:rsidR="00AB66BC" w:rsidRPr="00FC635E" w:rsidRDefault="00580616" w:rsidP="00AB66BC">
      <w:pPr>
        <w:rPr>
          <w:rFonts w:ascii="Times New Roman" w:hAnsi="Times New Roman"/>
          <w:noProof/>
        </w:rPr>
      </w:pPr>
      <w:r w:rsidRPr="00FC635E">
        <w:rPr>
          <w:rFonts w:ascii="Times New Roman" w:hAnsi="Times New Roman"/>
          <w:noProof/>
        </w:rPr>
        <w:t xml:space="preserve">O </w:t>
      </w:r>
      <w:r w:rsidR="005F3586" w:rsidRPr="00FC635E">
        <w:rPr>
          <w:rFonts w:ascii="Times New Roman" w:hAnsi="Times New Roman"/>
          <w:noProof/>
        </w:rPr>
        <w:fldChar w:fldCharType="begin"/>
      </w:r>
      <w:r w:rsidRPr="00FC635E">
        <w:rPr>
          <w:rFonts w:ascii="Times New Roman" w:hAnsi="Times New Roman"/>
          <w:noProof/>
        </w:rPr>
        <w:instrText xml:space="preserve"> REF _Ref2945265 \h </w:instrText>
      </w:r>
      <w:r w:rsidR="00FC635E">
        <w:rPr>
          <w:rFonts w:ascii="Times New Roman" w:hAnsi="Times New Roman"/>
          <w:noProof/>
        </w:rPr>
        <w:instrText xml:space="preserve"> \* MERGEFORMAT </w:instrText>
      </w:r>
      <w:r w:rsidR="005F3586" w:rsidRPr="00FC635E">
        <w:rPr>
          <w:rFonts w:ascii="Times New Roman" w:hAnsi="Times New Roman"/>
          <w:noProof/>
        </w:rPr>
      </w:r>
      <w:r w:rsidR="005F3586" w:rsidRPr="00FC635E">
        <w:rPr>
          <w:rFonts w:ascii="Times New Roman" w:hAnsi="Times New Roman"/>
          <w:noProof/>
        </w:rPr>
        <w:fldChar w:fldCharType="separate"/>
      </w:r>
      <w:r w:rsidR="00D057EE" w:rsidRPr="00FC635E">
        <w:rPr>
          <w:rFonts w:ascii="Times New Roman" w:hAnsi="Times New Roman"/>
        </w:rPr>
        <w:t xml:space="preserve">Quadro </w:t>
      </w:r>
      <w:r w:rsidR="00A428D4">
        <w:rPr>
          <w:rFonts w:ascii="Times New Roman" w:hAnsi="Times New Roman"/>
        </w:rPr>
        <w:t>2</w:t>
      </w:r>
      <w:r w:rsidR="005F3586" w:rsidRPr="00FC635E">
        <w:rPr>
          <w:rFonts w:ascii="Times New Roman" w:hAnsi="Times New Roman"/>
          <w:noProof/>
        </w:rPr>
        <w:fldChar w:fldCharType="end"/>
      </w:r>
      <w:r w:rsidRPr="00FC635E">
        <w:rPr>
          <w:rFonts w:ascii="Times New Roman" w:hAnsi="Times New Roman"/>
          <w:noProof/>
        </w:rPr>
        <w:t xml:space="preserve"> a</w:t>
      </w:r>
      <w:r w:rsidR="00AB66BC" w:rsidRPr="00FC635E">
        <w:rPr>
          <w:rFonts w:ascii="Times New Roman" w:hAnsi="Times New Roman"/>
          <w:noProof/>
        </w:rPr>
        <w:t>presenta a característica que cada município pode apresentar em relação ao seu desenvolvimento e a sua diversificação agropecuária. Dentro do trastejado vermelho, na horizontal, se encontram os municípios com médio Desenvolvimento Rural, e na vertical, média diversificação. Nosso foco é analisar os municípios que estão abaixo e acima desse nível, para isso agrupamos os resultados em quatro quadrantes, conforme explicação na figura.</w:t>
      </w:r>
    </w:p>
    <w:p w:rsidR="00377BD2" w:rsidRPr="00FC635E" w:rsidRDefault="00132658" w:rsidP="00377BD2">
      <w:pPr>
        <w:pStyle w:val="QUADROSeTABELAS"/>
        <w:rPr>
          <w:rFonts w:ascii="Times New Roman" w:hAnsi="Times New Roman" w:cs="Times New Roman"/>
        </w:rPr>
      </w:pPr>
      <w:bookmarkStart w:id="30" w:name="_Ref2945265"/>
      <w:bookmarkStart w:id="31" w:name="_Toc4632900"/>
      <w:r>
        <w:rPr>
          <w:rFonts w:ascii="Times New Roman" w:hAnsi="Times New Roman" w:cs="Times New Roman"/>
          <w:noProof/>
          <w:lang w:eastAsia="pt-BR"/>
        </w:rPr>
        <w:pict>
          <v:rect id="Retângulo 38" o:spid="_x0000_s1040" style="position:absolute;left:0;text-align:left;margin-left:200.1pt;margin-top:13.55pt;width:65.6pt;height:121.75pt;z-index:251640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ZFpwIAAKAFAAAOAAAAZHJzL2Uyb0RvYy54bWysVM1u2zAMvg/YOwi6r46T9GdGnSJokWFA&#10;0RVth54VWYoNyKImKXGyx9mr7MVGSbabdcUOw3JQSJH8KH4meXm1bxXZCesa0CXNTyaUCM2havSm&#10;pF+fVh8uKHGe6Yop0KKkB+Ho1eL9u8vOFGIKNahKWIIg2hWdKWntvSmyzPFatMydgBEajRJsyzyq&#10;dpNVlnWI3qpsOpmcZR3Yyljgwjm8vUlGuoj4Ugruv0jphCeqpPg2H08bz3U4s8UlKzaWmbrh/TPY&#10;P7yiZY3GpCPUDfOMbG3zB1TbcAsOpD/h0GYgZcNFrAGrySevqnmsmRGxFiTHmZEm9/9g+d3u3pKm&#10;KukMv5RmLX6jB+F//tCbrQKCl8hQZ1yBjo/m3vaaQzGUu5e2Df9YCNlHVg8jq2LvCcfLi9lsPjun&#10;hKMpP52fzfPzAJq9RBvr/CcBLQlCSS1+tUgm2906n1wHl5BMw6pRCu9ZoXQ4HaimCndRsZv1tbJk&#10;x/CTr1YT/PXpfnMLgDfM1cmvQqn3CpBZqDjVGCV/UCKlexAS2cKqpvGFsU/FmI5xLrTPk6lmlUjo&#10;p8ePCJ0dIiIDSiNgQJb4+hG7Bxg8E8iAnfjo/UOoiG0+Bk/+9rAUPEbEzKD9GNw2GuxbAAqr6jMn&#10;/4GkRE1gaQ3VAXvJQhoyZ/iqQZJvmfP3zOJU4fzhpvBf8JAKupJCL1FSg/3+1n3wx2ZHKyUdTmlJ&#10;3bcts4IS9VnjGHzM5/Mw1lGZn55PUbHHlvWxRW/ba8CuyHEnGR7F4O/VIEoL7TMulGXIiiamOeYu&#10;Kfd2UK592h64krhYLqMbjrJh/lY/Gh7AA6uhvZ72z8yavqk9jsMdDBPNile9nXxDpIbl1oNsYuO/&#10;8NrzjWsgNk6/ssKeOdaj18tiXfwCAAD//wMAUEsDBBQABgAIAAAAIQBsFDU14AAAAAoBAAAPAAAA&#10;ZHJzL2Rvd25yZXYueG1sTI/BTsMwDIbvSLxDZCRuLGkZYypNpzEEggMHuo5ds8a0FYlTNVlX3p7s&#10;BEfbn35/f76arGEjDr5zJCGZCWBItdMdNRKq7fPNEpgPirQyjlDCD3pYFZcXucq0O9EHjmVoWAwh&#10;nykJbQh9xrmvW7TKz1yPFG9fbrAqxHFouB7UKYZbw1MhFtyqjuKHVvW4abH+Lo9WQvn0Nq5fNvvH&#10;5ee+ovedN6++SqS8vprWD8ACTuEPhrN+VIciOh3ckbRnRsJciDSiEtL7BFgE7m6TObDDeSEWwIuc&#10;/69Q/AIAAP//AwBQSwECLQAUAAYACAAAACEAtoM4kv4AAADhAQAAEwAAAAAAAAAAAAAAAAAAAAAA&#10;W0NvbnRlbnRfVHlwZXNdLnhtbFBLAQItABQABgAIAAAAIQA4/SH/1gAAAJQBAAALAAAAAAAAAAAA&#10;AAAAAC8BAABfcmVscy8ucmVsc1BLAQItABQABgAIAAAAIQAyxiZFpwIAAKAFAAAOAAAAAAAAAAAA&#10;AAAAAC4CAABkcnMvZTJvRG9jLnhtbFBLAQItABQABgAIAAAAIQBsFDU14AAAAAoBAAAPAAAAAAAA&#10;AAAAAAAAAAEFAABkcnMvZG93bnJldi54bWxQSwUGAAAAAAQABADzAAAADgYAAAAA&#10;" filled="f" strokecolor="red" strokeweight="1pt">
            <v:stroke dashstyle="dash"/>
          </v:rect>
        </w:pict>
      </w:r>
      <w:r w:rsidR="00377BD2" w:rsidRPr="00FC635E">
        <w:rPr>
          <w:rFonts w:ascii="Times New Roman" w:hAnsi="Times New Roman" w:cs="Times New Roman"/>
        </w:rPr>
        <w:t xml:space="preserve">Quadro </w:t>
      </w:r>
      <w:r w:rsidR="00A428D4">
        <w:rPr>
          <w:rFonts w:ascii="Times New Roman" w:hAnsi="Times New Roman" w:cs="Times New Roman"/>
        </w:rPr>
        <w:t>2:</w:t>
      </w:r>
      <w:bookmarkEnd w:id="30"/>
      <w:r w:rsidR="00377BD2" w:rsidRPr="00FC635E">
        <w:rPr>
          <w:rFonts w:ascii="Times New Roman" w:hAnsi="Times New Roman" w:cs="Times New Roman"/>
        </w:rPr>
        <w:t xml:space="preserve"> </w:t>
      </w:r>
      <w:r w:rsidR="00317EBE" w:rsidRPr="00FC635E">
        <w:rPr>
          <w:rFonts w:ascii="Times New Roman" w:hAnsi="Times New Roman" w:cs="Times New Roman"/>
        </w:rPr>
        <w:t>Esquema de relação entre o desenvolvimento e a diversificação</w:t>
      </w:r>
      <w:bookmarkEnd w:id="31"/>
    </w:p>
    <w:p w:rsidR="00377BD2" w:rsidRDefault="00132658" w:rsidP="00AB66BC">
      <w:pPr>
        <w:ind w:firstLine="0"/>
      </w:pPr>
      <w:r>
        <w:rPr>
          <w:noProof/>
        </w:rPr>
        <w:pict>
          <v:shapetype id="_x0000_t202" coordsize="21600,21600" o:spt="202" path="m,l,21600r21600,l21600,xe">
            <v:stroke joinstyle="miter"/>
            <v:path gradientshapeok="t" o:connecttype="rect"/>
          </v:shapetype>
          <v:shape id="Caixa de Texto 2" o:spid="_x0000_s1030" type="#_x0000_t202" style="position:absolute;left:0;text-align:left;margin-left:73.95pt;margin-top:74.35pt;width:125.5pt;height:33.9pt;z-index:2517488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lzKAIAACkEAAAOAAAAZHJzL2Uyb0RvYy54bWysU9tu2zAMfR+wfxD0vthJkywx4hRdugwD&#10;ugvQ7gNoSY6FyaInKbGzrx+lpGm2vQ3zgyCa5OHhIbW6HVrDDsp5jbbk41HOmbICpba7kn972r5Z&#10;cOYDWAkGrSr5UXl+u379atV3hZpgg0YqxwjE+qLvSt6E0BVZ5kWjWvAj7JQlZ42uhUCm22XSQU/o&#10;rckmeT7PenSycyiU9/T3/uTk64Rf10qEL3XtVWCm5MQtpNOls4pntl5BsXPQNVqcacA/sGhBWyp6&#10;gbqHAGzv9F9QrRYOPdZhJLDNsK61UKkH6mac/9HNYwOdSr2QOL67yOT/H6z4fPjqmJYln9OkLLQ0&#10;ow3oAZhU7EkNAdkkitR3vqDYx46iw/AOBxp2ath3Dyi+e2Zx04DdqTvnsG8USCI5jpnZVeoJx0eQ&#10;qv+EkorBPmACGmrXRgVJE0boNKzjZUDEg4lYcra8WczIJcg3vcnni0UqAcVzdud8+KCwZfFSckcL&#10;kNDh8OBDZAPFc0gs5tFoudXGJMPtqo1x7AC0LNv0ndF/CzOW9SVfziazhGwx5qc9anWgZTa6Lfki&#10;j19MhyKq8d7KdA+gzelOTIw9yxMVOWkThmpI45jG3ChdhfJIejk87S69Nbo06H5y1tPeltz/2INT&#10;nJmPljRfjqfTuOjJmM7eTshw157q2gNWEFTJA2en6yakxxFpW7yj2dQ6yfbC5EyZ9jGpeX47ceGv&#10;7RT18sLXvwAAAP//AwBQSwMEFAAGAAgAAAAhAAh8YgHfAAAACwEAAA8AAABkcnMvZG93bnJldi54&#10;bWxMj81OwzAQhO9IvIO1SFwQdVra/BGnAiQQ15Y+gBNvk4h4HcVuk7492xO97eyOZr8ptrPtxRlH&#10;3zlSsFxEIJBqZzpqFBx+Pp9TED5oMrp3hAou6GFb3t8VOjduoh2e96ERHEI+1wraEIZcSl+3aLVf&#10;uAGJb0c3Wh1Yjo00o5443PZyFUWxtLoj/tDqAT9arH/3J6vg+D09bbKp+gqHZLeO33WXVO6i1OPD&#10;/PYKIuAc/s1wxWd0KJmpcicyXvSs10nG1uuQJiDY8ZKlvKkUrJbxBmRZyNsO5R8AAAD//wMAUEsB&#10;Ai0AFAAGAAgAAAAhALaDOJL+AAAA4QEAABMAAAAAAAAAAAAAAAAAAAAAAFtDb250ZW50X1R5cGVz&#10;XS54bWxQSwECLQAUAAYACAAAACEAOP0h/9YAAACUAQAACwAAAAAAAAAAAAAAAAAvAQAAX3JlbHMv&#10;LnJlbHNQSwECLQAUAAYACAAAACEAa+hZcygCAAApBAAADgAAAAAAAAAAAAAAAAAuAgAAZHJzL2Uy&#10;b0RvYy54bWxQSwECLQAUAAYACAAAACEACHxiAd8AAAALAQAADwAAAAAAAAAAAAAAAACCBAAAZHJz&#10;L2Rvd25yZXYueG1sUEsFBgAAAAAEAAQA8wAAAI4FAAAAAA==&#10;" stroked="f">
            <v:textbox>
              <w:txbxContent>
                <w:p w:rsidR="00F57AE5" w:rsidRPr="00D44F88" w:rsidRDefault="00F57AE5" w:rsidP="00D44F88">
                  <w:pPr>
                    <w:spacing w:line="240" w:lineRule="auto"/>
                    <w:ind w:firstLine="0"/>
                    <w:jc w:val="center"/>
                    <w:rPr>
                      <w:sz w:val="16"/>
                    </w:rPr>
                  </w:pPr>
                  <w:r w:rsidRPr="00D44F88">
                    <w:rPr>
                      <w:sz w:val="16"/>
                    </w:rPr>
                    <w:t xml:space="preserve">Quadrante </w:t>
                  </w:r>
                  <w:r>
                    <w:rPr>
                      <w:sz w:val="16"/>
                    </w:rPr>
                    <w:t>II</w:t>
                  </w:r>
                  <w:r w:rsidRPr="00D44F88">
                    <w:rPr>
                      <w:sz w:val="16"/>
                    </w:rPr>
                    <w:t xml:space="preserve">I: Municípios </w:t>
                  </w:r>
                  <w:r>
                    <w:rPr>
                      <w:sz w:val="16"/>
                    </w:rPr>
                    <w:t>sub</w:t>
                  </w:r>
                  <w:r w:rsidRPr="00D44F88">
                    <w:rPr>
                      <w:sz w:val="16"/>
                    </w:rPr>
                    <w:t xml:space="preserve">desenvolvidos com agropecuária </w:t>
                  </w:r>
                  <w:r>
                    <w:rPr>
                      <w:sz w:val="16"/>
                    </w:rPr>
                    <w:t>diversific</w:t>
                  </w:r>
                  <w:r w:rsidRPr="00D44F88">
                    <w:rPr>
                      <w:sz w:val="16"/>
                    </w:rPr>
                    <w:t>ada</w:t>
                  </w:r>
                </w:p>
              </w:txbxContent>
            </v:textbox>
          </v:shape>
        </w:pict>
      </w:r>
      <w:r>
        <w:rPr>
          <w:noProof/>
        </w:rPr>
        <w:pict>
          <v:shape id="_x0000_s1031" type="#_x0000_t202" style="position:absolute;left:0;text-align:left;margin-left:269.1pt;margin-top:73.9pt;width:135.2pt;height:34.3pt;z-index:251757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QkKQIAACkEAAAOAAAAZHJzL2Uyb0RvYy54bWysU9tu2zAMfR+wfxD0vjjx4qQx4hRdugwD&#10;ugvQ7gNoWY6FyaInKbGzrx8lp2m2vQ3zgyCa5OHhIbW+HVrNjtI6habgs8mUM2kEVsrsC/7taffm&#10;hjPnwVSg0ciCn6Tjt5vXr9Z9l8sUG9SVtIxAjMv7ruCN912eJE40sgU3wU4actZoW/Bk2n1SWegJ&#10;vdVJOp0ukh5t1VkU0jn6ez86+Sbi17UU/ktdO+mZLjhx8/G08SzDmWzWkO8tdI0SZxrwDyxaUIaK&#10;XqDuwQM7WPUXVKuERYe1nwhsE6xrJWTsgbqZTf/o5rGBTsZeSBzXXWRy/w9WfD5+tUxVBV+sODPQ&#10;0oy2oAZglWRPcvDI0iBS37mcYh87ivbDOxxo2LFh1z2g+O6YwW0DZi/vrMW+kVARyVnITK5SRxwX&#10;QMr+E1ZUDA4eI9BQ2zYoSJowQqdhnS4DIh5MhJLL2TLNlpwJ8s3fZtlyEUtA/pzdWec/SGxZuBTc&#10;0gJEdDg+OB/YQP4cEoo51KraKa2jYfflVlt2BFqWXfzO6L+FacP6gq+yNIvIBkN+3KNWeVpmrdqC&#10;30zDF9IhD2q8N1W8e1B6vBMTbc7yBEVGbfxQDnEcWcgN0pVYnUgvi+Pu0lujS4P2J2c97W3B3Y8D&#10;WMmZ/mhI89VsPg+LHo15tkzJsNee8toDRhBUwT1n43Xr4+MItA3e0WxqFWV7YXKmTPsY1Ty/nbDw&#10;13aMennhm18AAAD//wMAUEsDBBQABgAIAAAAIQDmi6zm3wAAAAsBAAAPAAAAZHJzL2Rvd25yZXYu&#10;eG1sTI/RToNAEEXfTfyHzZj4YuxSpIDI0qiJxtfWfsDAboHIzhJ2W+jfOz7Zx8k9uXNuuV3sIM5m&#10;8r0jBetVBMJQ43RPrYLD98djDsIHJI2DI6PgYjxsq9ubEgvtZtqZ8z60gkvIF6igC2EspPRNZyz6&#10;lRsNcXZ0k8XA59RKPeHM5XaQcRSl0mJP/KHD0bx3pvnZn6yC49f8sHme689wyHZJ+oZ9VruLUvd3&#10;y+sLiGCW8A/Dnz6rQ8VOtTuR9mJQsHnKY0Y5SDLewEQe5SmIWkG8ThOQVSmvN1S/AAAA//8DAFBL&#10;AQItABQABgAIAAAAIQC2gziS/gAAAOEBAAATAAAAAAAAAAAAAAAAAAAAAABbQ29udGVudF9UeXBl&#10;c10ueG1sUEsBAi0AFAAGAAgAAAAhADj9If/WAAAAlAEAAAsAAAAAAAAAAAAAAAAALwEAAF9yZWxz&#10;Ly5yZWxzUEsBAi0AFAAGAAgAAAAhAHvydCQpAgAAKQQAAA4AAAAAAAAAAAAAAAAALgIAAGRycy9l&#10;Mm9Eb2MueG1sUEsBAi0AFAAGAAgAAAAhAOaLrObfAAAACwEAAA8AAAAAAAAAAAAAAAAAgwQAAGRy&#10;cy9kb3ducmV2LnhtbFBLBQYAAAAABAAEAPMAAACPBQAAAAA=&#10;" stroked="f">
            <v:textbox>
              <w:txbxContent>
                <w:p w:rsidR="00F57AE5" w:rsidRPr="00D44F88" w:rsidRDefault="00F57AE5" w:rsidP="00D44F88">
                  <w:pPr>
                    <w:spacing w:line="240" w:lineRule="auto"/>
                    <w:ind w:firstLine="0"/>
                    <w:jc w:val="center"/>
                    <w:rPr>
                      <w:sz w:val="16"/>
                    </w:rPr>
                  </w:pPr>
                  <w:r w:rsidRPr="00D44F88">
                    <w:rPr>
                      <w:sz w:val="16"/>
                    </w:rPr>
                    <w:t>Quadrante I</w:t>
                  </w:r>
                  <w:r>
                    <w:rPr>
                      <w:sz w:val="16"/>
                    </w:rPr>
                    <w:t>V</w:t>
                  </w:r>
                  <w:r w:rsidRPr="00D44F88">
                    <w:rPr>
                      <w:sz w:val="16"/>
                    </w:rPr>
                    <w:t xml:space="preserve">: Municípios </w:t>
                  </w:r>
                  <w:r>
                    <w:rPr>
                      <w:sz w:val="16"/>
                    </w:rPr>
                    <w:t>sub</w:t>
                  </w:r>
                  <w:r w:rsidRPr="00D44F88">
                    <w:rPr>
                      <w:sz w:val="16"/>
                    </w:rPr>
                    <w:t>desenvolvidos com agropecuária Especializada</w:t>
                  </w:r>
                </w:p>
              </w:txbxContent>
            </v:textbox>
          </v:shape>
        </w:pict>
      </w:r>
      <w:r>
        <w:rPr>
          <w:noProof/>
        </w:rPr>
        <w:pict>
          <v:shape id="_x0000_s1032" type="#_x0000_t202" style="position:absolute;left:0;text-align:left;margin-left:72.8pt;margin-top:26.9pt;width:125.5pt;height:34.5pt;z-index:25173964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iDKAIAACkEAAAOAAAAZHJzL2Uyb0RvYy54bWysU9tu2zAMfR+wfxD0vtjJnLYx4hRdugwD&#10;ugvQ7gMYSY6FyaInKbGzrx8lp2m2vQ3zgyCa5OHhIbW8HVrDDsp5jbbi00nOmbICpba7in972ry5&#10;4cwHsBIMWlXxo/L8dvX61bLvSjXDBo1UjhGI9WXfVbwJoSuzzItGteAn2ClLzhpdC4FMt8ukg57Q&#10;W5PN8vwq69HJzqFQ3tPf+9HJVwm/rpUIX+raq8BMxYlbSKdL5zae2WoJ5c5B12hxogH/wKIFbano&#10;GeoeArC9039BtVo49FiHicA2w7rWQqUeqJtp/kc3jw10KvVC4vjuLJP/f7Di8+GrY1pW/OqaMwst&#10;zWgNegAmFXtSQ0A2iyL1nS8p9rGj6DC8w4GGnRr23QOK755ZXDdgd+rOOewbBZJITmNmdpE64vgI&#10;su0/oaRisA+YgIbatVFB0oQROg3reB4Q8WAilpwvijwvOBPkK95eL4oilYDyObtzPnxQ2LJ4qbij&#10;BUjocHjwIbKB8jkkFvNotNxoY5Lhdtu1cewAtCyb9J3QfwszlvUVX8xn84RsMeanPWp1oGU2uq34&#10;TR6/mA5lVOO9lekeQJvxTkyMPckTFRm1CcN2GMcRc6N0W5RH0svhuLv01ujSoPvJWU97W3H/Yw9O&#10;cWY+WtJ8MS2KuOjJKObXMzLcpWd76QErCKrigbPxug7pcUTaFu9oNrVOsr0wOVGmfUxqnt5OXPhL&#10;O0W9vPDVLwAAAP//AwBQSwMEFAAGAAgAAAAhAJeBPXfdAAAACgEAAA8AAABkcnMvZG93bnJldi54&#10;bWxMj0FPg0AQhe8m/ofNmHgxdpEW2iJLoyYar639AQNMgcjOEnZb6L93POnxzXt58718N9teXWj0&#10;nWMDT4sIFHHl6o4bA8ev98cNKB+Qa+wdk4EredgVtzc5ZrWbeE+XQ2iUlLDP0EAbwpBp7auWLPqF&#10;G4jFO7nRYhA5NroecZJy2+s4ilJtsWP50OJAby1V34ezNXD6nB6S7VR+hON6v0pfsVuX7mrM/d38&#10;8gwq0Bz+wvCLL+hQCFPpzlx71YteJalEDSRLmSCB5TaVQylOHG9AF7n+P6H4AQAA//8DAFBLAQIt&#10;ABQABgAIAAAAIQC2gziS/gAAAOEBAAATAAAAAAAAAAAAAAAAAAAAAABbQ29udGVudF9UeXBlc10u&#10;eG1sUEsBAi0AFAAGAAgAAAAhADj9If/WAAAAlAEAAAsAAAAAAAAAAAAAAAAALwEAAF9yZWxzLy5y&#10;ZWxzUEsBAi0AFAAGAAgAAAAhAHI+aIMoAgAAKQQAAA4AAAAAAAAAAAAAAAAALgIAAGRycy9lMm9E&#10;b2MueG1sUEsBAi0AFAAGAAgAAAAhAJeBPXfdAAAACgEAAA8AAAAAAAAAAAAAAAAAggQAAGRycy9k&#10;b3ducmV2LnhtbFBLBQYAAAAABAAEAPMAAACMBQAAAAA=&#10;" stroked="f">
            <v:textbox>
              <w:txbxContent>
                <w:p w:rsidR="00F57AE5" w:rsidRPr="00D44F88" w:rsidRDefault="00F57AE5" w:rsidP="00D44F88">
                  <w:pPr>
                    <w:spacing w:line="240" w:lineRule="auto"/>
                    <w:ind w:firstLine="0"/>
                    <w:jc w:val="center"/>
                    <w:rPr>
                      <w:sz w:val="16"/>
                    </w:rPr>
                  </w:pPr>
                  <w:r w:rsidRPr="00D44F88">
                    <w:rPr>
                      <w:sz w:val="16"/>
                    </w:rPr>
                    <w:t xml:space="preserve">Quadrante </w:t>
                  </w:r>
                  <w:r>
                    <w:rPr>
                      <w:sz w:val="16"/>
                    </w:rPr>
                    <w:t>I</w:t>
                  </w:r>
                  <w:r w:rsidRPr="00D44F88">
                    <w:rPr>
                      <w:sz w:val="16"/>
                    </w:rPr>
                    <w:t xml:space="preserve">I: Municípios desenvolvidos com agropecuária </w:t>
                  </w:r>
                  <w:r>
                    <w:rPr>
                      <w:sz w:val="16"/>
                    </w:rPr>
                    <w:t>Diversificada</w:t>
                  </w:r>
                </w:p>
              </w:txbxContent>
            </v:textbox>
          </v:shape>
        </w:pict>
      </w:r>
      <w:r>
        <w:rPr>
          <w:noProof/>
        </w:rPr>
        <w:pict>
          <v:shape id="_x0000_s1033" type="#_x0000_t202" style="position:absolute;left:0;text-align:left;margin-left:269.1pt;margin-top:25.8pt;width:135.2pt;height:35.7pt;z-index:251730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XCKQIAACoEAAAOAAAAZHJzL2Uyb0RvYy54bWysU9tu2zAMfR+wfxD0vjh2kyU14hRdugwD&#10;ugvQ7gNoSY6FyaInKbG7rx+lpGm2vQ3zgyCa5OHhIbW6GTvDDsp5jbbi+WTKmbICpba7in973L5Z&#10;cuYDWAkGrar4k/L8Zv361WroS1Vgi0YqxwjE+nLoK96G0JdZ5kWrOvAT7JUlZ4Oug0Cm22XSwUDo&#10;ncmK6fRtNqCTvUOhvKe/d0cnXyf8plEifGkarwIzFSduIZ0unXU8s/UKyp2DvtXiRAP+gUUH2lLR&#10;M9QdBGB7p/+C6rRw6LEJE4Fdhk2jhUo9UDf59I9uHlroVeqFxPH9WSb//2DF58NXx7SseJEvOLPQ&#10;0ZA2oEdgUrFHNQZkRVRp6H1JwQ89hYfxHY407dSx7+9RfPfM4qYFu1O3zuHQKpDEMo+Z2UXqEcdH&#10;kHr4hJKKwT5gAhob10UJSRRG6DStp/OEiAcTseQiXxRzIirIN5tfzZZXqQSUz9m98+GDwo7FS8Ud&#10;bUBCh8O9D5ENlM8hsZhHo+VWG5MMt6s3xrED0LZs03dC/y3MWDZU/HpezBOyxZifFqnTgbbZ6K7i&#10;y2n8YjqUUY33VqZ7AG2Od2Ji7EmeqMhRmzDWY5rHIuZG6WqUT6SXw+Py0mOjS4vuJ2cDLW7F/Y89&#10;OMWZ+WhJ8+t8NoubnozZfFGQ4S499aUHrCCoigfOjtdNSK8j0rZ4S7NpdJLthcmJMi1kUvP0eOLG&#10;X9op6uWJr38BAAD//wMAUEsDBBQABgAIAAAAIQDbE2Ev3QAAAAoBAAAPAAAAZHJzL2Rvd25yZXYu&#10;eG1sTI/BTsMwDIbvSLxDZCQuiCXrWFdK0wmQQFw39gBp47UVjVM12dq9PebEbr/lT78/F9vZ9eKM&#10;Y+g8aVguFAik2tuOGg2H74/HDESIhqzpPaGGCwbYlrc3hcmtn2iH531sBJdQyI2GNsYhlzLULToT&#10;Fn5A4t3Rj85EHsdG2tFMXO56mSiVSmc64gutGfC9xfpnf3Iajl/Tw/p5qj7jYbN7St9Mt6n8Rev7&#10;u/n1BUTEOf7D8KfP6lCyU+VPZIPoNaxXWcIoh2UKgoFMZRwqJpOVAlkW8vqF8hcAAP//AwBQSwEC&#10;LQAUAAYACAAAACEAtoM4kv4AAADhAQAAEwAAAAAAAAAAAAAAAAAAAAAAW0NvbnRlbnRfVHlwZXNd&#10;LnhtbFBLAQItABQABgAIAAAAIQA4/SH/1gAAAJQBAAALAAAAAAAAAAAAAAAAAC8BAABfcmVscy8u&#10;cmVsc1BLAQItABQABgAIAAAAIQBXlwXCKQIAACoEAAAOAAAAAAAAAAAAAAAAAC4CAABkcnMvZTJv&#10;RG9jLnhtbFBLAQItABQABgAIAAAAIQDbE2Ev3QAAAAoBAAAPAAAAAAAAAAAAAAAAAIMEAABkcnMv&#10;ZG93bnJldi54bWxQSwUGAAAAAAQABADzAAAAjQUAAAAA&#10;" stroked="f">
            <v:textbox>
              <w:txbxContent>
                <w:p w:rsidR="00F57AE5" w:rsidRPr="00D44F88" w:rsidRDefault="00F57AE5" w:rsidP="00D44F88">
                  <w:pPr>
                    <w:spacing w:line="240" w:lineRule="auto"/>
                    <w:ind w:firstLine="0"/>
                    <w:jc w:val="center"/>
                    <w:rPr>
                      <w:sz w:val="16"/>
                    </w:rPr>
                  </w:pPr>
                  <w:r w:rsidRPr="00D44F88">
                    <w:rPr>
                      <w:sz w:val="16"/>
                    </w:rPr>
                    <w:t>Quadrante I: Municípios desenvolvidos com agropecuária Especializada</w:t>
                  </w:r>
                </w:p>
              </w:txbxContent>
            </v:textbox>
          </v:shape>
        </w:pict>
      </w:r>
      <w:r>
        <w:rPr>
          <w:noProof/>
          <w:lang w:eastAsia="pt-BR"/>
        </w:rPr>
        <w:pict>
          <v:rect id="Retângulo 39" o:spid="_x0000_s1039" style="position:absolute;left:0;text-align:left;margin-left:.8pt;margin-top:62.4pt;width:453.1pt;height:10.8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3GpwIAAKAFAAAOAAAAZHJzL2Uyb0RvYy54bWysVMFu2zAMvQ/YPwi6r07SZFmNOkXQIsOA&#10;og3aDj0rshQbkEVNUuJkn7Nf2Y+Nkmw364odhuWgkCL5KD6TvLw6NIrshXU16IKOz0aUCM2hrPW2&#10;oF+fVh8+UeI80yVToEVBj8LRq8X7d5etycUEKlClsARBtMtbU9DKe5NnmeOVaJg7AyM0GiXYhnlU&#10;7TYrLWsRvVHZZDT6mLVgS2OBC+fw9iYZ6SLiSym4v5fSCU9UQfFtPp42nptwZotLlm8tM1XNu2ew&#10;f3hFw2qNSQeoG+YZ2dn6D6im5hYcSH/GoclAypqLWANWMx69quaxYkbEWpAcZwaa3P+D5Xf7tSV1&#10;WdDzC0o0a/AbPQj/84fe7hQQvESGWuNydHw0a9tpDsVQ7kHaJvxjIeQQWT0OrIqDJxwvZ/PZ9HyO&#10;5HO0jc/n84tZAM1eoo11/rOAhgShoBa/WiST7W+dT669S0imYVUrhfcsVzqcDlRdhruo2O3mWlmy&#10;Z/jJV6sR/rp0v7kFwBvmquRXotR5BcgsVJxqjJI/KpHSPQiJbGFVk/jC2KdiSMc4F9qPk6lipUjo&#10;s9NHhM4OEZEBpREwIEt8/YDdAfSeCaTHTnx0/iFUxDYfgkd/e1gKHiJiZtB+CG5qDfYtAIVVdZmT&#10;f09SoiawtIHyiL1kIQ2ZM3xVI8m3zPk1szhV2AK4Kfw9HlJBW1DoJEoqsN/fug/+2OxopaTFKS2o&#10;+7ZjVlCivmgcg4vxdBrGOirT2XyCij21bE4tetdcA3bFGHeS4VEM/l71orTQPONCWYasaGKaY+6C&#10;cm975dqn7YEriYvlMrrhKBvmb/Wj4QE8sBra6+nwzKzpmtrjONxBP9Esf9XbyTdEaljuPMg6Nv4L&#10;rx3fuAZi43QrK+yZUz16vSzWxS8AAAD//wMAUEsDBBQABgAIAAAAIQBcZsiN3gAAAAkBAAAPAAAA&#10;ZHJzL2Rvd25yZXYueG1sTE9BTsMwELwj8QdrkbhRp1UJJcSpShGIHjgQAr268ZJE2OsodtPwe5YT&#10;nHZnZzQ7k68nZ8WIQ+g8KZjPEhBItTcdNQqqt8erFYgQNRltPaGCbwywLs7Pcp0Zf6JXHMvYCDah&#10;kGkFbYx9JmWoW3Q6zHyPxNynH5yODIdGmkGf2NxZuUiSVDrdEX9odY/bFuuv8ugUlA+7cfO03d+v&#10;PvYVvbwH+xyquVKXF9PmDkTEKf6J4Tc+R4eCMx38kUwQlnHKQh6LJTdg/ja54eXAl2V6DbLI5f8G&#10;xQ8AAAD//wMAUEsBAi0AFAAGAAgAAAAhALaDOJL+AAAA4QEAABMAAAAAAAAAAAAAAAAAAAAAAFtD&#10;b250ZW50X1R5cGVzXS54bWxQSwECLQAUAAYACAAAACEAOP0h/9YAAACUAQAACwAAAAAAAAAAAAAA&#10;AAAvAQAAX3JlbHMvLnJlbHNQSwECLQAUAAYACAAAACEAxGldxqcCAACgBQAADgAAAAAAAAAAAAAA&#10;AAAuAgAAZHJzL2Uyb0RvYy54bWxQSwECLQAUAAYACAAAACEAXGbIjd4AAAAJAQAADwAAAAAAAAAA&#10;AAAAAAABBQAAZHJzL2Rvd25yZXYueG1sUEsFBgAAAAAEAAQA8wAAAAwGAAAAAA==&#10;" filled="f" strokecolor="red" strokeweight="1pt">
            <v:stroke dashstyle="dash"/>
          </v:rect>
        </w:pict>
      </w:r>
      <w:r w:rsidR="00377BD2" w:rsidRPr="00377BD2">
        <w:rPr>
          <w:noProof/>
          <w:lang w:eastAsia="pt-BR"/>
        </w:rPr>
        <w:drawing>
          <wp:inline distT="0" distB="0" distL="0" distR="0">
            <wp:extent cx="5760085" cy="1547238"/>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085" cy="1547238"/>
                    </a:xfrm>
                    <a:prstGeom prst="rect">
                      <a:avLst/>
                    </a:prstGeom>
                    <a:noFill/>
                    <a:ln>
                      <a:noFill/>
                    </a:ln>
                  </pic:spPr>
                </pic:pic>
              </a:graphicData>
            </a:graphic>
          </wp:inline>
        </w:drawing>
      </w:r>
    </w:p>
    <w:p w:rsidR="00377BD2" w:rsidRPr="00FC635E" w:rsidRDefault="00377BD2" w:rsidP="00AB66BC">
      <w:pPr>
        <w:ind w:firstLine="0"/>
        <w:rPr>
          <w:rFonts w:ascii="Times New Roman" w:hAnsi="Times New Roman"/>
        </w:rPr>
      </w:pPr>
      <w:r w:rsidRPr="00FC635E">
        <w:rPr>
          <w:rFonts w:ascii="Times New Roman" w:hAnsi="Times New Roman"/>
        </w:rPr>
        <w:t>Fonte: Elaboração própria</w:t>
      </w:r>
    </w:p>
    <w:p w:rsidR="00AB66BC" w:rsidRPr="00FC635E" w:rsidRDefault="00AB66BC" w:rsidP="00AB66BC">
      <w:pPr>
        <w:rPr>
          <w:rFonts w:ascii="Times New Roman" w:hAnsi="Times New Roman"/>
          <w:noProof/>
        </w:rPr>
      </w:pPr>
      <w:r w:rsidRPr="00FC635E">
        <w:rPr>
          <w:rFonts w:ascii="Times New Roman" w:hAnsi="Times New Roman"/>
          <w:noProof/>
        </w:rPr>
        <w:t>Analisamos essas questões utilizando como parâmetro de riqueza o PIB per capita de cada município, tanto por ser um indicador amplamente utilizado na literatura quanto pelo fato de não ter sido utilizado na construção do IDR.  Dividimos a análise em dois grupos, primeiro somente os municípios que possuem PIB per capita acima da média, e depois, somente aqueles com PIB per capita abaixo da média. Apenas para facilitar a análise, chamaremos o primeiro grupo de municípios “Ricos”, e o segundo de municípios “Pobres” (essa classificação diz respeito apenas ao fato de estarem acima ou abaixo da média do PIB per capita, sem qualquer relação com outras características). Do total de 1107 municípios,  65,4% (724) estão abaixo da média, e 34,6% (383) acima.</w:t>
      </w:r>
    </w:p>
    <w:p w:rsidR="00AB66BC" w:rsidRPr="00FC635E" w:rsidRDefault="004D0310" w:rsidP="00AB66BC">
      <w:pPr>
        <w:rPr>
          <w:rFonts w:ascii="Times New Roman" w:hAnsi="Times New Roman"/>
          <w:noProof/>
        </w:rPr>
      </w:pPr>
      <w:r w:rsidRPr="00FC635E">
        <w:rPr>
          <w:rFonts w:ascii="Times New Roman" w:hAnsi="Times New Roman"/>
          <w:noProof/>
        </w:rPr>
        <w:t xml:space="preserve">O </w:t>
      </w:r>
      <w:r w:rsidR="005F3586" w:rsidRPr="00FC635E">
        <w:rPr>
          <w:rFonts w:ascii="Times New Roman" w:hAnsi="Times New Roman"/>
          <w:noProof/>
        </w:rPr>
        <w:fldChar w:fldCharType="begin"/>
      </w:r>
      <w:r w:rsidRPr="00FC635E">
        <w:rPr>
          <w:rFonts w:ascii="Times New Roman" w:hAnsi="Times New Roman"/>
          <w:noProof/>
        </w:rPr>
        <w:instrText xml:space="preserve"> REF _Ref2946894 \h </w:instrText>
      </w:r>
      <w:r w:rsidR="00FC635E">
        <w:rPr>
          <w:rFonts w:ascii="Times New Roman" w:hAnsi="Times New Roman"/>
          <w:noProof/>
        </w:rPr>
        <w:instrText xml:space="preserve"> \* MERGEFORMAT </w:instrText>
      </w:r>
      <w:r w:rsidR="005F3586" w:rsidRPr="00FC635E">
        <w:rPr>
          <w:rFonts w:ascii="Times New Roman" w:hAnsi="Times New Roman"/>
          <w:noProof/>
        </w:rPr>
      </w:r>
      <w:r w:rsidR="005F3586" w:rsidRPr="00FC635E">
        <w:rPr>
          <w:rFonts w:ascii="Times New Roman" w:hAnsi="Times New Roman"/>
          <w:noProof/>
        </w:rPr>
        <w:fldChar w:fldCharType="separate"/>
      </w:r>
      <w:r w:rsidR="00D057EE" w:rsidRPr="00FC635E">
        <w:rPr>
          <w:rFonts w:ascii="Times New Roman" w:hAnsi="Times New Roman"/>
        </w:rPr>
        <w:t xml:space="preserve">Quadro </w:t>
      </w:r>
      <w:r w:rsidR="00A428D4">
        <w:rPr>
          <w:rFonts w:ascii="Times New Roman" w:hAnsi="Times New Roman"/>
        </w:rPr>
        <w:t>3</w:t>
      </w:r>
      <w:r w:rsidR="005F3586" w:rsidRPr="00FC635E">
        <w:rPr>
          <w:rFonts w:ascii="Times New Roman" w:hAnsi="Times New Roman"/>
          <w:noProof/>
        </w:rPr>
        <w:fldChar w:fldCharType="end"/>
      </w:r>
      <w:r w:rsidR="00AB66BC" w:rsidRPr="00FC635E">
        <w:rPr>
          <w:rFonts w:ascii="Times New Roman" w:hAnsi="Times New Roman"/>
          <w:noProof/>
          <w:color w:val="ED7D31"/>
        </w:rPr>
        <w:t xml:space="preserve"> </w:t>
      </w:r>
      <w:r w:rsidR="00AB66BC" w:rsidRPr="00FC635E">
        <w:rPr>
          <w:rFonts w:ascii="Times New Roman" w:hAnsi="Times New Roman"/>
          <w:noProof/>
        </w:rPr>
        <w:t xml:space="preserve">apresenta a relação entre a diversificação agropecuária e o desenvolvimento rural dos municípios Ricos do Cerrado. </w:t>
      </w:r>
      <w:r w:rsidR="00AB66BC" w:rsidRPr="00FC635E">
        <w:rPr>
          <w:rFonts w:ascii="Times New Roman" w:hAnsi="Times New Roman"/>
        </w:rPr>
        <w:t>A maior parte dos municípios tem média diversificação (155 municípios), assim como a maioria apresentou Médio Desenvolvimento Rural (196 municípios). Desconsiderando esses municípios, e</w:t>
      </w:r>
      <w:r w:rsidR="00AB66BC" w:rsidRPr="00FC635E">
        <w:rPr>
          <w:rFonts w:ascii="Times New Roman" w:hAnsi="Times New Roman"/>
          <w:noProof/>
        </w:rPr>
        <w:t xml:space="preserve">m geral, há muito mais municípios especializados do que diversificados (145 contra 83), corroborando com nossa hipótese. </w:t>
      </w:r>
    </w:p>
    <w:p w:rsidR="00AB66BC" w:rsidRPr="00FC635E" w:rsidRDefault="00AB66BC" w:rsidP="00AB66BC">
      <w:pPr>
        <w:rPr>
          <w:rFonts w:ascii="Times New Roman" w:hAnsi="Times New Roman"/>
          <w:noProof/>
        </w:rPr>
      </w:pPr>
      <w:r w:rsidRPr="00FC635E">
        <w:rPr>
          <w:rFonts w:ascii="Times New Roman" w:hAnsi="Times New Roman"/>
          <w:noProof/>
        </w:rPr>
        <w:t xml:space="preserve">É importante destacar que mesmo considerando aqui somente municípios com PIB per capita acima da média, 85 deles possuem Desenvolvimento Rural abaixo da Média. Dentre esses municípios </w:t>
      </w:r>
      <w:r w:rsidRPr="00FC635E">
        <w:rPr>
          <w:rFonts w:ascii="Times New Roman" w:hAnsi="Times New Roman"/>
          <w:noProof/>
        </w:rPr>
        <w:lastRenderedPageBreak/>
        <w:t>subdesenvolvidos, apenas 15 são diversificados (quadrante III), enquanto 35 tem média diversifcação e outros 35 são especializados (quadrante IV). Isso significa que, embora exista municípios Ricos com baixo desenvolvimento, a ocorrência desses casos é menor em municípios diversificados.</w:t>
      </w:r>
    </w:p>
    <w:p w:rsidR="00AB66BC" w:rsidRPr="00FC635E" w:rsidRDefault="00AB66BC" w:rsidP="00AB66BC">
      <w:pPr>
        <w:rPr>
          <w:rFonts w:ascii="Times New Roman" w:hAnsi="Times New Roman"/>
          <w:noProof/>
        </w:rPr>
      </w:pPr>
      <w:r w:rsidRPr="00FC635E">
        <w:rPr>
          <w:rFonts w:ascii="Times New Roman" w:hAnsi="Times New Roman"/>
          <w:noProof/>
        </w:rPr>
        <w:t>Sintetizando os municípios diversificados, 15 são subdesenvolvidos (quadrante III), 41 tem Médio desenvolvimento, e 27 são desenvolvidos (quadrante II).</w:t>
      </w:r>
    </w:p>
    <w:p w:rsidR="00AB66BC" w:rsidRPr="00FC635E" w:rsidRDefault="00AB66BC" w:rsidP="00AB66BC">
      <w:pPr>
        <w:rPr>
          <w:rFonts w:ascii="Times New Roman" w:hAnsi="Times New Roman"/>
          <w:noProof/>
        </w:rPr>
      </w:pPr>
      <w:r w:rsidRPr="00FC635E">
        <w:rPr>
          <w:rFonts w:ascii="Times New Roman" w:hAnsi="Times New Roman"/>
          <w:noProof/>
        </w:rPr>
        <w:t>Entre os municípios especializados, 35 são subdesenvolvidos (quadrante IV), 75 tem Médio Desenvolvimento, e outros 35 são desenvolvidos (quadrante I).</w:t>
      </w:r>
    </w:p>
    <w:p w:rsidR="00377BD2" w:rsidRPr="00FC635E" w:rsidRDefault="00377BD2" w:rsidP="00377BD2">
      <w:pPr>
        <w:pStyle w:val="QUADROSeTABELAS"/>
        <w:rPr>
          <w:rFonts w:ascii="Times New Roman" w:hAnsi="Times New Roman" w:cs="Times New Roman"/>
        </w:rPr>
      </w:pPr>
      <w:bookmarkStart w:id="32" w:name="_Ref2946894"/>
      <w:bookmarkStart w:id="33" w:name="_Toc4632901"/>
      <w:r w:rsidRPr="00FC635E">
        <w:rPr>
          <w:rFonts w:ascii="Times New Roman" w:hAnsi="Times New Roman" w:cs="Times New Roman"/>
        </w:rPr>
        <w:t xml:space="preserve">Quadro </w:t>
      </w:r>
      <w:r w:rsidR="00A428D4">
        <w:rPr>
          <w:rFonts w:ascii="Times New Roman" w:hAnsi="Times New Roman" w:cs="Times New Roman"/>
        </w:rPr>
        <w:t>3:</w:t>
      </w:r>
      <w:bookmarkEnd w:id="32"/>
      <w:r w:rsidRPr="00FC635E">
        <w:rPr>
          <w:rFonts w:ascii="Times New Roman" w:hAnsi="Times New Roman" w:cs="Times New Roman"/>
        </w:rPr>
        <w:t xml:space="preserve"> </w:t>
      </w:r>
      <w:r w:rsidR="00317EBE" w:rsidRPr="00FC635E">
        <w:rPr>
          <w:rFonts w:ascii="Times New Roman" w:hAnsi="Times New Roman" w:cs="Times New Roman"/>
        </w:rPr>
        <w:t>Número de municípios com PIB per capita acima da média, por grau de desenvolvimento rural e diversificação agropecuária, 2017</w:t>
      </w:r>
      <w:bookmarkEnd w:id="33"/>
    </w:p>
    <w:p w:rsidR="0094069C" w:rsidRDefault="004D0310" w:rsidP="0094069C">
      <w:pPr>
        <w:ind w:firstLine="0"/>
        <w:rPr>
          <w:noProof/>
        </w:rPr>
      </w:pPr>
      <w:r>
        <w:rPr>
          <w:noProof/>
          <w:lang w:eastAsia="pt-BR"/>
        </w:rPr>
        <w:drawing>
          <wp:anchor distT="0" distB="0" distL="114300" distR="114300" simplePos="0" relativeHeight="251695616" behindDoc="1" locked="0" layoutInCell="1" allowOverlap="1">
            <wp:simplePos x="0" y="0"/>
            <wp:positionH relativeFrom="column">
              <wp:posOffset>4167119</wp:posOffset>
            </wp:positionH>
            <wp:positionV relativeFrom="paragraph">
              <wp:posOffset>1052637</wp:posOffset>
            </wp:positionV>
            <wp:extent cx="182880" cy="176530"/>
            <wp:effectExtent l="0" t="0" r="7620" b="0"/>
            <wp:wrapNone/>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anchor>
        </w:drawing>
      </w:r>
      <w:r>
        <w:rPr>
          <w:noProof/>
          <w:lang w:eastAsia="pt-BR"/>
        </w:rPr>
        <w:drawing>
          <wp:anchor distT="0" distB="0" distL="114300" distR="114300" simplePos="0" relativeHeight="251688448" behindDoc="1" locked="0" layoutInCell="1" allowOverlap="1">
            <wp:simplePos x="0" y="0"/>
            <wp:positionH relativeFrom="column">
              <wp:posOffset>1646555</wp:posOffset>
            </wp:positionH>
            <wp:positionV relativeFrom="paragraph">
              <wp:posOffset>1052637</wp:posOffset>
            </wp:positionV>
            <wp:extent cx="201295" cy="176530"/>
            <wp:effectExtent l="0" t="0" r="8255" b="0"/>
            <wp:wrapNone/>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95" cy="176530"/>
                    </a:xfrm>
                    <a:prstGeom prst="rect">
                      <a:avLst/>
                    </a:prstGeom>
                    <a:noFill/>
                  </pic:spPr>
                </pic:pic>
              </a:graphicData>
            </a:graphic>
          </wp:anchor>
        </w:drawing>
      </w:r>
      <w:r>
        <w:rPr>
          <w:noProof/>
          <w:lang w:eastAsia="pt-BR"/>
        </w:rPr>
        <w:drawing>
          <wp:anchor distT="0" distB="0" distL="114300" distR="114300" simplePos="0" relativeHeight="251681280" behindDoc="1" locked="0" layoutInCell="1" allowOverlap="1">
            <wp:simplePos x="0" y="0"/>
            <wp:positionH relativeFrom="column">
              <wp:posOffset>4167119</wp:posOffset>
            </wp:positionH>
            <wp:positionV relativeFrom="paragraph">
              <wp:posOffset>468078</wp:posOffset>
            </wp:positionV>
            <wp:extent cx="91440" cy="176530"/>
            <wp:effectExtent l="0" t="0" r="3810" b="0"/>
            <wp:wrapNone/>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 cy="176530"/>
                    </a:xfrm>
                    <a:prstGeom prst="rect">
                      <a:avLst/>
                    </a:prstGeom>
                    <a:noFill/>
                  </pic:spPr>
                </pic:pic>
              </a:graphicData>
            </a:graphic>
          </wp:anchor>
        </w:drawing>
      </w:r>
      <w:r>
        <w:rPr>
          <w:noProof/>
          <w:lang w:eastAsia="pt-BR"/>
        </w:rPr>
        <w:drawing>
          <wp:anchor distT="0" distB="0" distL="114300" distR="114300" simplePos="0" relativeHeight="251674112" behindDoc="1" locked="0" layoutInCell="1" allowOverlap="1">
            <wp:simplePos x="0" y="0"/>
            <wp:positionH relativeFrom="column">
              <wp:posOffset>1646058</wp:posOffset>
            </wp:positionH>
            <wp:positionV relativeFrom="paragraph">
              <wp:posOffset>479093</wp:posOffset>
            </wp:positionV>
            <wp:extent cx="207010" cy="164465"/>
            <wp:effectExtent l="0" t="0" r="2540" b="6985"/>
            <wp:wrapNone/>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pic:spPr>
                </pic:pic>
              </a:graphicData>
            </a:graphic>
          </wp:anchor>
        </w:drawing>
      </w:r>
      <w:r w:rsidR="00132658">
        <w:rPr>
          <w:noProof/>
          <w:lang w:eastAsia="pt-BR"/>
        </w:rPr>
        <w:pict>
          <v:group id="Agrupar 41" o:spid="_x0000_s1036" style="position:absolute;left:0;text-align:left;margin-left:.95pt;margin-top:0;width:453.1pt;height:121.75pt;z-index:251631104;mso-position-horizontal-relative:text;mso-position-vertical-relative:text" coordorigin="74,1780" coordsize="57547,15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2lgVQMAAP8KAAAOAAAAZHJzL2Uyb0RvYy54bWzsVt1u2yAUvp+0d0Dcr44Tu06sulPULtWk&#10;aq3aTrumGP9IGBiQOt3j7FX2YjuA7WRdN2mbtKvmggDn8HHOx+EzJ293HUcPTJtWigLHRzOMmKCy&#10;bEVd4I93mzdLjIwloiRcClbgR2bw29PXr056lbO5bCQvmUYAIkzeqwI31qo8igxtWEfMkVRMgLGS&#10;uiMWhrqOSk16QO94NJ/NjqNe6lJpSZkxMHsejPjU41cVo/aqqgyziBcYYrO+1b69d210ekLyWhPV&#10;tHQIg/xFFB1pBWw6QZ0TS9BWtz9BdS3V0sjKHlHZRbKqWsp8DpBNPHuSzYWWW+VzqfO+VhNNQO0T&#10;nv4aln54uNaoLQucxBgJ0sEZrWu9VUQjmAF6elXn4HWh1a261sNEHUYu412lO/cPuaCdJ/ZxIpbt&#10;LKIwmWZpssiAfwq2OE2O5/M0UE8bOB+3LktWGUbOnC1n6fFofXeAkK1We4QkzpxPNAYQuTinsHoF&#10;5WT2jJl/Y+y2IYr5gzCOi4GxxXxk7IbZb19FveUSwaTnyDtOjJncAHnP0DVPF6s4/TnzkbnlYgHM&#10;/Tptkitt7AWTHXKdAmsoeV+J5OHS2MDQ6OL2F3LTcg7zJOfCtUbytnRzfqDr+zOu0QOB+7LZzOA3&#10;sPyDmwM8J6YJfiX0Bi8HCScxput79pGzsN0Nq6DU4LDnPkJ/ydm0HaGUCRsHU0NKFtDTwyCcLLgV&#10;/uC5AECHXEH0E/YAMHoGkBE78DH4u6XMa8S0ePa7wMLiaYXfWQo7Le5aIfVzAByyGnYO/iNJgRrH&#10;0r0sH6GstAwKZRTdtEDyJTH2mmiQJLg8ILP2CpqKy77Acuhh1Ej95bl55w91D1aMepC4ApvPW6IZ&#10;Rvy9gBuxipPEaaIfJGk2h4E+tNwfWsS2O5NQFSATEJ3vOn/Lx26lZfcJ1HjtdgUTERT2LjC1ehyc&#10;2SC9oOeUrdfeDXRQEXspbhV14I5VV153u09Eq6GoLVyHD3K8hSR/UtvB160Ucr21smp94e95HfgG&#10;RXB69j+kIXlOGpI/koZJEVfZcZIOn6pRF5yi7vVwsYzjxVBiox6Pl/5FF4LmvOhCUI6gIy+64PT2&#10;UBf8AwJeWf7TMrwI3TPucOz99+/W0+8AAAD//wMAUEsDBBQABgAIAAAAIQDUvisX3QAAAAYBAAAP&#10;AAAAZHJzL2Rvd25yZXYueG1sTI9Ba8JAFITvhf6H5RV6q5toLRqzEZG2JylUC8XbM3kmwezbkF2T&#10;+O/7emqPwwwz36Tr0Taqp87Xjg3EkwgUce6KmksDX4e3pwUoH5ALbByTgRt5WGf3dykmhRv4k/p9&#10;KJWUsE/QQBVCm2jt84os+olricU7u85iENmVuuhwkHLb6GkUvWiLNctChS1tK8ov+6s18D7gsJnF&#10;r/3uct7ejof5x/cuJmMeH8bNClSgMfyF4Rdf0CETppO7cuFVI3opQQPyR8xltIhBnQxMn2dz0Fmq&#10;/+NnPwAAAP//AwBQSwECLQAUAAYACAAAACEAtoM4kv4AAADhAQAAEwAAAAAAAAAAAAAAAAAAAAAA&#10;W0NvbnRlbnRfVHlwZXNdLnhtbFBLAQItABQABgAIAAAAIQA4/SH/1gAAAJQBAAALAAAAAAAAAAAA&#10;AAAAAC8BAABfcmVscy8ucmVsc1BLAQItABQABgAIAAAAIQCId2lgVQMAAP8KAAAOAAAAAAAAAAAA&#10;AAAAAC4CAABkcnMvZTJvRG9jLnhtbFBLAQItABQABgAIAAAAIQDUvisX3QAAAAYBAAAPAAAAAAAA&#10;AAAAAAAAAK8FAABkcnMvZG93bnJldi54bWxQSwUGAAAAAAQABADzAAAAuQYAAAAA&#10;">
            <v:rect id="Retângulo 32" o:spid="_x0000_s1038" style="position:absolute;left:25391;top:1780;width:8334;height:1546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OTIxAAAANsAAAAPAAAAZHJzL2Rvd25yZXYueG1sRI9Pi8Iw&#10;FMTvC36H8ARva6rCItUo/kHRg4ftVr0+mmdbbF5KE2v99hthYY/DzPyGmS87U4mWGldaVjAaRiCI&#10;M6tLzhWkP7vPKQjnkTVWlknBixwsF72POcbaPvmb2sTnIkDYxaig8L6OpXRZQQbd0NbEwbvZxqAP&#10;ssmlbvAZ4KaS4yj6kgZLDgsF1rQpKLsnD6Mg2R7b1X5zXU8v15RPZ1cdXDpSatDvVjMQnjr/H/5r&#10;H7SCyRjeX8IPkItfAAAA//8DAFBLAQItABQABgAIAAAAIQDb4fbL7gAAAIUBAAATAAAAAAAAAAAA&#10;AAAAAAAAAABbQ29udGVudF9UeXBlc10ueG1sUEsBAi0AFAAGAAgAAAAhAFr0LFu/AAAAFQEAAAsA&#10;AAAAAAAAAAAAAAAAHwEAAF9yZWxzLy5yZWxzUEsBAi0AFAAGAAgAAAAhAI4o5MjEAAAA2wAAAA8A&#10;AAAAAAAAAAAAAAAABwIAAGRycy9kb3ducmV2LnhtbFBLBQYAAAAAAwADALcAAAD4AgAAAAA=&#10;" filled="f" strokecolor="red" strokeweight="1pt">
              <v:stroke dashstyle="dash"/>
            </v:rect>
            <v:rect id="Retângulo 34" o:spid="_x0000_s1037" style="position:absolute;left:74;top:9764;width:57548;height:138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dknxQAAANsAAAAPAAAAZHJzL2Rvd25yZXYueG1sRI9Pa8JA&#10;FMTvgt9heYI33ailSHQT/IPFHjw0TfX6yL4modm3IbuN6bfvCoUeh5n5DbNNB9OInjpXW1awmEcg&#10;iAuray4V5O+n2RqE88gaG8uk4IccpMl4tMVY2zu/UZ/5UgQIuxgVVN63sZSuqMigm9uWOHiftjPo&#10;g+xKqTu8B7hp5DKKnqXBmsNChS0dKiq+sm+jIDu+9ruXw22/vt5yvny45uzyhVLTybDbgPA0+P/w&#10;X/usFaye4PEl/ACZ/AIAAP//AwBQSwECLQAUAAYACAAAACEA2+H2y+4AAACFAQAAEwAAAAAAAAAA&#10;AAAAAAAAAAAAW0NvbnRlbnRfVHlwZXNdLnhtbFBLAQItABQABgAIAAAAIQBa9CxbvwAAABUBAAAL&#10;AAAAAAAAAAAAAAAAAB8BAABfcmVscy8ucmVsc1BLAQItABQABgAIAAAAIQBujdknxQAAANsAAAAP&#10;AAAAAAAAAAAAAAAAAAcCAABkcnMvZG93bnJldi54bWxQSwUGAAAAAAMAAwC3AAAA+QIAAAAA&#10;" filled="f" strokecolor="red" strokeweight="1pt">
              <v:stroke dashstyle="dash"/>
            </v:rect>
          </v:group>
        </w:pict>
      </w:r>
      <w:r w:rsidR="00470300" w:rsidRPr="00470300">
        <w:rPr>
          <w:noProof/>
          <w:lang w:eastAsia="pt-BR"/>
        </w:rPr>
        <w:drawing>
          <wp:inline distT="0" distB="0" distL="0" distR="0">
            <wp:extent cx="5760085" cy="1547238"/>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1547238"/>
                    </a:xfrm>
                    <a:prstGeom prst="rect">
                      <a:avLst/>
                    </a:prstGeom>
                    <a:noFill/>
                    <a:ln>
                      <a:noFill/>
                    </a:ln>
                  </pic:spPr>
                </pic:pic>
              </a:graphicData>
            </a:graphic>
          </wp:inline>
        </w:drawing>
      </w:r>
    </w:p>
    <w:p w:rsidR="00AB66BC" w:rsidRPr="00FC635E" w:rsidRDefault="00317EBE" w:rsidP="00317EBE">
      <w:pPr>
        <w:ind w:firstLine="0"/>
        <w:rPr>
          <w:rFonts w:ascii="Times New Roman" w:hAnsi="Times New Roman"/>
          <w:noProof/>
        </w:rPr>
      </w:pPr>
      <w:r w:rsidRPr="00FC635E">
        <w:rPr>
          <w:rFonts w:ascii="Times New Roman" w:hAnsi="Times New Roman"/>
          <w:noProof/>
        </w:rPr>
        <w:t>Fonte: Resultados da pesquisa</w:t>
      </w:r>
    </w:p>
    <w:p w:rsidR="00AB66BC" w:rsidRPr="00FC635E" w:rsidRDefault="00AB66BC" w:rsidP="00AB66BC">
      <w:pPr>
        <w:rPr>
          <w:rFonts w:ascii="Times New Roman" w:hAnsi="Times New Roman"/>
          <w:noProof/>
        </w:rPr>
      </w:pPr>
      <w:r w:rsidRPr="00FC635E">
        <w:rPr>
          <w:rFonts w:ascii="Times New Roman" w:hAnsi="Times New Roman"/>
          <w:noProof/>
        </w:rPr>
        <w:t>Agora analisaremos os municípios Pobres, ou seja, aqueles com PIB per capita abaixo da média</w:t>
      </w:r>
      <w:r w:rsidR="004D0310" w:rsidRPr="00FC635E">
        <w:rPr>
          <w:rFonts w:ascii="Times New Roman" w:hAnsi="Times New Roman"/>
          <w:noProof/>
        </w:rPr>
        <w:t xml:space="preserve">, conforme </w:t>
      </w:r>
      <w:r w:rsidR="005F3586" w:rsidRPr="00FC635E">
        <w:rPr>
          <w:rFonts w:ascii="Times New Roman" w:hAnsi="Times New Roman"/>
          <w:noProof/>
        </w:rPr>
        <w:fldChar w:fldCharType="begin"/>
      </w:r>
      <w:r w:rsidR="004D0310" w:rsidRPr="00FC635E">
        <w:rPr>
          <w:rFonts w:ascii="Times New Roman" w:hAnsi="Times New Roman"/>
          <w:noProof/>
        </w:rPr>
        <w:instrText xml:space="preserve"> REF _Ref2946951 \h </w:instrText>
      </w:r>
      <w:r w:rsidR="00FC635E">
        <w:rPr>
          <w:rFonts w:ascii="Times New Roman" w:hAnsi="Times New Roman"/>
          <w:noProof/>
        </w:rPr>
        <w:instrText xml:space="preserve"> \* MERGEFORMAT </w:instrText>
      </w:r>
      <w:r w:rsidR="005F3586" w:rsidRPr="00FC635E">
        <w:rPr>
          <w:rFonts w:ascii="Times New Roman" w:hAnsi="Times New Roman"/>
          <w:noProof/>
        </w:rPr>
      </w:r>
      <w:r w:rsidR="005F3586" w:rsidRPr="00FC635E">
        <w:rPr>
          <w:rFonts w:ascii="Times New Roman" w:hAnsi="Times New Roman"/>
          <w:noProof/>
        </w:rPr>
        <w:fldChar w:fldCharType="separate"/>
      </w:r>
      <w:r w:rsidR="00D057EE" w:rsidRPr="00FC635E">
        <w:rPr>
          <w:rFonts w:ascii="Times New Roman" w:hAnsi="Times New Roman"/>
        </w:rPr>
        <w:t xml:space="preserve">Quadro </w:t>
      </w:r>
      <w:r w:rsidR="00A428D4">
        <w:rPr>
          <w:rFonts w:ascii="Times New Roman" w:hAnsi="Times New Roman"/>
        </w:rPr>
        <w:t>4</w:t>
      </w:r>
      <w:r w:rsidR="005F3586" w:rsidRPr="00FC635E">
        <w:rPr>
          <w:rFonts w:ascii="Times New Roman" w:hAnsi="Times New Roman"/>
          <w:noProof/>
        </w:rPr>
        <w:fldChar w:fldCharType="end"/>
      </w:r>
      <w:r w:rsidRPr="00FC635E">
        <w:rPr>
          <w:rFonts w:ascii="Times New Roman" w:hAnsi="Times New Roman"/>
          <w:noProof/>
        </w:rPr>
        <w:t xml:space="preserve">. Analisando os valores agregados notamos que os municípios estão relativamente equilibrados em relação ao nível de diversificação, ou seja, é difícil encontrar um padrão para esses municípios. A quantidade maior de municípios apresentam média diversificação. </w:t>
      </w:r>
    </w:p>
    <w:p w:rsidR="002C6AAE" w:rsidRPr="00FC635E" w:rsidRDefault="00AB66BC" w:rsidP="00AB66BC">
      <w:pPr>
        <w:rPr>
          <w:rFonts w:ascii="Times New Roman" w:hAnsi="Times New Roman"/>
          <w:noProof/>
        </w:rPr>
      </w:pPr>
      <w:r w:rsidRPr="00FC635E">
        <w:rPr>
          <w:rFonts w:ascii="Times New Roman" w:hAnsi="Times New Roman"/>
          <w:noProof/>
        </w:rPr>
        <w:t xml:space="preserve">Em relação aos municípios com pior indicador de desenvolvimento rural (MMB), foram encontrados 4 municípios, todos com forte diversificação, ambos localizados no estado do Maranhão, na mesorregião Centro Maranhense. De acordo com Peixoto Neto et al. </w:t>
      </w:r>
      <w:r w:rsidR="005F3586" w:rsidRPr="00FC635E">
        <w:rPr>
          <w:rFonts w:ascii="Times New Roman" w:hAnsi="Times New Roman"/>
          <w:noProof/>
        </w:rPr>
        <w:fldChar w:fldCharType="begin" w:fldLock="1"/>
      </w:r>
      <w:r w:rsidRPr="00FC635E">
        <w:rPr>
          <w:rFonts w:ascii="Times New Roman" w:hAnsi="Times New Roman"/>
          <w:noProof/>
        </w:rPr>
        <w:instrText>ADDIN CSL_CITATION {"citationItems":[{"id":"ITEM-1","itemData":{"DOI":"10.22615/jgm-1.1-5812","ISSN":"2526-1746","abstract":"AbstractThe central mesoregion of Maranhão is composed of 42 cities located in the middle valley of the Mearim River and divided into three microregions. The region has a high density, however, concentrated in a rural zone where the practice of the subsistence agriculture is great. There are two types of climate considered: a sub-humid climate ofC2 type and dry sub-humid climate of C1 type. This work aimed to characterize the central region of Maranhão indemographic, economic and natural resources aspects. Geologically, are found seven types of soils in the region,occurring with greater relevance the Yellow Latosols that even with high acidity, are handled and stand out for hostinglarge monocultures areas. Is worth highlighting the high Mearim, Grajaú, and Pindaré cities microregion, by the practice of rice cultivation in the lower and fertile areas and farming practices in the Cerrado domain. Livestock in this region is characterized extensively with the cattle (mixed race and Dutch zebu), specifically for slaughter and milk production. Currently, the region is suffering by the removal of natural vegetation and mainly the removal of babassu palm (Orbignya phalerata) for housing the agropastoral system that directly harmed the extraction of babassu almond and its derivatives generating great conflicts. The industry is concentrated in some cities, focusing on food production, woodworking and metallurgic. The main biome is Cerrado, which is being removed for several purposes, however, some natural areas are taken as reservation, highlighting the Conservation Unit Private Reserve of National Patrimony (PRNP), in Bacabal city that seeks the protection of remaining forests of cocais.Keywords: Biogeography. Middle Mearim. Microregions of Maranhão State.BIOGEOGRAFIA DA MESORREGIÃO CENTRO MARANHENSE (BRASIL)ResumoA Mesorregião Centro Maranhense é formada por 42 municípios localizada no médio vale do rio Mearim edividida em três microrregiões. A densidade da região é alta, porém concentrada na zona rural, onde a pratica daagricultura de subsistência é grande. Há dois tipos de clima considerado: clima subúmido do tipo C2 e clima subúmidoseco do tipo C1. Objetivou nesse trabalho caracterizar a região centro maranhense em aspectos demográficos,econômicos e recursos naturais. Geologicamente, são encontrados sete tipos de solos na região, ocorrendo com maior relevância os Latossolos amarelo que mesmo com acidez elevada, são manejados e destacam-se por abrigar grande …","author":[{"dropping-particle":"","family":"Peixoto Neto","given":"Carlos Alberto Algarves","non-dropping-particle":"","parse-names":false,"suffix":""},{"dropping-particle":"","family":"Lima","given":"Gustavo Pereira","non-dropping-particle":"","parse-names":false,"suffix":""},{"dropping-particle":"","family":"Chaves","given":"Lianne Pollianne Fernandes Araújo","non-dropping-particle":"","parse-names":false,"suffix":""},{"dropping-particle":"","family":"Silva","given":"Raimunda Alves","non-dropping-particle":"","parse-names":false,"suffix":""},{"dropping-particle":"","family":"Siqueira","given":"Glécio Machado","non-dropping-particle":"","parse-names":false,"suffix":""}],"container-title":"Journal of Geospatial Modelling","id":"ITEM-1","issue":"1","issued":{"date-parts":[["2016","12","15"]]},"page":"33","title":"BIOGEOGRAPHY OF THE CENTRAL MESOREGION OF MARANHÃO (BRAZIL)","type":"article-journal","volume":"1"},"suppress-author":1,"uris":["http://www.mendeley.com/documents/?uuid=48c180a2-f776-4325-8d04-eaa877b0a11b"]}],"mendeley":{"formattedCitation":"(2016)","plainTextFormattedCitation":"(2016)","previouslyFormattedCitation":"(2016)"},"properties":{"noteIndex":0},"schema":"https://github.com/citation-style-language/schema/raw/master/csl-citation.json"}</w:instrText>
      </w:r>
      <w:r w:rsidR="005F3586" w:rsidRPr="00FC635E">
        <w:rPr>
          <w:rFonts w:ascii="Times New Roman" w:hAnsi="Times New Roman"/>
          <w:noProof/>
        </w:rPr>
        <w:fldChar w:fldCharType="separate"/>
      </w:r>
      <w:r w:rsidRPr="00FC635E">
        <w:rPr>
          <w:rFonts w:ascii="Times New Roman" w:hAnsi="Times New Roman"/>
          <w:noProof/>
        </w:rPr>
        <w:t>(2016)</w:t>
      </w:r>
      <w:r w:rsidR="005F3586" w:rsidRPr="00FC635E">
        <w:rPr>
          <w:rFonts w:ascii="Times New Roman" w:hAnsi="Times New Roman"/>
          <w:noProof/>
        </w:rPr>
        <w:fldChar w:fldCharType="end"/>
      </w:r>
      <w:r w:rsidRPr="00FC635E">
        <w:rPr>
          <w:rFonts w:ascii="Times New Roman" w:hAnsi="Times New Roman"/>
          <w:noProof/>
        </w:rPr>
        <w:t xml:space="preserve"> a prática da agricultura de subsistência é grande nessa mesorregião, e também vivem nesse local diversas comunidades tradicionais de “Quebradeiras de Coco Babaçu”, a expansão econômica é crescente na região e vem eliminando grandes áreas de vegetação nativa e causando prejuízos a essas comunidades tradicionais. </w:t>
      </w:r>
    </w:p>
    <w:p w:rsidR="00AB66BC" w:rsidRPr="00FC635E" w:rsidRDefault="00AB66BC" w:rsidP="00AB66BC">
      <w:pPr>
        <w:rPr>
          <w:rFonts w:ascii="Times New Roman" w:hAnsi="Times New Roman"/>
          <w:noProof/>
        </w:rPr>
      </w:pPr>
      <w:r w:rsidRPr="00FC635E">
        <w:rPr>
          <w:rFonts w:ascii="Times New Roman" w:hAnsi="Times New Roman"/>
          <w:noProof/>
        </w:rPr>
        <w:t xml:space="preserve">O quadrante III (alta diversificação com baixo desenvolvimento rural) em geral retrata municípios com alta dependência da agricultura de subsistência e pecuária extensiva. </w:t>
      </w:r>
    </w:p>
    <w:p w:rsidR="00580616" w:rsidRPr="00FC635E" w:rsidRDefault="00132658" w:rsidP="00580616">
      <w:pPr>
        <w:pStyle w:val="QUADROSeTABELAS"/>
        <w:rPr>
          <w:rFonts w:ascii="Times New Roman" w:hAnsi="Times New Roman" w:cs="Times New Roman"/>
        </w:rPr>
      </w:pPr>
      <w:bookmarkStart w:id="34" w:name="_Ref2946951"/>
      <w:bookmarkStart w:id="35" w:name="_Toc4632902"/>
      <w:r>
        <w:rPr>
          <w:rFonts w:ascii="Times New Roman" w:hAnsi="Times New Roman" w:cs="Times New Roman"/>
          <w:noProof/>
          <w:lang w:eastAsia="pt-BR"/>
        </w:rPr>
        <w:pict>
          <v:rect id="Retângulo 50" o:spid="_x0000_s1035" style="position:absolute;left:0;text-align:left;margin-left:199.8pt;margin-top:26.75pt;width:65.6pt;height:121.7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cspQIAAKAFAAAOAAAAZHJzL2Uyb0RvYy54bWysVMFu2zAMvQ/YPwi6r47TpOuMOkXQIsOA&#10;oi3aDj0rshQbkEVNUuJkn7Nf2Y+Nkmw364odhuWgUCL5SD6TvLjct4rshHUN6JLmJxNKhOZQNXpT&#10;0q9Pqw/nlDjPdMUUaFHSg3D0cvH+3UVnCjGFGlQlLEEQ7YrOlLT23hRZ5ngtWuZOwAiNSgm2ZR6v&#10;dpNVlnWI3qpsOpmcZR3Yyljgwjl8vU5Kuoj4Ugru76R0whNVUszNx9PGcx3ObHHBio1lpm54nwb7&#10;hyxa1mgMOkJdM8/I1jZ/QLUNt+BA+hMObQZSNlzEGrCafPKqmseaGRFrQXKcGWly/w+W3+7uLWmq&#10;ks6RHs1a/EYPwv/8oTdbBQQfkaHOuAINH8297W8OxVDuXto2/GMhZB9ZPYysir0nHB/PT0/zKYJz&#10;VOXz2dl0Og+g2Yu3sc5/FtCSIJTU4leLZLLdjfPJdDAJwTSsGqXwnRVKh9OBaqrwFi92s75SluwY&#10;fvLVaoK/PtxvZgHwmrk62VUo9VYBMgsVpxqj5A9KpHAPQiJbWNU0Zhj7VIzhGOdC+zypalaJhD4/&#10;TiJ0dvCIDCiNgAFZYvYjdg8wWCaQATvx0dsHVxHbfHSe/C2x5Dx6xMig/ejcNhrsWwAKq+ojJ/uB&#10;pERNYGkN1QF7yUIaMmf4qkGSb5jz98ziVGEP4Kbwd3hIBV1JoZcoqcF+f+s92GOzo5aSDqe0pO7b&#10;lllBifqicQw+5bNZGOt4mc0/hj6zx5r1sUZv2yvArshxJxkexWDv1SBKC+0zLpRliIoqpjnGLin3&#10;drhc+bQ9cCVxsVxGMxxlw/yNfjQ8gAdWQ3s97Z+ZNX1TexyHWxgmmhWvejvZBk8Ny60H2cTGf+G1&#10;5xvXQGycfmWFPXN8j1Yvi3XxCwAA//8DAFBLAwQUAAYACAAAACEAr9XaBeEAAAAKAQAADwAAAGRy&#10;cy9kb3ducmV2LnhtbEyPwU7DMBBE70j8g7VI3KjdRilNiFOVIhA9cCBN6dVNliTCXkexm4a/x5zg&#10;uNqnmTfZejKajTi4zpKE+UwAQ6ps3VEjodw/362AOa+oVtoSSvhGB+v8+ipTaW0v9I5j4RsWQsil&#10;SkLrfZ9y7qoWjXIz2yOF36cdjPLhHBpeD+oSwo3mCyGW3KiOQkOrety2WH0VZyOheNqNm5ft8XH1&#10;cSzp7eD0qyvnUt7eTJsHYB4n/wfDr35Qhzw4neyZase0hChJlgGVEEcxsADEkQhbThIWyb0Anmf8&#10;/4T8BwAA//8DAFBLAQItABQABgAIAAAAIQC2gziS/gAAAOEBAAATAAAAAAAAAAAAAAAAAAAAAABb&#10;Q29udGVudF9UeXBlc10ueG1sUEsBAi0AFAAGAAgAAAAhADj9If/WAAAAlAEAAAsAAAAAAAAAAAAA&#10;AAAALwEAAF9yZWxzLy5yZWxzUEsBAi0AFAAGAAgAAAAhAC25NyylAgAAoAUAAA4AAAAAAAAAAAAA&#10;AAAALgIAAGRycy9lMm9Eb2MueG1sUEsBAi0AFAAGAAgAAAAhAK/V2gXhAAAACgEAAA8AAAAAAAAA&#10;AAAAAAAA/wQAAGRycy9kb3ducmV2LnhtbFBLBQYAAAAABAAEAPMAAAANBgAAAAA=&#10;" filled="f" strokecolor="red" strokeweight="1pt">
            <v:stroke dashstyle="dash"/>
          </v:rect>
        </w:pict>
      </w:r>
      <w:r>
        <w:rPr>
          <w:rFonts w:ascii="Times New Roman" w:hAnsi="Times New Roman" w:cs="Times New Roman"/>
          <w:noProof/>
          <w:lang w:eastAsia="pt-BR"/>
        </w:rPr>
        <w:pict>
          <v:rect id="Retângulo 51" o:spid="_x0000_s1034" style="position:absolute;left:0;text-align:left;margin-left:.45pt;margin-top:89.6pt;width:453.1pt;height:10.85pt;z-index:251666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Fy1pgIAAKAFAAAOAAAAZHJzL2Uyb0RvYy54bWysVMFu2zAMvQ/YPwi6r07SZFmNOkXQIsOA&#10;og3aDj0rshQbkEVNUuJkn7Nf2Y+Nkmw364odhuWgUCL5SD6TvLw6NIrshXU16IKOz0aUCM2hrPW2&#10;oF+fVh8+UeI80yVToEVBj8LRq8X7d5etycUEKlClsARBtMtbU9DKe5NnmeOVaJg7AyM0KiXYhnm8&#10;2m1WWtYieqOyyWj0MWvBlsYCF87h601S0kXEl1Jwfy+lE56ogmJuPp42nptwZotLlm8tM1XNuzTY&#10;P2TRsFpj0AHqhnlGdrb+A6qpuQUH0p9xaDKQsuYi1oDVjEevqnmsmBGxFiTHmYEm9/9g+d1+bUld&#10;FnQ2pkSzBr/Rg/A/f+jtTgHBR2SoNS5Hw0eztt3NoRjKPUjbhH8shBwiq8eBVXHwhOPjbD6bns+R&#10;fI668fl8fjELoNmLt7HOfxbQkCAU1OJXi2Sy/a3zybQ3CcE0rGql8J3lSofTgarL8BYvdru5Vpbs&#10;GX7y1WqEvy7cb2YB8Ia5KtmVKHVWATILFacao+SPSqRwD0IiW1jVJGYY+1QM4RjnQvtxUlWsFAl9&#10;dppE6OzgERlQGgEDssTsB+wOoLdMID124qOzD64itvngPPpbYsl58IiRQfvBuak12LcAFFbVRU72&#10;PUmJmsDSBsoj9pKFNGTO8FWNJN8y59fM4lRhC+Cm8Pd4SAVtQaGTKKnAfn/rPdhjs6OWkhantKDu&#10;245ZQYn6onEMLsbTaRjreJnO5hO82FPN5lSjd801YFdgp2N2UQz2XvWitNA840JZhqioYppj7IJy&#10;b/vLtU/bA1cSF8tlNMNRNszf6kfDA3hgNbTX0+GZWdM1tcdxuIN+oln+qreTbfDUsNx5kHVs/Bde&#10;O75xDcTG6VZW2DOn92j1slgXvwAAAP//AwBQSwMEFAAGAAgAAAAhAM7z4X3dAAAACAEAAA8AAABk&#10;cnMvZG93bnJldi54bWxMj8FOwzAQRO9I/IO1SNyokx5oE+JUpQgEBw4NgV7deEki7HUUu2n4e5YT&#10;HHdnNPOm2MzOignH0HtSkC4SEEiNNz21Cuq3x5s1iBA1GW09oYJvDLApLy8KnRt/pj1OVWwFh1DI&#10;tYIuxiGXMjQdOh0WfkBi7dOPTkc+x1aaUZ853Fm5TJJb6XRP3NDpAXcdNl/VySmoHl6m7dPucL/+&#10;ONT0+h7sc6hTpa6v5u0diIhz/DPDLz6jQ8lMR38iE4RVkLGPv6tsCYLlLFmlII4KuDUDWRby/4Dy&#10;BwAA//8DAFBLAQItABQABgAIAAAAIQC2gziS/gAAAOEBAAATAAAAAAAAAAAAAAAAAAAAAABbQ29u&#10;dGVudF9UeXBlc10ueG1sUEsBAi0AFAAGAAgAAAAhADj9If/WAAAAlAEAAAsAAAAAAAAAAAAAAAAA&#10;LwEAAF9yZWxzLy5yZWxzUEsBAi0AFAAGAAgAAAAhAKEQXLWmAgAAoAUAAA4AAAAAAAAAAAAAAAAA&#10;LgIAAGRycy9lMm9Eb2MueG1sUEsBAi0AFAAGAAgAAAAhAM7z4X3dAAAACAEAAA8AAAAAAAAAAAAA&#10;AAAAAAUAAGRycy9kb3ducmV2LnhtbFBLBQYAAAAABAAEAPMAAAAKBgAAAAA=&#10;" filled="f" strokecolor="red" strokeweight="1pt">
            <v:stroke dashstyle="dash"/>
          </v:rect>
        </w:pict>
      </w:r>
      <w:r w:rsidR="00580616" w:rsidRPr="00FC635E">
        <w:rPr>
          <w:rFonts w:ascii="Times New Roman" w:hAnsi="Times New Roman" w:cs="Times New Roman"/>
        </w:rPr>
        <w:t xml:space="preserve">Quadro </w:t>
      </w:r>
      <w:r w:rsidR="00A428D4">
        <w:rPr>
          <w:rFonts w:ascii="Times New Roman" w:hAnsi="Times New Roman" w:cs="Times New Roman"/>
        </w:rPr>
        <w:t>4</w:t>
      </w:r>
      <w:bookmarkEnd w:id="34"/>
      <w:r w:rsidR="00A428D4">
        <w:rPr>
          <w:rFonts w:ascii="Times New Roman" w:hAnsi="Times New Roman" w:cs="Times New Roman"/>
          <w:noProof/>
        </w:rPr>
        <w:t>:</w:t>
      </w:r>
      <w:r w:rsidR="00580616" w:rsidRPr="00FC635E">
        <w:rPr>
          <w:rFonts w:ascii="Times New Roman" w:hAnsi="Times New Roman" w:cs="Times New Roman"/>
        </w:rPr>
        <w:t xml:space="preserve"> Número de municípios com PIB per capita </w:t>
      </w:r>
      <w:r w:rsidR="004D0310" w:rsidRPr="00FC635E">
        <w:rPr>
          <w:rFonts w:ascii="Times New Roman" w:hAnsi="Times New Roman" w:cs="Times New Roman"/>
        </w:rPr>
        <w:t>abaixo</w:t>
      </w:r>
      <w:r w:rsidR="00580616" w:rsidRPr="00FC635E">
        <w:rPr>
          <w:rFonts w:ascii="Times New Roman" w:hAnsi="Times New Roman" w:cs="Times New Roman"/>
        </w:rPr>
        <w:t xml:space="preserve"> da média, por grau de desenvolvimento rural e diversificação agropecuária, 2017</w:t>
      </w:r>
      <w:bookmarkEnd w:id="35"/>
    </w:p>
    <w:p w:rsidR="00317EBE" w:rsidRDefault="004D0310" w:rsidP="00317EBE">
      <w:pPr>
        <w:pStyle w:val="QUADROSeTABELAS"/>
      </w:pPr>
      <w:r w:rsidRPr="004D0310">
        <w:rPr>
          <w:noProof/>
          <w:lang w:eastAsia="pt-BR"/>
        </w:rPr>
        <w:drawing>
          <wp:anchor distT="0" distB="0" distL="114300" distR="114300" simplePos="0" relativeHeight="251720192" behindDoc="1" locked="0" layoutInCell="1" allowOverlap="1">
            <wp:simplePos x="0" y="0"/>
            <wp:positionH relativeFrom="column">
              <wp:posOffset>4158615</wp:posOffset>
            </wp:positionH>
            <wp:positionV relativeFrom="paragraph">
              <wp:posOffset>1052195</wp:posOffset>
            </wp:positionV>
            <wp:extent cx="182880" cy="176530"/>
            <wp:effectExtent l="0" t="0" r="7620" b="0"/>
            <wp:wrapNone/>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 cy="176530"/>
                    </a:xfrm>
                    <a:prstGeom prst="rect">
                      <a:avLst/>
                    </a:prstGeom>
                    <a:noFill/>
                  </pic:spPr>
                </pic:pic>
              </a:graphicData>
            </a:graphic>
          </wp:anchor>
        </w:drawing>
      </w:r>
      <w:r w:rsidRPr="004D0310">
        <w:rPr>
          <w:noProof/>
          <w:lang w:eastAsia="pt-BR"/>
        </w:rPr>
        <w:drawing>
          <wp:anchor distT="0" distB="0" distL="114300" distR="114300" simplePos="0" relativeHeight="251714048" behindDoc="1" locked="0" layoutInCell="1" allowOverlap="1">
            <wp:simplePos x="0" y="0"/>
            <wp:positionH relativeFrom="column">
              <wp:posOffset>1638300</wp:posOffset>
            </wp:positionH>
            <wp:positionV relativeFrom="paragraph">
              <wp:posOffset>1052195</wp:posOffset>
            </wp:positionV>
            <wp:extent cx="201295" cy="176530"/>
            <wp:effectExtent l="0" t="0" r="8255" b="0"/>
            <wp:wrapNone/>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295" cy="176530"/>
                    </a:xfrm>
                    <a:prstGeom prst="rect">
                      <a:avLst/>
                    </a:prstGeom>
                    <a:noFill/>
                  </pic:spPr>
                </pic:pic>
              </a:graphicData>
            </a:graphic>
          </wp:anchor>
        </w:drawing>
      </w:r>
      <w:r w:rsidRPr="004D0310">
        <w:rPr>
          <w:noProof/>
          <w:lang w:eastAsia="pt-BR"/>
        </w:rPr>
        <w:drawing>
          <wp:anchor distT="0" distB="0" distL="114300" distR="114300" simplePos="0" relativeHeight="251707904" behindDoc="1" locked="0" layoutInCell="1" allowOverlap="1">
            <wp:simplePos x="0" y="0"/>
            <wp:positionH relativeFrom="column">
              <wp:posOffset>4158615</wp:posOffset>
            </wp:positionH>
            <wp:positionV relativeFrom="paragraph">
              <wp:posOffset>467995</wp:posOffset>
            </wp:positionV>
            <wp:extent cx="91440" cy="176530"/>
            <wp:effectExtent l="0" t="0" r="3810" b="0"/>
            <wp:wrapNone/>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 cy="176530"/>
                    </a:xfrm>
                    <a:prstGeom prst="rect">
                      <a:avLst/>
                    </a:prstGeom>
                    <a:noFill/>
                  </pic:spPr>
                </pic:pic>
              </a:graphicData>
            </a:graphic>
          </wp:anchor>
        </w:drawing>
      </w:r>
      <w:r w:rsidRPr="004D0310">
        <w:rPr>
          <w:noProof/>
          <w:lang w:eastAsia="pt-BR"/>
        </w:rPr>
        <w:drawing>
          <wp:anchor distT="0" distB="0" distL="114300" distR="114300" simplePos="0" relativeHeight="251701760" behindDoc="1" locked="0" layoutInCell="1" allowOverlap="1">
            <wp:simplePos x="0" y="0"/>
            <wp:positionH relativeFrom="column">
              <wp:posOffset>1637969</wp:posOffset>
            </wp:positionH>
            <wp:positionV relativeFrom="paragraph">
              <wp:posOffset>478928</wp:posOffset>
            </wp:positionV>
            <wp:extent cx="207010" cy="164465"/>
            <wp:effectExtent l="0" t="0" r="2540" b="6985"/>
            <wp:wrapNone/>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010" cy="164465"/>
                    </a:xfrm>
                    <a:prstGeom prst="rect">
                      <a:avLst/>
                    </a:prstGeom>
                    <a:noFill/>
                  </pic:spPr>
                </pic:pic>
              </a:graphicData>
            </a:graphic>
          </wp:anchor>
        </w:drawing>
      </w:r>
      <w:r w:rsidR="00317EBE" w:rsidRPr="00317EBE">
        <w:rPr>
          <w:noProof/>
          <w:lang w:eastAsia="pt-BR"/>
        </w:rPr>
        <w:drawing>
          <wp:inline distT="0" distB="0" distL="0" distR="0">
            <wp:extent cx="5760085" cy="1541780"/>
            <wp:effectExtent l="0" t="0" r="0" b="127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1541780"/>
                    </a:xfrm>
                    <a:prstGeom prst="rect">
                      <a:avLst/>
                    </a:prstGeom>
                    <a:noFill/>
                    <a:ln>
                      <a:noFill/>
                    </a:ln>
                  </pic:spPr>
                </pic:pic>
              </a:graphicData>
            </a:graphic>
          </wp:inline>
        </w:drawing>
      </w:r>
    </w:p>
    <w:p w:rsidR="00317EBE" w:rsidRPr="00EA5BE6" w:rsidRDefault="00317EBE" w:rsidP="00AB66BC">
      <w:pPr>
        <w:spacing w:line="240" w:lineRule="auto"/>
        <w:ind w:firstLine="0"/>
        <w:rPr>
          <w:rFonts w:ascii="Times New Roman" w:hAnsi="Times New Roman"/>
        </w:rPr>
      </w:pPr>
      <w:r w:rsidRPr="00EA5BE6">
        <w:rPr>
          <w:rFonts w:ascii="Times New Roman" w:hAnsi="Times New Roman"/>
        </w:rPr>
        <w:t>Fonte: Resultados da pesquisa</w:t>
      </w:r>
    </w:p>
    <w:p w:rsidR="00A428D4" w:rsidRPr="00FC635E" w:rsidRDefault="00A428D4" w:rsidP="00A428D4">
      <w:pPr>
        <w:rPr>
          <w:rFonts w:ascii="Times New Roman" w:hAnsi="Times New Roman"/>
          <w:noProof/>
        </w:rPr>
      </w:pPr>
      <w:r w:rsidRPr="00FC635E">
        <w:rPr>
          <w:rFonts w:ascii="Times New Roman" w:hAnsi="Times New Roman"/>
          <w:noProof/>
        </w:rPr>
        <w:lastRenderedPageBreak/>
        <w:t xml:space="preserve">Em relação aos municípios Pobres com agropecuária especializada, em geral são municípios  pequenos, que produzem alguma cultura específica para atender a um determinado setor/indústria secundária. Outros, tem economia dependente exclusivamente de outras atividades. O fato de um município ter uma produção agropecuária pequena ou inexistente fará com que o índice de diversificação o classifique como especializado (pouco diversificado). Por exemplo, os três municípios que obtiveram IDR Muitissimo Alto (MMA) estão todos localizados em São Paulo, são eles Américo Brasiliense, Dobrada e Pontal, ambos apresentam como atividade principal a produção canavieira, para atender principalmente a agroindústria dessas localidades. </w:t>
      </w:r>
    </w:p>
    <w:p w:rsidR="00C34314" w:rsidRPr="00FC635E" w:rsidRDefault="00C34314">
      <w:pPr>
        <w:suppressAutoHyphens w:val="0"/>
        <w:spacing w:after="160" w:line="259" w:lineRule="auto"/>
        <w:ind w:firstLine="0"/>
        <w:jc w:val="left"/>
        <w:rPr>
          <w:rFonts w:ascii="Times New Roman" w:hAnsi="Times New Roman"/>
        </w:rPr>
      </w:pPr>
    </w:p>
    <w:p w:rsidR="00C34314" w:rsidRPr="00956DE5" w:rsidRDefault="00026328" w:rsidP="00C34314">
      <w:pPr>
        <w:pStyle w:val="Ttulo1"/>
        <w:rPr>
          <w:rFonts w:ascii="Times New Roman" w:hAnsi="Times New Roman" w:cs="Times New Roman"/>
        </w:rPr>
      </w:pPr>
      <w:bookmarkStart w:id="36" w:name="_Toc527532397"/>
      <w:bookmarkStart w:id="37" w:name="_Toc4632618"/>
      <w:r>
        <w:rPr>
          <w:rFonts w:ascii="Times New Roman" w:hAnsi="Times New Roman" w:cs="Times New Roman"/>
        </w:rPr>
        <w:t xml:space="preserve">5. </w:t>
      </w:r>
      <w:r w:rsidR="00C34314" w:rsidRPr="00956DE5">
        <w:rPr>
          <w:rFonts w:ascii="Times New Roman" w:hAnsi="Times New Roman" w:cs="Times New Roman"/>
        </w:rPr>
        <w:t>CONCLUS</w:t>
      </w:r>
      <w:r>
        <w:rPr>
          <w:rFonts w:ascii="Times New Roman" w:hAnsi="Times New Roman" w:cs="Times New Roman"/>
        </w:rPr>
        <w:t>ÕES</w:t>
      </w:r>
      <w:bookmarkEnd w:id="36"/>
      <w:bookmarkEnd w:id="37"/>
    </w:p>
    <w:p w:rsidR="00C34314" w:rsidRPr="00956DE5" w:rsidRDefault="00C34314" w:rsidP="00C34314">
      <w:pPr>
        <w:ind w:firstLine="0"/>
        <w:rPr>
          <w:rFonts w:ascii="Times New Roman" w:hAnsi="Times New Roman"/>
        </w:rPr>
      </w:pPr>
    </w:p>
    <w:p w:rsidR="00C34314" w:rsidRPr="00956DE5" w:rsidRDefault="00C34314" w:rsidP="00C34314">
      <w:pPr>
        <w:rPr>
          <w:rFonts w:ascii="Times New Roman" w:hAnsi="Times New Roman"/>
        </w:rPr>
      </w:pPr>
      <w:r w:rsidRPr="00956DE5">
        <w:rPr>
          <w:rFonts w:ascii="Times New Roman" w:hAnsi="Times New Roman"/>
        </w:rPr>
        <w:t xml:space="preserve">Muito tem se discutido a respeito das diversas questões que envolvem o processo de extinção do Cerrado. Verificou-se com esta pesquisa que a agricultura avançou muito nas últimas décadas na região, aumentando consideravelmente o retorno financeiro sobre a produção agrícola, no entanto, não é possível verificar igual avanço do ponto de vista de desenvolvimento rural considerando todo o dinamismo que perpassa pelas dimensões sociais, demográficas, econômicas e ambientais.  </w:t>
      </w:r>
    </w:p>
    <w:p w:rsidR="00A95599" w:rsidRPr="00956DE5" w:rsidRDefault="00C34314" w:rsidP="00C34314">
      <w:pPr>
        <w:rPr>
          <w:rFonts w:ascii="Times New Roman" w:hAnsi="Times New Roman"/>
        </w:rPr>
      </w:pPr>
      <w:r w:rsidRPr="00956DE5">
        <w:rPr>
          <w:rFonts w:ascii="Times New Roman" w:hAnsi="Times New Roman"/>
        </w:rPr>
        <w:t>Do ponto de vista da diversidade de culturas, verificou-se que a especialização da produção aumentou nas últimas décadas, devido à combinação de desmatamento e avanço de monoculturas em novas terras. A questão do aumento de riqueza passa por um trade-off entre aumentar a quantidade produzida avançando para novas áreas, sem grandes preocupações com questões ambientais e sociais, ou aumentar a produtividade da produção (através de novas tecnologias ou alternativas mais rentáveis e sustentáveis). A primeira opção é a que tem prevalecido, e isso muito se deve pelas fracas leis de preservação ambiental e baixa fiscalização. Essa escolha, no entanto, tem um custo, ambiental e social, que apesar de, na maioria das vezes não serem contabilizados, dificultam que o desenvolvimento rural avance a um outro patamar. A segunda opção pode ser feita, como já testado para outros países, diversificando a produção, contribuindo para o meio ambiente e gerando um nível maior de desenvolvimento rural. Um exemplo do que pode ser feito são os sistemas agroflorestais, e os sistemas de integração lavoura-pecuária</w:t>
      </w:r>
      <w:r w:rsidR="00A95599" w:rsidRPr="00956DE5">
        <w:rPr>
          <w:rFonts w:ascii="Times New Roman" w:hAnsi="Times New Roman"/>
        </w:rPr>
        <w:t>-floresta</w:t>
      </w:r>
      <w:r w:rsidRPr="00956DE5">
        <w:rPr>
          <w:rFonts w:ascii="Times New Roman" w:hAnsi="Times New Roman"/>
        </w:rPr>
        <w:t>, já testados no Brasil,</w:t>
      </w:r>
      <w:r w:rsidR="00A95599" w:rsidRPr="00956DE5">
        <w:rPr>
          <w:rFonts w:ascii="Times New Roman" w:hAnsi="Times New Roman"/>
        </w:rPr>
        <w:t xml:space="preserve"> porém aplicados em áreas relativamente pequenas se comparadas com os benefícios que esses sistemas podem oferecer. </w:t>
      </w:r>
    </w:p>
    <w:p w:rsidR="00C34314" w:rsidRPr="00956DE5" w:rsidRDefault="00A95599" w:rsidP="00C34314">
      <w:pPr>
        <w:rPr>
          <w:rFonts w:ascii="Times New Roman" w:hAnsi="Times New Roman"/>
        </w:rPr>
      </w:pPr>
      <w:r w:rsidRPr="00956DE5">
        <w:rPr>
          <w:rFonts w:ascii="Times New Roman" w:hAnsi="Times New Roman"/>
        </w:rPr>
        <w:t xml:space="preserve">Sintetizando o trabalho, foi possível diagnosticar o grau de diversificação </w:t>
      </w:r>
      <w:r w:rsidR="002C6AAE" w:rsidRPr="00956DE5">
        <w:rPr>
          <w:rFonts w:ascii="Times New Roman" w:hAnsi="Times New Roman"/>
        </w:rPr>
        <w:t>da agropecuária</w:t>
      </w:r>
      <w:r w:rsidRPr="00956DE5">
        <w:rPr>
          <w:rFonts w:ascii="Times New Roman" w:hAnsi="Times New Roman"/>
        </w:rPr>
        <w:t>, do nível de diversificação da produção agrícola e do nível de desenvolvimento rural dos municípios do bioma Cerrado. Informações dessa natureza podem auxiliar o processo de tomada de decisão na elaboração de políticas públicas e estratégias que visem</w:t>
      </w:r>
      <w:r w:rsidR="00C34314" w:rsidRPr="00956DE5">
        <w:rPr>
          <w:rFonts w:ascii="Times New Roman" w:hAnsi="Times New Roman"/>
        </w:rPr>
        <w:t xml:space="preserve"> unir a preservação com alta produtividade e qualidade nutricional. </w:t>
      </w:r>
    </w:p>
    <w:p w:rsidR="00755868" w:rsidRDefault="00755868">
      <w:pPr>
        <w:suppressAutoHyphens w:val="0"/>
        <w:spacing w:after="160" w:line="259" w:lineRule="auto"/>
        <w:ind w:firstLine="0"/>
        <w:jc w:val="left"/>
        <w:rPr>
          <w:rFonts w:ascii="Times New Roman" w:hAnsi="Times New Roman"/>
        </w:rPr>
      </w:pPr>
    </w:p>
    <w:p w:rsidR="00D06236" w:rsidRDefault="00D06236">
      <w:pPr>
        <w:suppressAutoHyphens w:val="0"/>
        <w:spacing w:after="160" w:line="259" w:lineRule="auto"/>
        <w:ind w:firstLine="0"/>
        <w:jc w:val="left"/>
        <w:rPr>
          <w:rFonts w:ascii="Times New Roman" w:hAnsi="Times New Roman"/>
        </w:rPr>
      </w:pPr>
    </w:p>
    <w:p w:rsidR="00D06236" w:rsidRPr="00956DE5" w:rsidRDefault="00D06236">
      <w:pPr>
        <w:suppressAutoHyphens w:val="0"/>
        <w:spacing w:after="160" w:line="259" w:lineRule="auto"/>
        <w:ind w:firstLine="0"/>
        <w:jc w:val="left"/>
        <w:rPr>
          <w:rFonts w:ascii="Times New Roman" w:hAnsi="Times New Roman"/>
        </w:rPr>
      </w:pPr>
    </w:p>
    <w:p w:rsidR="00F21796" w:rsidRPr="00785517" w:rsidRDefault="003764A2" w:rsidP="00755868">
      <w:pPr>
        <w:tabs>
          <w:tab w:val="left" w:pos="3675"/>
        </w:tabs>
        <w:ind w:firstLine="0"/>
        <w:rPr>
          <w:rFonts w:ascii="Times New Roman" w:hAnsi="Times New Roman"/>
        </w:rPr>
      </w:pPr>
      <w:r w:rsidRPr="00785517">
        <w:rPr>
          <w:rFonts w:ascii="Times New Roman" w:hAnsi="Times New Roman"/>
          <w:b/>
        </w:rPr>
        <w:lastRenderedPageBreak/>
        <w:t>REFERÊNCIAS</w:t>
      </w:r>
      <w:bookmarkStart w:id="38" w:name="_Hlk2939983"/>
      <w:r w:rsidR="005F3586" w:rsidRPr="00785517">
        <w:rPr>
          <w:rFonts w:ascii="Times New Roman" w:hAnsi="Times New Roman"/>
        </w:rPr>
        <w:fldChar w:fldCharType="begin" w:fldLock="1"/>
      </w:r>
      <w:r w:rsidR="008566E5" w:rsidRPr="00785517">
        <w:rPr>
          <w:rFonts w:ascii="Times New Roman" w:hAnsi="Times New Roman"/>
        </w:rPr>
        <w:instrText xml:space="preserve">ADDIN Mendeley Bibliography CSL_BIBLIOGRAPHY </w:instrText>
      </w:r>
      <w:r w:rsidR="005F3586" w:rsidRPr="00785517">
        <w:rPr>
          <w:rFonts w:ascii="Times New Roman" w:hAnsi="Times New Roman"/>
        </w:rPr>
        <w:fldChar w:fldCharType="separate"/>
      </w: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AMARAL, L. DE P. et al. Variabilidade espacial do Índice de Diversidade de Shannon-Wiener em Floresta Ombrófila Mista. </w:t>
      </w:r>
      <w:r w:rsidRPr="00785517">
        <w:rPr>
          <w:rFonts w:ascii="Times New Roman" w:hAnsi="Times New Roman" w:cs="Times New Roman"/>
          <w:b/>
          <w:bCs/>
        </w:rPr>
        <w:t>Scientia Forestalis</w:t>
      </w:r>
      <w:r w:rsidRPr="00785517">
        <w:rPr>
          <w:rFonts w:ascii="Times New Roman" w:hAnsi="Times New Roman" w:cs="Times New Roman"/>
        </w:rPr>
        <w:t xml:space="preserve">, v. 41, n. 97, p. 83–93, 2013.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lang w:val="en-US"/>
        </w:rPr>
      </w:pPr>
      <w:r w:rsidRPr="00785517">
        <w:rPr>
          <w:rFonts w:ascii="Times New Roman" w:hAnsi="Times New Roman" w:cs="Times New Roman"/>
        </w:rPr>
        <w:t xml:space="preserve">BPBES et al. </w:t>
      </w:r>
      <w:r w:rsidRPr="00785517">
        <w:rPr>
          <w:rFonts w:ascii="Times New Roman" w:hAnsi="Times New Roman" w:cs="Times New Roman"/>
          <w:b/>
          <w:bCs/>
        </w:rPr>
        <w:t>1</w:t>
      </w:r>
      <w:r w:rsidRPr="00785517">
        <w:rPr>
          <w:rFonts w:ascii="Times New Roman" w:hAnsi="Times New Roman" w:cs="Times New Roman"/>
          <w:b/>
          <w:bCs/>
          <w:vertAlign w:val="superscript"/>
        </w:rPr>
        <w:t>o</w:t>
      </w:r>
      <w:r w:rsidRPr="00785517">
        <w:rPr>
          <w:rFonts w:ascii="Times New Roman" w:hAnsi="Times New Roman" w:cs="Times New Roman"/>
          <w:b/>
          <w:bCs/>
        </w:rPr>
        <w:t xml:space="preserve"> Diagnóstico Brasileiro de Biodiversidade &amp; Serviços Ecossistêmicos</w:t>
      </w:r>
      <w:r w:rsidRPr="00785517">
        <w:rPr>
          <w:rFonts w:ascii="Times New Roman" w:hAnsi="Times New Roman" w:cs="Times New Roman"/>
        </w:rPr>
        <w:t xml:space="preserve">, 2018. </w:t>
      </w:r>
      <w:r w:rsidRPr="00785517">
        <w:rPr>
          <w:rFonts w:ascii="Times New Roman" w:hAnsi="Times New Roman" w:cs="Times New Roman"/>
          <w:lang w:val="en-US"/>
        </w:rPr>
        <w:t>Disponível em: &lt;www.bpbes.net.br&gt;</w:t>
      </w:r>
    </w:p>
    <w:p w:rsidR="00F21796" w:rsidRPr="00785517" w:rsidRDefault="00F21796" w:rsidP="005D774A">
      <w:pPr>
        <w:pStyle w:val="Referncias"/>
        <w:jc w:val="both"/>
        <w:rPr>
          <w:rFonts w:ascii="Times New Roman" w:hAnsi="Times New Roman" w:cs="Times New Roman"/>
          <w:lang w:val="en-US"/>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lang w:val="en-US"/>
        </w:rPr>
        <w:t xml:space="preserve">BRAGANÇA, A. The Causes and Consequences of Agricultural Expansion in Matopiba. </w:t>
      </w:r>
      <w:r w:rsidRPr="00785517">
        <w:rPr>
          <w:rFonts w:ascii="Times New Roman" w:hAnsi="Times New Roman" w:cs="Times New Roman"/>
          <w:b/>
          <w:bCs/>
        </w:rPr>
        <w:t>INPUT</w:t>
      </w:r>
      <w:r w:rsidRPr="00785517">
        <w:rPr>
          <w:rFonts w:ascii="Times New Roman" w:hAnsi="Times New Roman" w:cs="Times New Roman"/>
        </w:rPr>
        <w:t xml:space="preserve">, p. 39, 2015.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CONAB. O comportamento dos preços dos insumos agrícolas na produção de milho e soja. </w:t>
      </w:r>
      <w:r w:rsidRPr="00785517">
        <w:rPr>
          <w:rFonts w:ascii="Times New Roman" w:hAnsi="Times New Roman" w:cs="Times New Roman"/>
          <w:b/>
          <w:bCs/>
        </w:rPr>
        <w:t>Compêndio de estudos Conab</w:t>
      </w:r>
      <w:r w:rsidRPr="00785517">
        <w:rPr>
          <w:rFonts w:ascii="Times New Roman" w:hAnsi="Times New Roman" w:cs="Times New Roman"/>
        </w:rPr>
        <w:t xml:space="preserve">, v. 17, p. 63, 2017.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CONTERATO, M. A. </w:t>
      </w:r>
      <w:r w:rsidRPr="00785517">
        <w:rPr>
          <w:rFonts w:ascii="Times New Roman" w:hAnsi="Times New Roman" w:cs="Times New Roman"/>
          <w:b/>
          <w:bCs/>
        </w:rPr>
        <w:t>DINÂMICAS REGIONAIS DO DESENVOLVIMENTO RURAL E ESTILOS DE AGRICULTURA FAMILIAR: uma análise a partir do Rio Grande do Sul</w:t>
      </w:r>
      <w:r w:rsidRPr="00785517">
        <w:rPr>
          <w:rFonts w:ascii="Times New Roman" w:hAnsi="Times New Roman" w:cs="Times New Roman"/>
        </w:rPr>
        <w:t>. [s.l.] Universidade Federal do Rio Grande do Sul, 2008.</w:t>
      </w:r>
    </w:p>
    <w:p w:rsidR="00F21796" w:rsidRPr="00785517" w:rsidRDefault="00F21796" w:rsidP="005D774A">
      <w:pPr>
        <w:pStyle w:val="Referncias"/>
        <w:jc w:val="both"/>
        <w:rPr>
          <w:rFonts w:ascii="Times New Roman" w:hAnsi="Times New Roman" w:cs="Times New Roman"/>
          <w:lang w:val="en-US"/>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CUNHA, N. R. DA S. et al. A intensidade da exploração agropecuária como indicador da degradação ambiental na região dos Cerrados, Brasil. </w:t>
      </w:r>
      <w:r w:rsidRPr="00785517">
        <w:rPr>
          <w:rFonts w:ascii="Times New Roman" w:hAnsi="Times New Roman" w:cs="Times New Roman"/>
          <w:b/>
          <w:bCs/>
        </w:rPr>
        <w:t>Revista de Economia e Sociologia Rural</w:t>
      </w:r>
      <w:r w:rsidRPr="00785517">
        <w:rPr>
          <w:rFonts w:ascii="Times New Roman" w:hAnsi="Times New Roman" w:cs="Times New Roman"/>
        </w:rPr>
        <w:t xml:space="preserve">, v. 46, n. 2, p. 291–323, jun. 2008.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DONFOUET, H. P. P. et al. </w:t>
      </w:r>
      <w:r w:rsidRPr="00785517">
        <w:rPr>
          <w:rFonts w:ascii="Times New Roman" w:hAnsi="Times New Roman" w:cs="Times New Roman"/>
          <w:lang w:val="en-US"/>
        </w:rPr>
        <w:t xml:space="preserve">Crop Production and Crop Diversity in France: A Spatial Analysis. </w:t>
      </w:r>
      <w:r w:rsidRPr="00785517">
        <w:rPr>
          <w:rFonts w:ascii="Times New Roman" w:hAnsi="Times New Roman" w:cs="Times New Roman"/>
          <w:b/>
          <w:bCs/>
        </w:rPr>
        <w:t>Ecological Economics</w:t>
      </w:r>
      <w:r w:rsidRPr="00785517">
        <w:rPr>
          <w:rFonts w:ascii="Times New Roman" w:hAnsi="Times New Roman" w:cs="Times New Roman"/>
        </w:rPr>
        <w:t xml:space="preserve">, v. 134, p. 29–39, 2017.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EMBRAPA. </w:t>
      </w:r>
      <w:r w:rsidRPr="00785517">
        <w:rPr>
          <w:rFonts w:ascii="Times New Roman" w:hAnsi="Times New Roman" w:cs="Times New Roman"/>
          <w:b/>
          <w:bCs/>
        </w:rPr>
        <w:t>A evolução da produção agrícola na região dos Cerrados: Alguns índicesDocumentos</w:t>
      </w:r>
      <w:r w:rsidRPr="00785517">
        <w:rPr>
          <w:rFonts w:ascii="Times New Roman" w:hAnsi="Times New Roman" w:cs="Times New Roman"/>
        </w:rPr>
        <w:t>Planaltina, DFEMBRAPA-CPAC, , 1986. Disponível em: &lt;https://www.infoteca.cnptia.embrapa.br/infoteca/bitstream/doc/547619/1/doc23.pdf&gt;. Acesso em: 30 jan. 2019</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FAVARETO, A. DA S. et al. A expansão do agronegócio e a disputa pelo cerrado. </w:t>
      </w:r>
      <w:r w:rsidRPr="00785517">
        <w:rPr>
          <w:rFonts w:ascii="Times New Roman" w:hAnsi="Times New Roman" w:cs="Times New Roman"/>
          <w:b/>
          <w:bCs/>
        </w:rPr>
        <w:t>Greenpeace</w:t>
      </w:r>
      <w:r w:rsidRPr="00785517">
        <w:rPr>
          <w:rFonts w:ascii="Times New Roman" w:hAnsi="Times New Roman" w:cs="Times New Roman"/>
        </w:rPr>
        <w:t xml:space="preserve">, p. 100, 2018.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FERREIRA JÚNIOR, S.; BAPTISTA, A. J. M. S.; LIMA, J. E. DE. A modernização agropecuária nas microrregiões do Estado de Minas Gerais. </w:t>
      </w:r>
      <w:r w:rsidRPr="00785517">
        <w:rPr>
          <w:rFonts w:ascii="Times New Roman" w:hAnsi="Times New Roman" w:cs="Times New Roman"/>
          <w:b/>
          <w:bCs/>
        </w:rPr>
        <w:t>Revista de Economia e Sociologia Rural</w:t>
      </w:r>
      <w:r w:rsidRPr="00785517">
        <w:rPr>
          <w:rFonts w:ascii="Times New Roman" w:hAnsi="Times New Roman" w:cs="Times New Roman"/>
        </w:rPr>
        <w:t xml:space="preserve">, v. 42, n. 1, p. 73–89, jan. 2004.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lang w:val="en-US"/>
        </w:rPr>
        <w:t xml:space="preserve">FILHO, A. C.; COSTA, K. The expansion of soybean production in the Cerrado. </w:t>
      </w:r>
      <w:r w:rsidRPr="00785517">
        <w:rPr>
          <w:rFonts w:ascii="Times New Roman" w:hAnsi="Times New Roman" w:cs="Times New Roman"/>
          <w:b/>
          <w:bCs/>
        </w:rPr>
        <w:t>INPUT</w:t>
      </w:r>
      <w:r w:rsidRPr="00785517">
        <w:rPr>
          <w:rFonts w:ascii="Times New Roman" w:hAnsi="Times New Roman" w:cs="Times New Roman"/>
        </w:rPr>
        <w:t xml:space="preserve">, p. 28, 2016.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HADDAD, P. R. </w:t>
      </w:r>
      <w:r w:rsidRPr="00785517">
        <w:rPr>
          <w:rFonts w:ascii="Times New Roman" w:hAnsi="Times New Roman" w:cs="Times New Roman"/>
          <w:b/>
          <w:bCs/>
        </w:rPr>
        <w:t>Economia regional : teorias métodos de análise</w:t>
      </w:r>
      <w:r w:rsidRPr="00785517">
        <w:rPr>
          <w:rFonts w:ascii="Times New Roman" w:hAnsi="Times New Roman" w:cs="Times New Roman"/>
        </w:rPr>
        <w:t xml:space="preserve">. Fortaleza: BNB, 1989.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KAGEYAMA, A. A. </w:t>
      </w:r>
      <w:r w:rsidRPr="00785517">
        <w:rPr>
          <w:rFonts w:ascii="Times New Roman" w:hAnsi="Times New Roman" w:cs="Times New Roman"/>
          <w:b/>
          <w:bCs/>
        </w:rPr>
        <w:t>Desenvolvimento rural: conceitos e aplicação ao caso brasileiro</w:t>
      </w:r>
      <w:r w:rsidRPr="00785517">
        <w:rPr>
          <w:rFonts w:ascii="Times New Roman" w:hAnsi="Times New Roman" w:cs="Times New Roman"/>
        </w:rPr>
        <w:t>Porto Alegre, RSUFRGS Editora, , 2008. Disponível em: &lt;https://searchworks.stanford.edu/view/8487773&gt;. Acesso em: 27 nov. 2018</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lang w:val="en-US"/>
        </w:rPr>
        <w:t xml:space="preserve">LIN, B. B. Resilience in Agriculture through Crop Diversification: Adaptive Management for Environmental Change. </w:t>
      </w:r>
      <w:r w:rsidRPr="00785517">
        <w:rPr>
          <w:rFonts w:ascii="Times New Roman" w:hAnsi="Times New Roman" w:cs="Times New Roman"/>
          <w:b/>
          <w:bCs/>
        </w:rPr>
        <w:t>BioScience</w:t>
      </w:r>
      <w:r w:rsidRPr="00785517">
        <w:rPr>
          <w:rFonts w:ascii="Times New Roman" w:hAnsi="Times New Roman" w:cs="Times New Roman"/>
        </w:rPr>
        <w:t xml:space="preserve">, v. 61, n. 3, p. 183–193, 1 mar. 2011.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LOBÃO, M. S. P. </w:t>
      </w:r>
      <w:r w:rsidRPr="00785517">
        <w:rPr>
          <w:rFonts w:ascii="Times New Roman" w:hAnsi="Times New Roman" w:cs="Times New Roman"/>
          <w:b/>
          <w:bCs/>
        </w:rPr>
        <w:t>Desenvolvimento rural na Amazônia brasileira: determinantes, níveis e distribuição regional na década de 2000</w:t>
      </w:r>
      <w:r w:rsidRPr="00785517">
        <w:rPr>
          <w:rFonts w:ascii="Times New Roman" w:hAnsi="Times New Roman" w:cs="Times New Roman"/>
        </w:rPr>
        <w:t>. [s.l.] UNIOESTE, Toledo, 2018.</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MELO, C. O. DE. </w:t>
      </w:r>
      <w:r w:rsidRPr="00785517">
        <w:rPr>
          <w:rFonts w:ascii="Times New Roman" w:hAnsi="Times New Roman" w:cs="Times New Roman"/>
          <w:b/>
          <w:bCs/>
        </w:rPr>
        <w:t>Caracterização do Desenvolvimento Rural dos Município Paranaenses: Uma Análise com Base na Estatística Multivariada</w:t>
      </w:r>
      <w:r w:rsidRPr="00785517">
        <w:rPr>
          <w:rFonts w:ascii="Times New Roman" w:hAnsi="Times New Roman" w:cs="Times New Roman"/>
        </w:rPr>
        <w:t>. Maringá, PR: Universidade Estadual de Maringá, 2006.</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lastRenderedPageBreak/>
        <w:t xml:space="preserve">MELO, C. O. DE; PARRÉ, J. L. Índice de desenvolvimento rural dos municípios paranaenses: determinantes e hierarquização. </w:t>
      </w:r>
      <w:r w:rsidRPr="00785517">
        <w:rPr>
          <w:rFonts w:ascii="Times New Roman" w:hAnsi="Times New Roman" w:cs="Times New Roman"/>
          <w:b/>
          <w:bCs/>
        </w:rPr>
        <w:t>Revista de Economia e Sociologia Rural</w:t>
      </w:r>
      <w:r w:rsidRPr="00785517">
        <w:rPr>
          <w:rFonts w:ascii="Times New Roman" w:hAnsi="Times New Roman" w:cs="Times New Roman"/>
        </w:rPr>
        <w:t xml:space="preserve">, v. 45, n. 2, p. 329–365, jun. 2007.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MINISTÉRIO DO MEIO AMBIENTE. </w:t>
      </w:r>
      <w:r w:rsidRPr="00785517">
        <w:rPr>
          <w:rFonts w:ascii="Times New Roman" w:hAnsi="Times New Roman" w:cs="Times New Roman"/>
          <w:b/>
          <w:bCs/>
        </w:rPr>
        <w:t>O Bioma Cerrado</w:t>
      </w:r>
      <w:r w:rsidRPr="00785517">
        <w:rPr>
          <w:rFonts w:ascii="Times New Roman" w:hAnsi="Times New Roman" w:cs="Times New Roman"/>
        </w:rPr>
        <w:t xml:space="preserve">. Disponível em: &lt;http://www.mma.gov.br/biomas/cerrado.html&gt;. Acesso em: 20 mar. 2018a.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MINISTÉRIO DO MEIO AMBIENTE. </w:t>
      </w:r>
      <w:r w:rsidRPr="00785517">
        <w:rPr>
          <w:rFonts w:ascii="Times New Roman" w:hAnsi="Times New Roman" w:cs="Times New Roman"/>
          <w:b/>
          <w:bCs/>
        </w:rPr>
        <w:t>Plano de Ação para Prevenção e Controle do Desmatamento no Cerrado: BALANÇO DE EXECUÇÃO 2018</w:t>
      </w:r>
      <w:r w:rsidRPr="00785517">
        <w:rPr>
          <w:rFonts w:ascii="Times New Roman" w:hAnsi="Times New Roman" w:cs="Times New Roman"/>
        </w:rPr>
        <w:t>, 2018b. Disponível em: &lt;http://combateaodesmatamento.mma.gov.br/images/Doc_ComissaoExecutiva/Balanco-PPCDAm-e-PPCerrado_2018.pdf&gt;. Acesso em: 25 mar. 2019</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MIZUMOTO, C. N. et al. </w:t>
      </w:r>
      <w:r w:rsidRPr="00785517">
        <w:rPr>
          <w:rFonts w:ascii="Times New Roman" w:hAnsi="Times New Roman" w:cs="Times New Roman"/>
          <w:b/>
          <w:bCs/>
        </w:rPr>
        <w:t>O Cerrado e o seu brilho</w:t>
      </w:r>
      <w:r w:rsidRPr="00785517">
        <w:rPr>
          <w:rFonts w:ascii="Times New Roman" w:hAnsi="Times New Roman" w:cs="Times New Roman"/>
        </w:rPr>
        <w:t xml:space="preserve">. São Paulo: Caramuru, 2009.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lang w:val="en-US"/>
        </w:rPr>
      </w:pPr>
      <w:r w:rsidRPr="00785517">
        <w:rPr>
          <w:rFonts w:ascii="Times New Roman" w:hAnsi="Times New Roman" w:cs="Times New Roman"/>
        </w:rPr>
        <w:t xml:space="preserve">MUELLER, C. C.; JÚNIOR, G. B. M. A agropecuária e o Desenvolvimento Socioeconômico Recente do Cerrado. In: FALEIRO, F. G.; NETO, A. L. DE F. (Eds.). . </w:t>
      </w:r>
      <w:r w:rsidRPr="00785517">
        <w:rPr>
          <w:rFonts w:ascii="Times New Roman" w:hAnsi="Times New Roman" w:cs="Times New Roman"/>
          <w:b/>
          <w:bCs/>
        </w:rPr>
        <w:t>Savanas - Desafios e estratégias para o equiilíbrio entre sociedade, agronegócio e recursos naturais</w:t>
      </w:r>
      <w:r w:rsidRPr="00785517">
        <w:rPr>
          <w:rFonts w:ascii="Times New Roman" w:hAnsi="Times New Roman" w:cs="Times New Roman"/>
        </w:rPr>
        <w:t xml:space="preserve">. </w:t>
      </w:r>
      <w:r w:rsidRPr="00785517">
        <w:rPr>
          <w:rFonts w:ascii="Times New Roman" w:hAnsi="Times New Roman" w:cs="Times New Roman"/>
          <w:lang w:val="en-US"/>
        </w:rPr>
        <w:t xml:space="preserve">Planaltina, DF: Embrapa, 2008. p. 105–169. </w:t>
      </w:r>
    </w:p>
    <w:p w:rsidR="00F21796" w:rsidRPr="00785517" w:rsidRDefault="00F21796" w:rsidP="005D774A">
      <w:pPr>
        <w:pStyle w:val="Referncias"/>
        <w:jc w:val="both"/>
        <w:rPr>
          <w:rFonts w:ascii="Times New Roman" w:hAnsi="Times New Roman" w:cs="Times New Roman"/>
          <w:lang w:val="en-US"/>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lang w:val="en-US"/>
        </w:rPr>
        <w:t xml:space="preserve">MYERS, N. et al. Biodiversity hotspots for conservation priorities. </w:t>
      </w:r>
      <w:r w:rsidRPr="00785517">
        <w:rPr>
          <w:rFonts w:ascii="Times New Roman" w:hAnsi="Times New Roman" w:cs="Times New Roman"/>
          <w:b/>
          <w:bCs/>
        </w:rPr>
        <w:t>Nature</w:t>
      </w:r>
      <w:r w:rsidRPr="00785517">
        <w:rPr>
          <w:rFonts w:ascii="Times New Roman" w:hAnsi="Times New Roman" w:cs="Times New Roman"/>
        </w:rPr>
        <w:t xml:space="preserve">, v. 403, n. 853–858d, 2000.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PAM. </w:t>
      </w:r>
      <w:r w:rsidRPr="00785517">
        <w:rPr>
          <w:rFonts w:ascii="Times New Roman" w:hAnsi="Times New Roman" w:cs="Times New Roman"/>
          <w:b/>
          <w:bCs/>
        </w:rPr>
        <w:t>Produção Agrícola Municipal</w:t>
      </w:r>
      <w:r w:rsidRPr="00785517">
        <w:rPr>
          <w:rFonts w:ascii="Times New Roman" w:hAnsi="Times New Roman" w:cs="Times New Roman"/>
        </w:rPr>
        <w:t xml:space="preserve">. Disponível em: &lt;https://sidra.ibge.gov.br/tabela/5457&gt;. Acesso em: 14 fev. 2019.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PARRÉ, J. L. Interpretando o espaço rural: desenvolvimento, recursos naturais e infra-estrutura. </w:t>
      </w:r>
      <w:r w:rsidRPr="00785517">
        <w:rPr>
          <w:rFonts w:ascii="Times New Roman" w:hAnsi="Times New Roman" w:cs="Times New Roman"/>
          <w:b/>
          <w:bCs/>
        </w:rPr>
        <w:t>41</w:t>
      </w:r>
      <w:r w:rsidRPr="00785517">
        <w:rPr>
          <w:rFonts w:ascii="Times New Roman" w:hAnsi="Times New Roman" w:cs="Times New Roman"/>
          <w:b/>
          <w:bCs/>
          <w:vertAlign w:val="superscript"/>
        </w:rPr>
        <w:t>o</w:t>
      </w:r>
      <w:r w:rsidRPr="00785517">
        <w:rPr>
          <w:rFonts w:ascii="Times New Roman" w:hAnsi="Times New Roman" w:cs="Times New Roman"/>
          <w:b/>
          <w:bCs/>
        </w:rPr>
        <w:t xml:space="preserve"> Encontro Nacional de Economia – ANPEC</w:t>
      </w:r>
      <w:r w:rsidRPr="00785517">
        <w:rPr>
          <w:rFonts w:ascii="Times New Roman" w:hAnsi="Times New Roman" w:cs="Times New Roman"/>
        </w:rPr>
        <w:t xml:space="preserve">, n. Dez, p. 20, 2013.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lang w:val="en-US"/>
        </w:rPr>
      </w:pPr>
      <w:r w:rsidRPr="00785517">
        <w:rPr>
          <w:rFonts w:ascii="Times New Roman" w:hAnsi="Times New Roman" w:cs="Times New Roman"/>
        </w:rPr>
        <w:t xml:space="preserve">PEIXOTO NETO, C. A. A. et al. </w:t>
      </w:r>
      <w:r w:rsidRPr="00785517">
        <w:rPr>
          <w:rFonts w:ascii="Times New Roman" w:hAnsi="Times New Roman" w:cs="Times New Roman"/>
          <w:lang w:val="en-US"/>
        </w:rPr>
        <w:t xml:space="preserve">BIOGEOGRAPHY OF THE CENTRAL MESOREGION OF MARANHÃO (BRAZIL). </w:t>
      </w:r>
      <w:r w:rsidRPr="00785517">
        <w:rPr>
          <w:rFonts w:ascii="Times New Roman" w:hAnsi="Times New Roman" w:cs="Times New Roman"/>
          <w:b/>
          <w:bCs/>
          <w:lang w:val="en-US"/>
        </w:rPr>
        <w:t>Journal of Geospatial Modelling</w:t>
      </w:r>
      <w:r w:rsidRPr="00785517">
        <w:rPr>
          <w:rFonts w:ascii="Times New Roman" w:hAnsi="Times New Roman" w:cs="Times New Roman"/>
          <w:lang w:val="en-US"/>
        </w:rPr>
        <w:t xml:space="preserve">, v. 1, n. 1, p. 33, 15 dez. 2016.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lang w:val="en-US"/>
        </w:rPr>
      </w:pPr>
      <w:r w:rsidRPr="00785517">
        <w:rPr>
          <w:rFonts w:ascii="Times New Roman" w:hAnsi="Times New Roman" w:cs="Times New Roman"/>
        </w:rPr>
        <w:t xml:space="preserve">PESSÔA, V. L. S.; INOCÊNCIO, M. E. O PRODECER (RE) VISITADO: as engrenagens da territorialização do capital no Cerrado. </w:t>
      </w:r>
      <w:r w:rsidRPr="00785517">
        <w:rPr>
          <w:rFonts w:ascii="Times New Roman" w:hAnsi="Times New Roman" w:cs="Times New Roman"/>
          <w:b/>
          <w:bCs/>
          <w:lang w:val="en-US"/>
        </w:rPr>
        <w:t>Campo–Território</w:t>
      </w:r>
      <w:r w:rsidRPr="00785517">
        <w:rPr>
          <w:rFonts w:ascii="Times New Roman" w:hAnsi="Times New Roman" w:cs="Times New Roman"/>
          <w:lang w:val="en-US"/>
        </w:rPr>
        <w:t xml:space="preserve">, v. 9, n. 18, p. 1–22, 2014. </w:t>
      </w:r>
    </w:p>
    <w:p w:rsidR="00F21796" w:rsidRPr="00785517" w:rsidRDefault="00F21796" w:rsidP="005D774A">
      <w:pPr>
        <w:pStyle w:val="Referncias"/>
        <w:jc w:val="both"/>
        <w:rPr>
          <w:rFonts w:ascii="Times New Roman" w:hAnsi="Times New Roman" w:cs="Times New Roman"/>
          <w:lang w:val="en-US"/>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ROMEIRO, M. et al. </w:t>
      </w:r>
      <w:r w:rsidRPr="00785517">
        <w:rPr>
          <w:rFonts w:ascii="Times New Roman" w:hAnsi="Times New Roman" w:cs="Times New Roman"/>
          <w:b/>
          <w:bCs/>
        </w:rPr>
        <w:t>CERRADO Caminhos para a ocupação territorial, uso do solo e produção sustentável: Expansão da soja</w:t>
      </w:r>
      <w:r w:rsidRPr="00785517">
        <w:rPr>
          <w:rFonts w:ascii="Times New Roman" w:hAnsi="Times New Roman" w:cs="Times New Roman"/>
        </w:rPr>
        <w:t>. [s.l: s.n.]. Disponível em: &lt;https://www.inputbrasil.org/wp-content/uploads/2018/06/CERRADO-CAMINHOS-PARA-OCUPACAO-TERRITORIAL-SUSTENTAVEL-EXPANSÃO-DA-SOJA-FINAL.pdf&gt;. Acesso em: 3 mar. 2019.</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SAMBUICHI, R. H. R. et al. A diversificação produtiva como forma de viabilizar o desenvolvimento sustentável da agricultura familiar no Brasil. In: MONASTERIO, L. M.; NERI, M. C.; SOARES, S. S. D. (Eds.). . </w:t>
      </w:r>
      <w:r w:rsidRPr="00785517">
        <w:rPr>
          <w:rFonts w:ascii="Times New Roman" w:hAnsi="Times New Roman" w:cs="Times New Roman"/>
          <w:b/>
          <w:bCs/>
        </w:rPr>
        <w:t>Brasil em Desenvolvimento: Estado, planejamento e políticas públicas</w:t>
      </w:r>
      <w:r w:rsidRPr="00785517">
        <w:rPr>
          <w:rFonts w:ascii="Times New Roman" w:hAnsi="Times New Roman" w:cs="Times New Roman"/>
        </w:rPr>
        <w:t xml:space="preserve">. [s.l.] Instituto de Pesquisa Econômica Aplicada (Ipea), 2014. v. 2p. 61–84.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SAMBUICHI, R. H. R. et al. Diversidade da Produção nos Estabelecimentos da Agricultura Familiar no Brasil:</w:t>
      </w:r>
      <w:r w:rsidR="00C86DA8" w:rsidRPr="00785517">
        <w:rPr>
          <w:rFonts w:ascii="Times New Roman" w:hAnsi="Times New Roman" w:cs="Times New Roman"/>
        </w:rPr>
        <w:t xml:space="preserve"> </w:t>
      </w:r>
      <w:r w:rsidRPr="00785517">
        <w:rPr>
          <w:rFonts w:ascii="Times New Roman" w:hAnsi="Times New Roman" w:cs="Times New Roman"/>
        </w:rPr>
        <w:t xml:space="preserve">uma análise econométrica baseada no cadastro da Declaração de Aptidão ao Pronaf (DAP). </w:t>
      </w:r>
      <w:r w:rsidRPr="00785517">
        <w:rPr>
          <w:rFonts w:ascii="Times New Roman" w:hAnsi="Times New Roman" w:cs="Times New Roman"/>
          <w:b/>
          <w:bCs/>
        </w:rPr>
        <w:t>Texto para Discussão</w:t>
      </w:r>
      <w:r w:rsidRPr="00785517">
        <w:rPr>
          <w:rFonts w:ascii="Times New Roman" w:hAnsi="Times New Roman" w:cs="Times New Roman"/>
        </w:rPr>
        <w:t xml:space="preserve">, v. 50, n. TD 2202, p. 1689–1699, 2016. </w:t>
      </w:r>
    </w:p>
    <w:p w:rsidR="00F21796" w:rsidRPr="00785517" w:rsidRDefault="00F21796" w:rsidP="005D774A">
      <w:pPr>
        <w:pStyle w:val="Referncias"/>
        <w:jc w:val="both"/>
        <w:rPr>
          <w:rFonts w:ascii="Times New Roman" w:hAnsi="Times New Roman" w:cs="Times New Roman"/>
        </w:rPr>
      </w:pPr>
    </w:p>
    <w:p w:rsidR="0018096C" w:rsidRPr="00785517" w:rsidRDefault="0018096C" w:rsidP="005D774A">
      <w:pPr>
        <w:pStyle w:val="Referncias"/>
        <w:jc w:val="both"/>
        <w:rPr>
          <w:rFonts w:ascii="Times New Roman" w:hAnsi="Times New Roman" w:cs="Times New Roman"/>
        </w:rPr>
      </w:pPr>
      <w:r w:rsidRPr="00785517">
        <w:rPr>
          <w:rFonts w:ascii="Times New Roman" w:hAnsi="Times New Roman" w:cs="Times New Roman"/>
        </w:rPr>
        <w:t xml:space="preserve">STEGE, A. L. </w:t>
      </w:r>
      <w:r w:rsidRPr="00785517">
        <w:rPr>
          <w:rFonts w:ascii="Times New Roman" w:hAnsi="Times New Roman" w:cs="Times New Roman"/>
          <w:b/>
          <w:bCs/>
        </w:rPr>
        <w:t>Desenvolvimento rural nas microrregiões do Brasil : um estudo multidimensional</w:t>
      </w:r>
      <w:r w:rsidRPr="00785517">
        <w:rPr>
          <w:rFonts w:ascii="Times New Roman" w:hAnsi="Times New Roman" w:cs="Times New Roman"/>
        </w:rPr>
        <w:t>. Maringá, PR: Universidade Estadual de Maringá, UEM, 2011.</w:t>
      </w:r>
    </w:p>
    <w:p w:rsidR="00F21796" w:rsidRPr="00785517" w:rsidRDefault="00F21796" w:rsidP="005D774A">
      <w:pPr>
        <w:pStyle w:val="Referncias"/>
        <w:jc w:val="both"/>
        <w:rPr>
          <w:rFonts w:ascii="Times New Roman" w:hAnsi="Times New Roman" w:cs="Times New Roman"/>
        </w:rPr>
      </w:pPr>
    </w:p>
    <w:p w:rsidR="00817C62" w:rsidRPr="001B41CA" w:rsidRDefault="0018096C" w:rsidP="005D774A">
      <w:pPr>
        <w:pStyle w:val="Referncias"/>
        <w:jc w:val="both"/>
        <w:rPr>
          <w:rFonts w:ascii="Times New Roman" w:hAnsi="Times New Roman" w:cs="Times New Roman"/>
          <w:lang w:val="en-US"/>
        </w:rPr>
      </w:pPr>
      <w:r w:rsidRPr="00785517">
        <w:rPr>
          <w:rFonts w:ascii="Times New Roman" w:hAnsi="Times New Roman" w:cs="Times New Roman"/>
        </w:rPr>
        <w:t xml:space="preserve">STRASSBURG, B. B. N. et al. </w:t>
      </w:r>
      <w:r w:rsidRPr="00785517">
        <w:rPr>
          <w:rFonts w:ascii="Times New Roman" w:hAnsi="Times New Roman" w:cs="Times New Roman"/>
          <w:lang w:val="en-US"/>
        </w:rPr>
        <w:t xml:space="preserve">Moment of truth for the Cerrado hotspot. </w:t>
      </w:r>
      <w:r w:rsidRPr="00785517">
        <w:rPr>
          <w:rFonts w:ascii="Times New Roman" w:hAnsi="Times New Roman" w:cs="Times New Roman"/>
          <w:b/>
          <w:bCs/>
          <w:lang w:val="en-US"/>
        </w:rPr>
        <w:t>Nature Ecology and Evolution</w:t>
      </w:r>
      <w:r w:rsidR="001B41CA" w:rsidRPr="00785517">
        <w:rPr>
          <w:rFonts w:ascii="Times New Roman" w:hAnsi="Times New Roman" w:cs="Times New Roman"/>
          <w:lang w:val="en-US"/>
        </w:rPr>
        <w:t>, v. 1, n. 4, p. 13–15, 2017</w:t>
      </w:r>
      <w:r w:rsidRPr="00785517">
        <w:rPr>
          <w:rFonts w:ascii="Times New Roman" w:hAnsi="Times New Roman" w:cs="Times New Roman"/>
        </w:rPr>
        <w:t xml:space="preserve">. </w:t>
      </w:r>
      <w:r w:rsidR="005F3586" w:rsidRPr="00785517">
        <w:rPr>
          <w:rFonts w:ascii="Times New Roman" w:hAnsi="Times New Roman" w:cs="Times New Roman"/>
        </w:rPr>
        <w:fldChar w:fldCharType="end"/>
      </w:r>
      <w:bookmarkEnd w:id="38"/>
    </w:p>
    <w:sectPr w:rsidR="00817C62" w:rsidRPr="001B41CA" w:rsidSect="009420AC">
      <w:headerReference w:type="default" r:id="rId26"/>
      <w:pgSz w:w="11906" w:h="16838" w:code="9"/>
      <w:pgMar w:top="720" w:right="720" w:bottom="720" w:left="720"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658" w:rsidRDefault="00132658" w:rsidP="000F223F">
      <w:pPr>
        <w:spacing w:line="240" w:lineRule="auto"/>
      </w:pPr>
      <w:r>
        <w:separator/>
      </w:r>
    </w:p>
  </w:endnote>
  <w:endnote w:type="continuationSeparator" w:id="0">
    <w:p w:rsidR="00132658" w:rsidRDefault="00132658" w:rsidP="000F22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ILDOPA+TimesNewRoman">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658" w:rsidRDefault="00132658" w:rsidP="000F223F">
      <w:pPr>
        <w:spacing w:line="240" w:lineRule="auto"/>
      </w:pPr>
      <w:r>
        <w:separator/>
      </w:r>
    </w:p>
  </w:footnote>
  <w:footnote w:type="continuationSeparator" w:id="0">
    <w:p w:rsidR="00132658" w:rsidRDefault="00132658" w:rsidP="000F223F">
      <w:pPr>
        <w:spacing w:line="240" w:lineRule="auto"/>
      </w:pPr>
      <w:r>
        <w:continuationSeparator/>
      </w:r>
    </w:p>
  </w:footnote>
  <w:footnote w:id="1">
    <w:p w:rsidR="00F57AE5" w:rsidRPr="00292B68" w:rsidRDefault="00F57AE5" w:rsidP="000F223F">
      <w:pPr>
        <w:pStyle w:val="Textodenotaderodap"/>
        <w:jc w:val="both"/>
        <w:rPr>
          <w:rFonts w:ascii="Times New Roman" w:hAnsi="Times New Roman"/>
        </w:rPr>
      </w:pPr>
      <w:r w:rsidRPr="00292B68">
        <w:rPr>
          <w:rStyle w:val="Refdenotaderodap"/>
          <w:rFonts w:ascii="Times New Roman" w:hAnsi="Times New Roman"/>
        </w:rPr>
        <w:footnoteRef/>
      </w:r>
      <w:r w:rsidRPr="00292B68">
        <w:rPr>
          <w:rFonts w:ascii="Times New Roman" w:hAnsi="Times New Roman"/>
        </w:rPr>
        <w:t xml:space="preserve"> Em linhas gerais, uma savana caracteriza-se por uma vegetação encontrada em regiões tropicais ou subtropicais que está sob um longo período de seca, recebe mais chuva do que as regiões desérticas e, fisionomicamente, apresenta árvores e arbustos esparsos ou grupos espalhados de árvores e arbustos em um estrato graminoide bastante pronunciado (ALLABY, 1998; ART, 1998 apud Embrapa 2009).</w:t>
      </w:r>
    </w:p>
  </w:footnote>
  <w:footnote w:id="2">
    <w:p w:rsidR="00F57AE5" w:rsidRPr="00292B68" w:rsidRDefault="00F57AE5" w:rsidP="000F223F">
      <w:pPr>
        <w:pStyle w:val="Textodenotaderodap"/>
        <w:rPr>
          <w:rFonts w:ascii="Times New Roman" w:hAnsi="Times New Roman"/>
        </w:rPr>
      </w:pPr>
      <w:r w:rsidRPr="00292B68">
        <w:rPr>
          <w:rStyle w:val="Refdenotaderodap"/>
          <w:rFonts w:ascii="Times New Roman" w:hAnsi="Times New Roman"/>
        </w:rPr>
        <w:footnoteRef/>
      </w:r>
      <w:r w:rsidRPr="00292B68">
        <w:rPr>
          <w:rFonts w:ascii="Times New Roman" w:hAnsi="Times New Roman"/>
        </w:rPr>
        <w:t xml:space="preserve"> Endemismo é o fenômeno no qual uma espécie ocorre exclusivamente em determinada região geográfica.</w:t>
      </w:r>
    </w:p>
  </w:footnote>
  <w:footnote w:id="3">
    <w:p w:rsidR="00F57AE5" w:rsidRPr="00292B68" w:rsidRDefault="00F57AE5">
      <w:pPr>
        <w:pStyle w:val="Textodenotaderodap"/>
        <w:rPr>
          <w:rFonts w:ascii="Times New Roman" w:hAnsi="Times New Roman"/>
        </w:rPr>
      </w:pPr>
      <w:r w:rsidRPr="00292B68">
        <w:rPr>
          <w:rStyle w:val="Refdenotaderodap"/>
          <w:rFonts w:ascii="Times New Roman" w:hAnsi="Times New Roman"/>
        </w:rPr>
        <w:footnoteRef/>
      </w:r>
      <w:r w:rsidRPr="00292B68">
        <w:rPr>
          <w:rFonts w:ascii="Times New Roman" w:hAnsi="Times New Roman"/>
        </w:rPr>
        <w:t xml:space="preserve"> Para verificar o processo de aumento de monoculturas no Bioma, também foi calculado apenas o índice de diversificação da agricultura (Shannon-Área). Por questão de espaço, esse índice não será apresentado nesse artigo, mas pode ser consultado em Caldeira (2019). </w:t>
      </w:r>
    </w:p>
  </w:footnote>
  <w:footnote w:id="4">
    <w:p w:rsidR="00F57AE5" w:rsidRPr="00292B68" w:rsidRDefault="00F57AE5">
      <w:pPr>
        <w:pStyle w:val="Textodenotaderodap"/>
        <w:rPr>
          <w:rFonts w:ascii="Times New Roman" w:hAnsi="Times New Roman"/>
        </w:rPr>
      </w:pPr>
      <w:r w:rsidRPr="00292B68">
        <w:rPr>
          <w:rFonts w:ascii="Times New Roman" w:hAnsi="Times New Roman"/>
        </w:rPr>
        <w:t xml:space="preserve"> </w:t>
      </w:r>
      <w:r w:rsidRPr="00292B68">
        <w:rPr>
          <w:rStyle w:val="Refdenotaderodap"/>
          <w:rFonts w:ascii="Times New Roman" w:hAnsi="Times New Roman"/>
        </w:rPr>
        <w:footnoteRef/>
      </w:r>
      <w:r w:rsidRPr="00292B68">
        <w:rPr>
          <w:rFonts w:ascii="Times New Roman" w:hAnsi="Times New Roman"/>
        </w:rPr>
        <w:t xml:space="preserve"> Valor da produção: variável derivada calculada pela média ponderada das informações de quantidade e preço médio corrente pago ao produtor, de acordo com os períodos de colheita e comercialização de cada produto. As despesas de frete, taxas e impostos não são incluídas no preço </w:t>
      </w:r>
      <w:r w:rsidRPr="00292B68">
        <w:rPr>
          <w:rFonts w:ascii="Times New Roman" w:hAnsi="Times New Roman"/>
        </w:rPr>
        <w:fldChar w:fldCharType="begin" w:fldLock="1"/>
      </w:r>
      <w:r w:rsidRPr="00292B68">
        <w:rPr>
          <w:rFonts w:ascii="Times New Roman" w:hAnsi="Times New Roman"/>
        </w:rPr>
        <w:instrText>ADDIN CSL_CITATION {"citationItems":[{"id":"ITEM-1","itemData":{"URL":"https://sidra.ibge.gov.br/tabela/5457","accessed":{"date-parts":[["2019","2","14"]]},"author":[{"dropping-particle":"","family":"PAM","given":"","non-dropping-particle":"","parse-names":false,"suffix":""}],"container-title":"IBGE","id":"ITEM-1","issued":{"date-parts":[["2018"]]},"title":"Produção Agrícola Municipal","type":"webpage"},"uris":["http://www.mendeley.com/documents/?uuid=89d5b0fd-392d-339c-b4cb-38416f870f7b"]}],"mendeley":{"formattedCitation":"(PAM, 2018)","plainTextFormattedCitation":"(PAM, 2018)","previouslyFormattedCitation":"(PAM, 2018)"},"properties":{"noteIndex":0},"schema":"https://github.com/citation-style-language/schema/raw/master/csl-citation.json"}</w:instrText>
      </w:r>
      <w:r w:rsidRPr="00292B68">
        <w:rPr>
          <w:rFonts w:ascii="Times New Roman" w:hAnsi="Times New Roman"/>
        </w:rPr>
        <w:fldChar w:fldCharType="separate"/>
      </w:r>
      <w:r w:rsidRPr="00292B68">
        <w:rPr>
          <w:rFonts w:ascii="Times New Roman" w:hAnsi="Times New Roman"/>
          <w:noProof/>
        </w:rPr>
        <w:t>(PAM, 2018)</w:t>
      </w:r>
      <w:r w:rsidRPr="00292B68">
        <w:rPr>
          <w:rFonts w:ascii="Times New Roman" w:hAnsi="Times New Roman"/>
        </w:rPr>
        <w:fldChar w:fldCharType="end"/>
      </w:r>
      <w:r w:rsidRPr="00292B68">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537544"/>
      <w:docPartObj>
        <w:docPartGallery w:val="Page Numbers (Top of Page)"/>
        <w:docPartUnique/>
      </w:docPartObj>
    </w:sdtPr>
    <w:sdtEndPr/>
    <w:sdtContent>
      <w:p w:rsidR="00F57AE5" w:rsidRPr="00D53DE3" w:rsidRDefault="00F57AE5">
        <w:pPr>
          <w:pStyle w:val="Cabealho"/>
          <w:jc w:val="right"/>
        </w:pPr>
        <w:r w:rsidRPr="00D53DE3">
          <w:rPr>
            <w:color w:val="000000" w:themeColor="text1"/>
          </w:rPr>
          <w:fldChar w:fldCharType="begin"/>
        </w:r>
        <w:r w:rsidRPr="00D53DE3">
          <w:rPr>
            <w:color w:val="000000" w:themeColor="text1"/>
          </w:rPr>
          <w:instrText>PAGE   \* MERGEFORMAT</w:instrText>
        </w:r>
        <w:r w:rsidRPr="00D53DE3">
          <w:rPr>
            <w:color w:val="000000" w:themeColor="text1"/>
          </w:rPr>
          <w:fldChar w:fldCharType="separate"/>
        </w:r>
        <w:r w:rsidR="0085553A">
          <w:rPr>
            <w:noProof/>
            <w:color w:val="000000" w:themeColor="text1"/>
          </w:rPr>
          <w:t>1</w:t>
        </w:r>
        <w:r w:rsidRPr="00D53DE3">
          <w:rPr>
            <w:color w:val="000000" w:themeColor="text1"/>
          </w:rPr>
          <w:fldChar w:fldCharType="end"/>
        </w:r>
      </w:p>
    </w:sdtContent>
  </w:sdt>
  <w:p w:rsidR="00F57AE5" w:rsidRDefault="00F57AE5">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4pt;height:13.8pt;visibility:visible" o:bullet="t">
        <v:imagedata r:id="rId1" o:title=""/>
      </v:shape>
    </w:pict>
  </w:numPicBullet>
  <w:abstractNum w:abstractNumId="0">
    <w:nsid w:val="00000001"/>
    <w:multiLevelType w:val="multilevel"/>
    <w:tmpl w:val="00000001"/>
    <w:lvl w:ilvl="0">
      <w:start w:val="1"/>
      <w:numFmt w:val="decimal"/>
      <w:lvlText w:val="%1."/>
      <w:lvlJc w:val="left"/>
      <w:pPr>
        <w:tabs>
          <w:tab w:val="num" w:pos="643"/>
        </w:tabs>
        <w:ind w:left="643" w:hanging="360"/>
      </w:pPr>
    </w:lvl>
    <w:lvl w:ilvl="1">
      <w:start w:val="1"/>
      <w:numFmt w:val="none"/>
      <w:suff w:val="nothing"/>
      <w:lvlText w:val=""/>
      <w:lvlJc w:val="left"/>
      <w:pPr>
        <w:tabs>
          <w:tab w:val="num" w:pos="576"/>
        </w:tabs>
        <w:ind w:left="576" w:hanging="576"/>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1209"/>
        </w:tabs>
        <w:ind w:left="1209" w:hanging="360"/>
      </w:pPr>
      <w:rPr>
        <w:rFonts w:ascii="Symbol" w:hAnsi="Symbol" w:cs="Symbol"/>
      </w:rPr>
    </w:lvl>
  </w:abstractNum>
  <w:abstractNum w:abstractNumId="2">
    <w:nsid w:val="00000003"/>
    <w:multiLevelType w:val="singleLevel"/>
    <w:tmpl w:val="00000003"/>
    <w:name w:val="WW8Num3"/>
    <w:lvl w:ilvl="0">
      <w:start w:val="1"/>
      <w:numFmt w:val="lowerLetter"/>
      <w:lvlText w:val="%1)"/>
      <w:lvlJc w:val="left"/>
      <w:pPr>
        <w:tabs>
          <w:tab w:val="num" w:pos="2132"/>
        </w:tabs>
        <w:ind w:left="2132" w:hanging="431"/>
      </w:pPr>
      <w:rPr>
        <w:rFonts w:ascii="Arial" w:hAnsi="Arial" w:cs="Arial"/>
        <w:b w:val="0"/>
        <w:i w:val="0"/>
        <w:sz w:val="24"/>
      </w:rPr>
    </w:lvl>
  </w:abstractNum>
  <w:abstractNum w:abstractNumId="3">
    <w:nsid w:val="04636D96"/>
    <w:multiLevelType w:val="multilevel"/>
    <w:tmpl w:val="AA006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3C5024"/>
    <w:multiLevelType w:val="multilevel"/>
    <w:tmpl w:val="68FE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F548D0"/>
    <w:multiLevelType w:val="multilevel"/>
    <w:tmpl w:val="2AFA05A0"/>
    <w:lvl w:ilvl="0">
      <w:start w:val="1"/>
      <w:numFmt w:val="lowerRoman"/>
      <w:lvlText w:val="%1."/>
      <w:lvlJc w:val="right"/>
      <w:pPr>
        <w:tabs>
          <w:tab w:val="num" w:pos="502"/>
        </w:tabs>
        <w:ind w:left="502" w:hanging="360"/>
      </w:pPr>
    </w:lvl>
    <w:lvl w:ilvl="1" w:tentative="1">
      <w:start w:val="1"/>
      <w:numFmt w:val="lowerRoman"/>
      <w:lvlText w:val="%2."/>
      <w:lvlJc w:val="right"/>
      <w:pPr>
        <w:tabs>
          <w:tab w:val="num" w:pos="1222"/>
        </w:tabs>
        <w:ind w:left="1222" w:hanging="360"/>
      </w:pPr>
    </w:lvl>
    <w:lvl w:ilvl="2" w:tentative="1">
      <w:start w:val="1"/>
      <w:numFmt w:val="lowerRoman"/>
      <w:lvlText w:val="%3."/>
      <w:lvlJc w:val="right"/>
      <w:pPr>
        <w:tabs>
          <w:tab w:val="num" w:pos="1942"/>
        </w:tabs>
        <w:ind w:left="1942" w:hanging="360"/>
      </w:pPr>
    </w:lvl>
    <w:lvl w:ilvl="3" w:tentative="1">
      <w:start w:val="1"/>
      <w:numFmt w:val="lowerRoman"/>
      <w:lvlText w:val="%4."/>
      <w:lvlJc w:val="right"/>
      <w:pPr>
        <w:tabs>
          <w:tab w:val="num" w:pos="2662"/>
        </w:tabs>
        <w:ind w:left="2662" w:hanging="360"/>
      </w:pPr>
    </w:lvl>
    <w:lvl w:ilvl="4" w:tentative="1">
      <w:start w:val="1"/>
      <w:numFmt w:val="lowerRoman"/>
      <w:lvlText w:val="%5."/>
      <w:lvlJc w:val="right"/>
      <w:pPr>
        <w:tabs>
          <w:tab w:val="num" w:pos="3382"/>
        </w:tabs>
        <w:ind w:left="3382" w:hanging="360"/>
      </w:pPr>
    </w:lvl>
    <w:lvl w:ilvl="5" w:tentative="1">
      <w:start w:val="1"/>
      <w:numFmt w:val="lowerRoman"/>
      <w:lvlText w:val="%6."/>
      <w:lvlJc w:val="right"/>
      <w:pPr>
        <w:tabs>
          <w:tab w:val="num" w:pos="4102"/>
        </w:tabs>
        <w:ind w:left="4102" w:hanging="360"/>
      </w:pPr>
    </w:lvl>
    <w:lvl w:ilvl="6" w:tentative="1">
      <w:start w:val="1"/>
      <w:numFmt w:val="lowerRoman"/>
      <w:lvlText w:val="%7."/>
      <w:lvlJc w:val="right"/>
      <w:pPr>
        <w:tabs>
          <w:tab w:val="num" w:pos="4822"/>
        </w:tabs>
        <w:ind w:left="4822" w:hanging="360"/>
      </w:pPr>
    </w:lvl>
    <w:lvl w:ilvl="7" w:tentative="1">
      <w:start w:val="1"/>
      <w:numFmt w:val="lowerRoman"/>
      <w:lvlText w:val="%8."/>
      <w:lvlJc w:val="right"/>
      <w:pPr>
        <w:tabs>
          <w:tab w:val="num" w:pos="5542"/>
        </w:tabs>
        <w:ind w:left="5542" w:hanging="360"/>
      </w:pPr>
    </w:lvl>
    <w:lvl w:ilvl="8" w:tentative="1">
      <w:start w:val="1"/>
      <w:numFmt w:val="lowerRoman"/>
      <w:lvlText w:val="%9."/>
      <w:lvlJc w:val="right"/>
      <w:pPr>
        <w:tabs>
          <w:tab w:val="num" w:pos="6262"/>
        </w:tabs>
        <w:ind w:left="6262" w:hanging="360"/>
      </w:pPr>
    </w:lvl>
  </w:abstractNum>
  <w:abstractNum w:abstractNumId="6">
    <w:nsid w:val="167C3BCC"/>
    <w:multiLevelType w:val="hybridMultilevel"/>
    <w:tmpl w:val="CCC05668"/>
    <w:lvl w:ilvl="0" w:tplc="55AE6778">
      <w:start w:val="1"/>
      <w:numFmt w:val="decimal"/>
      <w:lvlText w:val="%1"/>
      <w:lvlJc w:val="left"/>
      <w:pPr>
        <w:ind w:left="36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ADF13C1"/>
    <w:multiLevelType w:val="hybridMultilevel"/>
    <w:tmpl w:val="C87E3B16"/>
    <w:lvl w:ilvl="0" w:tplc="39C23DC2">
      <w:start w:val="1"/>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nsid w:val="1BB93D30"/>
    <w:multiLevelType w:val="hybridMultilevel"/>
    <w:tmpl w:val="C5DAF874"/>
    <w:lvl w:ilvl="0" w:tplc="04160001">
      <w:start w:val="3"/>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1F6F1C73"/>
    <w:multiLevelType w:val="hybridMultilevel"/>
    <w:tmpl w:val="C9FE9D4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2BC365E"/>
    <w:multiLevelType w:val="multilevel"/>
    <w:tmpl w:val="EC844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116C00"/>
    <w:multiLevelType w:val="hybridMultilevel"/>
    <w:tmpl w:val="88FC960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4D96489"/>
    <w:multiLevelType w:val="multilevel"/>
    <w:tmpl w:val="4066E3F0"/>
    <w:lvl w:ilvl="0">
      <w:start w:val="4"/>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2AF24C17"/>
    <w:multiLevelType w:val="hybridMultilevel"/>
    <w:tmpl w:val="04E2984C"/>
    <w:lvl w:ilvl="0" w:tplc="EB50213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5435C7D"/>
    <w:multiLevelType w:val="hybridMultilevel"/>
    <w:tmpl w:val="2228CB2A"/>
    <w:lvl w:ilvl="0" w:tplc="ECC6291A">
      <w:start w:val="3"/>
      <w:numFmt w:val="bullet"/>
      <w:lvlText w:val=""/>
      <w:lvlJc w:val="left"/>
      <w:pPr>
        <w:ind w:left="1069" w:hanging="360"/>
      </w:pPr>
      <w:rPr>
        <w:rFonts w:ascii="Symbol" w:eastAsia="Times New Roman" w:hAnsi="Symbol" w:cs="Times New Roman"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15">
    <w:nsid w:val="55311362"/>
    <w:multiLevelType w:val="hybridMultilevel"/>
    <w:tmpl w:val="E74CD304"/>
    <w:lvl w:ilvl="0" w:tplc="82FA3E86">
      <w:start w:val="1"/>
      <w:numFmt w:val="bullet"/>
      <w:lvlText w:val=""/>
      <w:lvlJc w:val="left"/>
      <w:pPr>
        <w:ind w:left="0" w:firstLine="0"/>
      </w:pPr>
      <w:rPr>
        <w:rFonts w:ascii="Symbol" w:hAnsi="Symbol" w:hint="default"/>
      </w:rPr>
    </w:lvl>
    <w:lvl w:ilvl="1" w:tplc="04160003" w:tentative="1">
      <w:start w:val="1"/>
      <w:numFmt w:val="bullet"/>
      <w:lvlText w:val="o"/>
      <w:lvlJc w:val="left"/>
      <w:pPr>
        <w:ind w:left="2999" w:hanging="360"/>
      </w:pPr>
      <w:rPr>
        <w:rFonts w:ascii="Courier New" w:hAnsi="Courier New" w:cs="Courier New" w:hint="default"/>
      </w:rPr>
    </w:lvl>
    <w:lvl w:ilvl="2" w:tplc="04160005" w:tentative="1">
      <w:start w:val="1"/>
      <w:numFmt w:val="bullet"/>
      <w:lvlText w:val=""/>
      <w:lvlJc w:val="left"/>
      <w:pPr>
        <w:ind w:left="3719" w:hanging="360"/>
      </w:pPr>
      <w:rPr>
        <w:rFonts w:ascii="Wingdings" w:hAnsi="Wingdings" w:hint="default"/>
      </w:rPr>
    </w:lvl>
    <w:lvl w:ilvl="3" w:tplc="04160001" w:tentative="1">
      <w:start w:val="1"/>
      <w:numFmt w:val="bullet"/>
      <w:lvlText w:val=""/>
      <w:lvlJc w:val="left"/>
      <w:pPr>
        <w:ind w:left="4439" w:hanging="360"/>
      </w:pPr>
      <w:rPr>
        <w:rFonts w:ascii="Symbol" w:hAnsi="Symbol" w:hint="default"/>
      </w:rPr>
    </w:lvl>
    <w:lvl w:ilvl="4" w:tplc="04160003" w:tentative="1">
      <w:start w:val="1"/>
      <w:numFmt w:val="bullet"/>
      <w:lvlText w:val="o"/>
      <w:lvlJc w:val="left"/>
      <w:pPr>
        <w:ind w:left="5159" w:hanging="360"/>
      </w:pPr>
      <w:rPr>
        <w:rFonts w:ascii="Courier New" w:hAnsi="Courier New" w:cs="Courier New" w:hint="default"/>
      </w:rPr>
    </w:lvl>
    <w:lvl w:ilvl="5" w:tplc="04160005" w:tentative="1">
      <w:start w:val="1"/>
      <w:numFmt w:val="bullet"/>
      <w:lvlText w:val=""/>
      <w:lvlJc w:val="left"/>
      <w:pPr>
        <w:ind w:left="5879" w:hanging="360"/>
      </w:pPr>
      <w:rPr>
        <w:rFonts w:ascii="Wingdings" w:hAnsi="Wingdings" w:hint="default"/>
      </w:rPr>
    </w:lvl>
    <w:lvl w:ilvl="6" w:tplc="04160001" w:tentative="1">
      <w:start w:val="1"/>
      <w:numFmt w:val="bullet"/>
      <w:lvlText w:val=""/>
      <w:lvlJc w:val="left"/>
      <w:pPr>
        <w:ind w:left="6599" w:hanging="360"/>
      </w:pPr>
      <w:rPr>
        <w:rFonts w:ascii="Symbol" w:hAnsi="Symbol" w:hint="default"/>
      </w:rPr>
    </w:lvl>
    <w:lvl w:ilvl="7" w:tplc="04160003" w:tentative="1">
      <w:start w:val="1"/>
      <w:numFmt w:val="bullet"/>
      <w:lvlText w:val="o"/>
      <w:lvlJc w:val="left"/>
      <w:pPr>
        <w:ind w:left="7319" w:hanging="360"/>
      </w:pPr>
      <w:rPr>
        <w:rFonts w:ascii="Courier New" w:hAnsi="Courier New" w:cs="Courier New" w:hint="default"/>
      </w:rPr>
    </w:lvl>
    <w:lvl w:ilvl="8" w:tplc="04160005" w:tentative="1">
      <w:start w:val="1"/>
      <w:numFmt w:val="bullet"/>
      <w:lvlText w:val=""/>
      <w:lvlJc w:val="left"/>
      <w:pPr>
        <w:ind w:left="8039" w:hanging="360"/>
      </w:pPr>
      <w:rPr>
        <w:rFonts w:ascii="Wingdings" w:hAnsi="Wingdings" w:hint="default"/>
      </w:rPr>
    </w:lvl>
  </w:abstractNum>
  <w:abstractNum w:abstractNumId="16">
    <w:nsid w:val="57773E21"/>
    <w:multiLevelType w:val="hybridMultilevel"/>
    <w:tmpl w:val="62387556"/>
    <w:lvl w:ilvl="0" w:tplc="09AEC356">
      <w:start w:val="1"/>
      <w:numFmt w:val="decimal"/>
      <w:suff w:val="space"/>
      <w:lvlText w:val="%1."/>
      <w:lvlJc w:val="left"/>
      <w:pPr>
        <w:ind w:left="57" w:hanging="57"/>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BE11A15"/>
    <w:multiLevelType w:val="multilevel"/>
    <w:tmpl w:val="A6689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D39304A"/>
    <w:multiLevelType w:val="hybridMultilevel"/>
    <w:tmpl w:val="75F0FC5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2A52F1F"/>
    <w:multiLevelType w:val="hybridMultilevel"/>
    <w:tmpl w:val="4546DCA4"/>
    <w:lvl w:ilvl="0" w:tplc="8D80E704">
      <w:start w:val="1"/>
      <w:numFmt w:val="lowerRoman"/>
      <w:lvlText w:val="%1)"/>
      <w:lvlJc w:val="left"/>
      <w:pPr>
        <w:ind w:left="0" w:firstLine="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0">
    <w:nsid w:val="6AC674C4"/>
    <w:multiLevelType w:val="multilevel"/>
    <w:tmpl w:val="C722F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BFF527F"/>
    <w:multiLevelType w:val="hybridMultilevel"/>
    <w:tmpl w:val="2D8A93BA"/>
    <w:lvl w:ilvl="0" w:tplc="019E7526">
      <w:start w:val="1"/>
      <w:numFmt w:val="bullet"/>
      <w:lvlText w:val=""/>
      <w:lvlJc w:val="left"/>
      <w:pPr>
        <w:ind w:left="0" w:firstLine="0"/>
      </w:pPr>
      <w:rPr>
        <w:rFonts w:ascii="Symbol" w:hAnsi="Symbol" w:hint="default"/>
      </w:rPr>
    </w:lvl>
    <w:lvl w:ilvl="1" w:tplc="04160003" w:tentative="1">
      <w:start w:val="1"/>
      <w:numFmt w:val="bullet"/>
      <w:lvlText w:val="o"/>
      <w:lvlJc w:val="left"/>
      <w:pPr>
        <w:ind w:left="2999" w:hanging="360"/>
      </w:pPr>
      <w:rPr>
        <w:rFonts w:ascii="Courier New" w:hAnsi="Courier New" w:cs="Courier New" w:hint="default"/>
      </w:rPr>
    </w:lvl>
    <w:lvl w:ilvl="2" w:tplc="04160005" w:tentative="1">
      <w:start w:val="1"/>
      <w:numFmt w:val="bullet"/>
      <w:lvlText w:val=""/>
      <w:lvlJc w:val="left"/>
      <w:pPr>
        <w:ind w:left="3719" w:hanging="360"/>
      </w:pPr>
      <w:rPr>
        <w:rFonts w:ascii="Wingdings" w:hAnsi="Wingdings" w:hint="default"/>
      </w:rPr>
    </w:lvl>
    <w:lvl w:ilvl="3" w:tplc="04160001" w:tentative="1">
      <w:start w:val="1"/>
      <w:numFmt w:val="bullet"/>
      <w:lvlText w:val=""/>
      <w:lvlJc w:val="left"/>
      <w:pPr>
        <w:ind w:left="4439" w:hanging="360"/>
      </w:pPr>
      <w:rPr>
        <w:rFonts w:ascii="Symbol" w:hAnsi="Symbol" w:hint="default"/>
      </w:rPr>
    </w:lvl>
    <w:lvl w:ilvl="4" w:tplc="04160003" w:tentative="1">
      <w:start w:val="1"/>
      <w:numFmt w:val="bullet"/>
      <w:lvlText w:val="o"/>
      <w:lvlJc w:val="left"/>
      <w:pPr>
        <w:ind w:left="5159" w:hanging="360"/>
      </w:pPr>
      <w:rPr>
        <w:rFonts w:ascii="Courier New" w:hAnsi="Courier New" w:cs="Courier New" w:hint="default"/>
      </w:rPr>
    </w:lvl>
    <w:lvl w:ilvl="5" w:tplc="04160005" w:tentative="1">
      <w:start w:val="1"/>
      <w:numFmt w:val="bullet"/>
      <w:lvlText w:val=""/>
      <w:lvlJc w:val="left"/>
      <w:pPr>
        <w:ind w:left="5879" w:hanging="360"/>
      </w:pPr>
      <w:rPr>
        <w:rFonts w:ascii="Wingdings" w:hAnsi="Wingdings" w:hint="default"/>
      </w:rPr>
    </w:lvl>
    <w:lvl w:ilvl="6" w:tplc="04160001" w:tentative="1">
      <w:start w:val="1"/>
      <w:numFmt w:val="bullet"/>
      <w:lvlText w:val=""/>
      <w:lvlJc w:val="left"/>
      <w:pPr>
        <w:ind w:left="6599" w:hanging="360"/>
      </w:pPr>
      <w:rPr>
        <w:rFonts w:ascii="Symbol" w:hAnsi="Symbol" w:hint="default"/>
      </w:rPr>
    </w:lvl>
    <w:lvl w:ilvl="7" w:tplc="04160003" w:tentative="1">
      <w:start w:val="1"/>
      <w:numFmt w:val="bullet"/>
      <w:lvlText w:val="o"/>
      <w:lvlJc w:val="left"/>
      <w:pPr>
        <w:ind w:left="7319" w:hanging="360"/>
      </w:pPr>
      <w:rPr>
        <w:rFonts w:ascii="Courier New" w:hAnsi="Courier New" w:cs="Courier New" w:hint="default"/>
      </w:rPr>
    </w:lvl>
    <w:lvl w:ilvl="8" w:tplc="04160005" w:tentative="1">
      <w:start w:val="1"/>
      <w:numFmt w:val="bullet"/>
      <w:lvlText w:val=""/>
      <w:lvlJc w:val="left"/>
      <w:pPr>
        <w:ind w:left="8039" w:hanging="360"/>
      </w:pPr>
      <w:rPr>
        <w:rFonts w:ascii="Wingdings" w:hAnsi="Wingdings" w:hint="default"/>
      </w:rPr>
    </w:lvl>
  </w:abstractNum>
  <w:num w:numId="1">
    <w:abstractNumId w:val="6"/>
  </w:num>
  <w:num w:numId="2">
    <w:abstractNumId w:val="9"/>
  </w:num>
  <w:num w:numId="3">
    <w:abstractNumId w:val="7"/>
  </w:num>
  <w:num w:numId="4">
    <w:abstractNumId w:val="18"/>
  </w:num>
  <w:num w:numId="5">
    <w:abstractNumId w:val="15"/>
  </w:num>
  <w:num w:numId="6">
    <w:abstractNumId w:val="21"/>
  </w:num>
  <w:num w:numId="7">
    <w:abstractNumId w:val="0"/>
  </w:num>
  <w:num w:numId="8">
    <w:abstractNumId w:val="1"/>
  </w:num>
  <w:num w:numId="9">
    <w:abstractNumId w:val="2"/>
  </w:num>
  <w:num w:numId="10">
    <w:abstractNumId w:val="11"/>
  </w:num>
  <w:num w:numId="11">
    <w:abstractNumId w:val="16"/>
  </w:num>
  <w:num w:numId="12">
    <w:abstractNumId w:val="12"/>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20"/>
  </w:num>
  <w:num w:numId="16">
    <w:abstractNumId w:val="3"/>
  </w:num>
  <w:num w:numId="17">
    <w:abstractNumId w:val="17"/>
  </w:num>
  <w:num w:numId="18">
    <w:abstractNumId w:val="10"/>
  </w:num>
  <w:num w:numId="19">
    <w:abstractNumId w:val="5"/>
  </w:num>
  <w:num w:numId="20">
    <w:abstractNumId w:val="14"/>
  </w:num>
  <w:num w:numId="21">
    <w:abstractNumId w:val="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86A8F"/>
    <w:rsid w:val="000125C1"/>
    <w:rsid w:val="00026328"/>
    <w:rsid w:val="00030B03"/>
    <w:rsid w:val="00040A9C"/>
    <w:rsid w:val="00041500"/>
    <w:rsid w:val="000423D9"/>
    <w:rsid w:val="00044B17"/>
    <w:rsid w:val="00047B59"/>
    <w:rsid w:val="000532E3"/>
    <w:rsid w:val="000553BD"/>
    <w:rsid w:val="00067801"/>
    <w:rsid w:val="00070A3D"/>
    <w:rsid w:val="0007109A"/>
    <w:rsid w:val="00074B14"/>
    <w:rsid w:val="00084212"/>
    <w:rsid w:val="00097034"/>
    <w:rsid w:val="000B5E7A"/>
    <w:rsid w:val="000D649B"/>
    <w:rsid w:val="000E530D"/>
    <w:rsid w:val="000E6B21"/>
    <w:rsid w:val="000F223F"/>
    <w:rsid w:val="000F7397"/>
    <w:rsid w:val="00101F34"/>
    <w:rsid w:val="00113F2F"/>
    <w:rsid w:val="0011420E"/>
    <w:rsid w:val="001153CB"/>
    <w:rsid w:val="00121D93"/>
    <w:rsid w:val="0013188E"/>
    <w:rsid w:val="00132658"/>
    <w:rsid w:val="00135EF5"/>
    <w:rsid w:val="001547BA"/>
    <w:rsid w:val="001573D2"/>
    <w:rsid w:val="0016337F"/>
    <w:rsid w:val="00165179"/>
    <w:rsid w:val="0016743C"/>
    <w:rsid w:val="001758CF"/>
    <w:rsid w:val="0018096C"/>
    <w:rsid w:val="00185246"/>
    <w:rsid w:val="00193A12"/>
    <w:rsid w:val="001B41CA"/>
    <w:rsid w:val="001B68BA"/>
    <w:rsid w:val="001D425B"/>
    <w:rsid w:val="001F6F55"/>
    <w:rsid w:val="002041C0"/>
    <w:rsid w:val="00215D9A"/>
    <w:rsid w:val="0022531B"/>
    <w:rsid w:val="00230074"/>
    <w:rsid w:val="002329BE"/>
    <w:rsid w:val="002372BA"/>
    <w:rsid w:val="0029078A"/>
    <w:rsid w:val="00292B68"/>
    <w:rsid w:val="0029437E"/>
    <w:rsid w:val="002A641B"/>
    <w:rsid w:val="002B31D0"/>
    <w:rsid w:val="002C0F54"/>
    <w:rsid w:val="002C68E2"/>
    <w:rsid w:val="002C6AAE"/>
    <w:rsid w:val="002D7824"/>
    <w:rsid w:val="002E1112"/>
    <w:rsid w:val="003041F0"/>
    <w:rsid w:val="00310F35"/>
    <w:rsid w:val="00312EF5"/>
    <w:rsid w:val="00317EBE"/>
    <w:rsid w:val="00321CA4"/>
    <w:rsid w:val="0032546D"/>
    <w:rsid w:val="00341C43"/>
    <w:rsid w:val="00342F97"/>
    <w:rsid w:val="00344E08"/>
    <w:rsid w:val="00352C9F"/>
    <w:rsid w:val="0035560E"/>
    <w:rsid w:val="00362185"/>
    <w:rsid w:val="003764A2"/>
    <w:rsid w:val="00377BD2"/>
    <w:rsid w:val="00386683"/>
    <w:rsid w:val="00391299"/>
    <w:rsid w:val="00396847"/>
    <w:rsid w:val="003C0BA2"/>
    <w:rsid w:val="003F0C7E"/>
    <w:rsid w:val="003F1646"/>
    <w:rsid w:val="003F42DA"/>
    <w:rsid w:val="003F4803"/>
    <w:rsid w:val="0040668A"/>
    <w:rsid w:val="004449DD"/>
    <w:rsid w:val="004465B9"/>
    <w:rsid w:val="00447F53"/>
    <w:rsid w:val="004506C8"/>
    <w:rsid w:val="00450FAC"/>
    <w:rsid w:val="00455D11"/>
    <w:rsid w:val="004608A8"/>
    <w:rsid w:val="00470300"/>
    <w:rsid w:val="00471EFB"/>
    <w:rsid w:val="00475076"/>
    <w:rsid w:val="004903BF"/>
    <w:rsid w:val="00492465"/>
    <w:rsid w:val="004A4274"/>
    <w:rsid w:val="004B2CCB"/>
    <w:rsid w:val="004B7DDC"/>
    <w:rsid w:val="004C3049"/>
    <w:rsid w:val="004C422F"/>
    <w:rsid w:val="004D0310"/>
    <w:rsid w:val="004D1820"/>
    <w:rsid w:val="004D18B9"/>
    <w:rsid w:val="004D276B"/>
    <w:rsid w:val="004D579C"/>
    <w:rsid w:val="004D5EB4"/>
    <w:rsid w:val="004E18AC"/>
    <w:rsid w:val="004E5ECD"/>
    <w:rsid w:val="004E6628"/>
    <w:rsid w:val="004E734D"/>
    <w:rsid w:val="004F1C3A"/>
    <w:rsid w:val="00513E20"/>
    <w:rsid w:val="00514895"/>
    <w:rsid w:val="005237A6"/>
    <w:rsid w:val="005250F0"/>
    <w:rsid w:val="00530F89"/>
    <w:rsid w:val="00545DF0"/>
    <w:rsid w:val="00546500"/>
    <w:rsid w:val="00546982"/>
    <w:rsid w:val="0055711E"/>
    <w:rsid w:val="0057196A"/>
    <w:rsid w:val="0058039A"/>
    <w:rsid w:val="00580616"/>
    <w:rsid w:val="00586A8F"/>
    <w:rsid w:val="005D774A"/>
    <w:rsid w:val="005E3288"/>
    <w:rsid w:val="005F055C"/>
    <w:rsid w:val="005F3586"/>
    <w:rsid w:val="005F50BC"/>
    <w:rsid w:val="005F5895"/>
    <w:rsid w:val="005F63D4"/>
    <w:rsid w:val="00622675"/>
    <w:rsid w:val="00632F5C"/>
    <w:rsid w:val="00634AF0"/>
    <w:rsid w:val="00634E08"/>
    <w:rsid w:val="00656B50"/>
    <w:rsid w:val="00665250"/>
    <w:rsid w:val="00666AED"/>
    <w:rsid w:val="00695DF1"/>
    <w:rsid w:val="00697FF5"/>
    <w:rsid w:val="006A4858"/>
    <w:rsid w:val="006A4F5E"/>
    <w:rsid w:val="006F6D88"/>
    <w:rsid w:val="007011E5"/>
    <w:rsid w:val="00710016"/>
    <w:rsid w:val="00711B08"/>
    <w:rsid w:val="007203B9"/>
    <w:rsid w:val="00720B7E"/>
    <w:rsid w:val="007233F1"/>
    <w:rsid w:val="007247AA"/>
    <w:rsid w:val="007264C3"/>
    <w:rsid w:val="00735A3B"/>
    <w:rsid w:val="0075326D"/>
    <w:rsid w:val="00755868"/>
    <w:rsid w:val="007570D9"/>
    <w:rsid w:val="00757F3A"/>
    <w:rsid w:val="007656D4"/>
    <w:rsid w:val="00777653"/>
    <w:rsid w:val="00785517"/>
    <w:rsid w:val="00786EBC"/>
    <w:rsid w:val="007A096B"/>
    <w:rsid w:val="007A4F90"/>
    <w:rsid w:val="007A5F45"/>
    <w:rsid w:val="007B09D9"/>
    <w:rsid w:val="007C6A6B"/>
    <w:rsid w:val="007E0B4E"/>
    <w:rsid w:val="00803D07"/>
    <w:rsid w:val="0080429D"/>
    <w:rsid w:val="00815719"/>
    <w:rsid w:val="00816B9F"/>
    <w:rsid w:val="00817C62"/>
    <w:rsid w:val="008230F2"/>
    <w:rsid w:val="00826E3C"/>
    <w:rsid w:val="0083263B"/>
    <w:rsid w:val="00833E01"/>
    <w:rsid w:val="00836070"/>
    <w:rsid w:val="00845B80"/>
    <w:rsid w:val="0085553A"/>
    <w:rsid w:val="008564FA"/>
    <w:rsid w:val="008566E5"/>
    <w:rsid w:val="00861A9C"/>
    <w:rsid w:val="0086410B"/>
    <w:rsid w:val="00874627"/>
    <w:rsid w:val="008771F6"/>
    <w:rsid w:val="00896163"/>
    <w:rsid w:val="008A4187"/>
    <w:rsid w:val="008A5B39"/>
    <w:rsid w:val="008C44C9"/>
    <w:rsid w:val="008D16DB"/>
    <w:rsid w:val="008E0039"/>
    <w:rsid w:val="008E5508"/>
    <w:rsid w:val="008F6A65"/>
    <w:rsid w:val="009074DA"/>
    <w:rsid w:val="00931DAD"/>
    <w:rsid w:val="00936502"/>
    <w:rsid w:val="0094069C"/>
    <w:rsid w:val="009420AC"/>
    <w:rsid w:val="00942E18"/>
    <w:rsid w:val="0094453E"/>
    <w:rsid w:val="00944E79"/>
    <w:rsid w:val="00952922"/>
    <w:rsid w:val="00956DE5"/>
    <w:rsid w:val="00983522"/>
    <w:rsid w:val="009A4532"/>
    <w:rsid w:val="009A5AC9"/>
    <w:rsid w:val="009B2FF7"/>
    <w:rsid w:val="009B7B3E"/>
    <w:rsid w:val="009C2B94"/>
    <w:rsid w:val="009D2297"/>
    <w:rsid w:val="009D324D"/>
    <w:rsid w:val="00A0694A"/>
    <w:rsid w:val="00A0723A"/>
    <w:rsid w:val="00A216E7"/>
    <w:rsid w:val="00A26DF9"/>
    <w:rsid w:val="00A33864"/>
    <w:rsid w:val="00A35A73"/>
    <w:rsid w:val="00A428D4"/>
    <w:rsid w:val="00A5034E"/>
    <w:rsid w:val="00A52D9E"/>
    <w:rsid w:val="00A56995"/>
    <w:rsid w:val="00A57AA0"/>
    <w:rsid w:val="00A76B67"/>
    <w:rsid w:val="00A8494E"/>
    <w:rsid w:val="00A91E92"/>
    <w:rsid w:val="00A95599"/>
    <w:rsid w:val="00AB1075"/>
    <w:rsid w:val="00AB66BC"/>
    <w:rsid w:val="00AF3C37"/>
    <w:rsid w:val="00AF3C68"/>
    <w:rsid w:val="00AF5919"/>
    <w:rsid w:val="00B05062"/>
    <w:rsid w:val="00B055D0"/>
    <w:rsid w:val="00B210C0"/>
    <w:rsid w:val="00B245E1"/>
    <w:rsid w:val="00B37A3E"/>
    <w:rsid w:val="00B5266F"/>
    <w:rsid w:val="00B6697D"/>
    <w:rsid w:val="00B708DA"/>
    <w:rsid w:val="00B71C06"/>
    <w:rsid w:val="00B71C29"/>
    <w:rsid w:val="00B9010B"/>
    <w:rsid w:val="00BA34D7"/>
    <w:rsid w:val="00BA680D"/>
    <w:rsid w:val="00BB1CB6"/>
    <w:rsid w:val="00BC7968"/>
    <w:rsid w:val="00BC79A2"/>
    <w:rsid w:val="00BD1104"/>
    <w:rsid w:val="00BD44DB"/>
    <w:rsid w:val="00BD4A2D"/>
    <w:rsid w:val="00BE3B81"/>
    <w:rsid w:val="00BF7E08"/>
    <w:rsid w:val="00C00E6C"/>
    <w:rsid w:val="00C04281"/>
    <w:rsid w:val="00C26E5B"/>
    <w:rsid w:val="00C34314"/>
    <w:rsid w:val="00C45D21"/>
    <w:rsid w:val="00C561FB"/>
    <w:rsid w:val="00C56FE2"/>
    <w:rsid w:val="00C607DD"/>
    <w:rsid w:val="00C70118"/>
    <w:rsid w:val="00C82F81"/>
    <w:rsid w:val="00C86DA8"/>
    <w:rsid w:val="00C86E6D"/>
    <w:rsid w:val="00C91224"/>
    <w:rsid w:val="00C929DA"/>
    <w:rsid w:val="00C9774E"/>
    <w:rsid w:val="00CA0170"/>
    <w:rsid w:val="00CA3A40"/>
    <w:rsid w:val="00CA5206"/>
    <w:rsid w:val="00CB2636"/>
    <w:rsid w:val="00CB5FD8"/>
    <w:rsid w:val="00CE29F5"/>
    <w:rsid w:val="00CE7F94"/>
    <w:rsid w:val="00CF7DEF"/>
    <w:rsid w:val="00D0365D"/>
    <w:rsid w:val="00D03ADB"/>
    <w:rsid w:val="00D057EE"/>
    <w:rsid w:val="00D06236"/>
    <w:rsid w:val="00D079B6"/>
    <w:rsid w:val="00D144E5"/>
    <w:rsid w:val="00D232C7"/>
    <w:rsid w:val="00D34AE3"/>
    <w:rsid w:val="00D44F88"/>
    <w:rsid w:val="00D50FCB"/>
    <w:rsid w:val="00D53D4A"/>
    <w:rsid w:val="00D53DE3"/>
    <w:rsid w:val="00D66E47"/>
    <w:rsid w:val="00D83240"/>
    <w:rsid w:val="00D84BC0"/>
    <w:rsid w:val="00D9182D"/>
    <w:rsid w:val="00D92210"/>
    <w:rsid w:val="00D958FA"/>
    <w:rsid w:val="00DA4E12"/>
    <w:rsid w:val="00DA5061"/>
    <w:rsid w:val="00DA69F5"/>
    <w:rsid w:val="00DB408F"/>
    <w:rsid w:val="00DB5076"/>
    <w:rsid w:val="00DC6C61"/>
    <w:rsid w:val="00DD03D2"/>
    <w:rsid w:val="00DD4F2D"/>
    <w:rsid w:val="00DE575D"/>
    <w:rsid w:val="00E02359"/>
    <w:rsid w:val="00E06816"/>
    <w:rsid w:val="00E31B12"/>
    <w:rsid w:val="00E36A78"/>
    <w:rsid w:val="00E50115"/>
    <w:rsid w:val="00E70E38"/>
    <w:rsid w:val="00E85C4A"/>
    <w:rsid w:val="00EA1BB5"/>
    <w:rsid w:val="00EA5A1D"/>
    <w:rsid w:val="00EA5BE6"/>
    <w:rsid w:val="00EF41BD"/>
    <w:rsid w:val="00F15666"/>
    <w:rsid w:val="00F16AD2"/>
    <w:rsid w:val="00F21796"/>
    <w:rsid w:val="00F33931"/>
    <w:rsid w:val="00F376C7"/>
    <w:rsid w:val="00F45834"/>
    <w:rsid w:val="00F57AE5"/>
    <w:rsid w:val="00F57D58"/>
    <w:rsid w:val="00F60F5E"/>
    <w:rsid w:val="00F66FEF"/>
    <w:rsid w:val="00F67B0B"/>
    <w:rsid w:val="00F75BEC"/>
    <w:rsid w:val="00F8537E"/>
    <w:rsid w:val="00F86311"/>
    <w:rsid w:val="00FA0934"/>
    <w:rsid w:val="00FA22E6"/>
    <w:rsid w:val="00FA794C"/>
    <w:rsid w:val="00FB3F0A"/>
    <w:rsid w:val="00FC1717"/>
    <w:rsid w:val="00FC538C"/>
    <w:rsid w:val="00FC635E"/>
    <w:rsid w:val="00FD0F3E"/>
    <w:rsid w:val="00FD24C2"/>
    <w:rsid w:val="00FD37C7"/>
    <w:rsid w:val="00FE56F6"/>
    <w:rsid w:val="00FF7EA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1A75E0E-64A1-48CB-821B-5CE38ABAC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DE3"/>
    <w:pPr>
      <w:suppressAutoHyphens/>
      <w:spacing w:after="0" w:line="360" w:lineRule="auto"/>
      <w:ind w:firstLine="851"/>
      <w:jc w:val="both"/>
    </w:pPr>
    <w:rPr>
      <w:rFonts w:ascii="Arial" w:eastAsia="Times New Roman" w:hAnsi="Arial" w:cs="Times New Roman"/>
      <w:sz w:val="24"/>
      <w:szCs w:val="24"/>
      <w:lang w:eastAsia="zh-CN"/>
    </w:rPr>
  </w:style>
  <w:style w:type="paragraph" w:styleId="Ttulo1">
    <w:name w:val="heading 1"/>
    <w:basedOn w:val="Normal"/>
    <w:next w:val="Normal"/>
    <w:link w:val="Ttulo1Char"/>
    <w:qFormat/>
    <w:rsid w:val="000F223F"/>
    <w:pPr>
      <w:keepNext/>
      <w:keepLines/>
      <w:spacing w:line="240" w:lineRule="auto"/>
      <w:ind w:firstLine="0"/>
      <w:outlineLvl w:val="0"/>
    </w:pPr>
    <w:rPr>
      <w:rFonts w:eastAsiaTheme="majorEastAsia" w:cstheme="majorBidi"/>
      <w:b/>
      <w:szCs w:val="32"/>
    </w:rPr>
  </w:style>
  <w:style w:type="paragraph" w:styleId="Ttulo2">
    <w:name w:val="heading 2"/>
    <w:basedOn w:val="Ttulo1"/>
    <w:next w:val="Normal"/>
    <w:link w:val="Ttulo2Char"/>
    <w:unhideWhenUsed/>
    <w:qFormat/>
    <w:rsid w:val="00C86E6D"/>
    <w:pPr>
      <w:spacing w:line="360" w:lineRule="auto"/>
      <w:outlineLvl w:val="1"/>
    </w:pPr>
    <w:rPr>
      <w:szCs w:val="26"/>
    </w:rPr>
  </w:style>
  <w:style w:type="paragraph" w:styleId="Ttulo3">
    <w:name w:val="heading 3"/>
    <w:basedOn w:val="Ttulo2"/>
    <w:next w:val="Normal"/>
    <w:link w:val="Ttulo3Char"/>
    <w:unhideWhenUsed/>
    <w:qFormat/>
    <w:rsid w:val="007C6A6B"/>
    <w:pPr>
      <w:outlineLvl w:val="2"/>
    </w:pPr>
  </w:style>
  <w:style w:type="paragraph" w:styleId="Ttulo4">
    <w:name w:val="heading 4"/>
    <w:basedOn w:val="Normal"/>
    <w:next w:val="Normal"/>
    <w:link w:val="Ttulo4Char"/>
    <w:unhideWhenUsed/>
    <w:qFormat/>
    <w:rsid w:val="002041C0"/>
    <w:pPr>
      <w:keepNext/>
      <w:keepLines/>
      <w:spacing w:line="240" w:lineRule="auto"/>
      <w:ind w:firstLine="0"/>
      <w:outlineLvl w:val="3"/>
    </w:pPr>
    <w:rPr>
      <w:rFonts w:eastAsiaTheme="majorEastAsia" w:cstheme="majorBidi"/>
      <w:iCs/>
    </w:rPr>
  </w:style>
  <w:style w:type="paragraph" w:styleId="Ttulo5">
    <w:name w:val="heading 5"/>
    <w:basedOn w:val="Normal"/>
    <w:next w:val="Normal"/>
    <w:link w:val="Ttulo5Char"/>
    <w:qFormat/>
    <w:rsid w:val="00586A8F"/>
    <w:pPr>
      <w:keepNext/>
      <w:ind w:firstLine="4678"/>
      <w:jc w:val="center"/>
      <w:outlineLvl w:val="4"/>
    </w:pPr>
    <w:rPr>
      <w:rFonts w:cs="Arial"/>
      <w:b/>
    </w:rPr>
  </w:style>
  <w:style w:type="paragraph" w:styleId="Ttulo6">
    <w:name w:val="heading 6"/>
    <w:basedOn w:val="Normal"/>
    <w:next w:val="Pargrafo"/>
    <w:link w:val="Ttulo6Char"/>
    <w:qFormat/>
    <w:rsid w:val="00A95599"/>
    <w:pPr>
      <w:widowControl w:val="0"/>
      <w:spacing w:after="480"/>
      <w:jc w:val="center"/>
      <w:outlineLvl w:val="5"/>
    </w:pPr>
    <w:rPr>
      <w:rFonts w:cs="Arial"/>
      <w:b/>
      <w:caps/>
      <w:szCs w:val="20"/>
      <w:lang w:eastAsia="pt-BR"/>
    </w:rPr>
  </w:style>
  <w:style w:type="paragraph" w:styleId="Ttulo9">
    <w:name w:val="heading 9"/>
    <w:basedOn w:val="Normal"/>
    <w:next w:val="Normal"/>
    <w:link w:val="Ttulo9Char"/>
    <w:qFormat/>
    <w:rsid w:val="00A95599"/>
    <w:pPr>
      <w:keepNext/>
      <w:jc w:val="center"/>
      <w:outlineLvl w:val="8"/>
    </w:pPr>
    <w:rPr>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0F223F"/>
    <w:rPr>
      <w:rFonts w:ascii="Arial" w:eastAsiaTheme="majorEastAsia" w:hAnsi="Arial" w:cstheme="majorBidi"/>
      <w:b/>
      <w:sz w:val="24"/>
      <w:szCs w:val="32"/>
      <w:lang w:eastAsia="zh-CN"/>
    </w:rPr>
  </w:style>
  <w:style w:type="character" w:customStyle="1" w:styleId="Ttulo2Char">
    <w:name w:val="Título 2 Char"/>
    <w:basedOn w:val="Fontepargpadro"/>
    <w:link w:val="Ttulo2"/>
    <w:rsid w:val="00C86E6D"/>
    <w:rPr>
      <w:rFonts w:ascii="Arial" w:eastAsiaTheme="majorEastAsia" w:hAnsi="Arial" w:cstheme="majorBidi"/>
      <w:b/>
      <w:sz w:val="24"/>
      <w:szCs w:val="26"/>
      <w:lang w:eastAsia="zh-CN"/>
    </w:rPr>
  </w:style>
  <w:style w:type="character" w:customStyle="1" w:styleId="Ttulo3Char">
    <w:name w:val="Título 3 Char"/>
    <w:basedOn w:val="Fontepargpadro"/>
    <w:link w:val="Ttulo3"/>
    <w:rsid w:val="007C6A6B"/>
    <w:rPr>
      <w:rFonts w:ascii="Arial" w:eastAsiaTheme="majorEastAsia" w:hAnsi="Arial" w:cstheme="majorBidi"/>
      <w:b/>
      <w:sz w:val="24"/>
      <w:szCs w:val="26"/>
      <w:lang w:eastAsia="zh-CN"/>
    </w:rPr>
  </w:style>
  <w:style w:type="character" w:customStyle="1" w:styleId="Ttulo4Char">
    <w:name w:val="Título 4 Char"/>
    <w:basedOn w:val="Fontepargpadro"/>
    <w:link w:val="Ttulo4"/>
    <w:rsid w:val="002041C0"/>
    <w:rPr>
      <w:rFonts w:ascii="Arial" w:eastAsiaTheme="majorEastAsia" w:hAnsi="Arial" w:cstheme="majorBidi"/>
      <w:iCs/>
      <w:sz w:val="24"/>
      <w:szCs w:val="24"/>
      <w:lang w:eastAsia="zh-CN"/>
    </w:rPr>
  </w:style>
  <w:style w:type="character" w:customStyle="1" w:styleId="Ttulo5Char">
    <w:name w:val="Título 5 Char"/>
    <w:basedOn w:val="Fontepargpadro"/>
    <w:link w:val="Ttulo5"/>
    <w:rsid w:val="00586A8F"/>
    <w:rPr>
      <w:rFonts w:ascii="Arial" w:eastAsia="Times New Roman" w:hAnsi="Arial" w:cs="Arial"/>
      <w:b/>
      <w:sz w:val="24"/>
      <w:szCs w:val="24"/>
      <w:lang w:eastAsia="zh-CN"/>
    </w:rPr>
  </w:style>
  <w:style w:type="paragraph" w:customStyle="1" w:styleId="Pargrafo">
    <w:name w:val="Parágrafo"/>
    <w:basedOn w:val="Normal"/>
    <w:rsid w:val="000F223F"/>
    <w:pPr>
      <w:widowControl w:val="0"/>
      <w:tabs>
        <w:tab w:val="left" w:pos="1701"/>
      </w:tabs>
      <w:spacing w:line="480" w:lineRule="auto"/>
      <w:ind w:firstLine="1701"/>
    </w:pPr>
    <w:rPr>
      <w:rFonts w:cs="Arial"/>
      <w:szCs w:val="20"/>
      <w:lang w:eastAsia="pt-BR"/>
    </w:rPr>
  </w:style>
  <w:style w:type="character" w:customStyle="1" w:styleId="Ttulo6Char">
    <w:name w:val="Título 6 Char"/>
    <w:basedOn w:val="Fontepargpadro"/>
    <w:link w:val="Ttulo6"/>
    <w:rsid w:val="00A95599"/>
    <w:rPr>
      <w:rFonts w:ascii="Arial" w:eastAsia="Times New Roman" w:hAnsi="Arial" w:cs="Arial"/>
      <w:b/>
      <w:caps/>
      <w:sz w:val="24"/>
      <w:szCs w:val="20"/>
      <w:lang w:eastAsia="pt-BR"/>
    </w:rPr>
  </w:style>
  <w:style w:type="character" w:customStyle="1" w:styleId="Ttulo9Char">
    <w:name w:val="Título 9 Char"/>
    <w:basedOn w:val="Fontepargpadro"/>
    <w:link w:val="Ttulo9"/>
    <w:rsid w:val="00A95599"/>
    <w:rPr>
      <w:rFonts w:ascii="Arial" w:eastAsia="Times New Roman" w:hAnsi="Arial" w:cs="Times New Roman"/>
      <w:b/>
      <w:bCs/>
      <w:sz w:val="24"/>
      <w:szCs w:val="20"/>
      <w:lang w:eastAsia="zh-CN"/>
    </w:rPr>
  </w:style>
  <w:style w:type="paragraph" w:customStyle="1" w:styleId="NomedoAutoreCurso">
    <w:name w:val="Nome do Autor e Curso"/>
    <w:basedOn w:val="Normal"/>
    <w:rsid w:val="00586A8F"/>
    <w:pPr>
      <w:widowControl w:val="0"/>
      <w:jc w:val="center"/>
    </w:pPr>
    <w:rPr>
      <w:rFonts w:cs="Arial"/>
      <w:caps/>
      <w:sz w:val="28"/>
      <w:szCs w:val="20"/>
      <w:lang w:eastAsia="pt-BR"/>
    </w:rPr>
  </w:style>
  <w:style w:type="paragraph" w:customStyle="1" w:styleId="TtulodoTrabalho">
    <w:name w:val="Título do Trabalho"/>
    <w:basedOn w:val="Normal"/>
    <w:next w:val="Normal"/>
    <w:rsid w:val="00586A8F"/>
    <w:pPr>
      <w:widowControl w:val="0"/>
      <w:jc w:val="center"/>
    </w:pPr>
    <w:rPr>
      <w:rFonts w:cs="Arial"/>
      <w:b/>
      <w:caps/>
      <w:sz w:val="32"/>
      <w:szCs w:val="20"/>
      <w:lang w:eastAsia="pt-BR"/>
    </w:rPr>
  </w:style>
  <w:style w:type="paragraph" w:customStyle="1" w:styleId="NaturezadoTrabalho">
    <w:name w:val="Natureza do Trabalho"/>
    <w:basedOn w:val="Normal"/>
    <w:rsid w:val="00586A8F"/>
    <w:pPr>
      <w:widowControl w:val="0"/>
      <w:ind w:left="3969" w:firstLine="0"/>
    </w:pPr>
    <w:rPr>
      <w:rFonts w:cs="Arial"/>
      <w:sz w:val="20"/>
      <w:szCs w:val="20"/>
      <w:lang w:eastAsia="pt-BR"/>
    </w:rPr>
  </w:style>
  <w:style w:type="paragraph" w:customStyle="1" w:styleId="LocaleAnodeEntrega">
    <w:name w:val="Local e Ano de Entrega"/>
    <w:basedOn w:val="Normal"/>
    <w:rsid w:val="00586A8F"/>
    <w:pPr>
      <w:widowControl w:val="0"/>
      <w:jc w:val="center"/>
    </w:pPr>
    <w:rPr>
      <w:rFonts w:cs="Arial"/>
      <w:szCs w:val="20"/>
      <w:lang w:eastAsia="pt-BR"/>
    </w:rPr>
  </w:style>
  <w:style w:type="paragraph" w:customStyle="1" w:styleId="Orientador">
    <w:name w:val="Orientador"/>
    <w:basedOn w:val="Normal"/>
    <w:rsid w:val="00586A8F"/>
    <w:pPr>
      <w:widowControl w:val="0"/>
      <w:jc w:val="right"/>
    </w:pPr>
    <w:rPr>
      <w:rFonts w:cs="Arial"/>
      <w:szCs w:val="20"/>
      <w:lang w:eastAsia="pt-BR"/>
    </w:rPr>
  </w:style>
  <w:style w:type="paragraph" w:customStyle="1" w:styleId="Texto-Resumo">
    <w:name w:val="Texto - Resumo"/>
    <w:basedOn w:val="Normal"/>
    <w:rsid w:val="00586A8F"/>
    <w:pPr>
      <w:widowControl w:val="0"/>
      <w:spacing w:after="480"/>
    </w:pPr>
    <w:rPr>
      <w:rFonts w:cs="Arial"/>
      <w:szCs w:val="20"/>
      <w:lang w:eastAsia="pt-BR"/>
    </w:rPr>
  </w:style>
  <w:style w:type="paragraph" w:customStyle="1" w:styleId="Resumo-Texto">
    <w:name w:val="Resumo - Texto"/>
    <w:basedOn w:val="Normal"/>
    <w:rsid w:val="00586A8F"/>
    <w:pPr>
      <w:widowControl w:val="0"/>
      <w:spacing w:after="480" w:line="240" w:lineRule="auto"/>
      <w:ind w:firstLine="0"/>
    </w:pPr>
    <w:rPr>
      <w:rFonts w:cs="Arial"/>
      <w:szCs w:val="20"/>
      <w:lang w:eastAsia="pt-BR"/>
    </w:rPr>
  </w:style>
  <w:style w:type="paragraph" w:styleId="Sumrio1">
    <w:name w:val="toc 1"/>
    <w:basedOn w:val="Normal"/>
    <w:next w:val="Normal"/>
    <w:autoRedefine/>
    <w:uiPriority w:val="39"/>
    <w:unhideWhenUsed/>
    <w:rsid w:val="00D9182D"/>
    <w:pPr>
      <w:tabs>
        <w:tab w:val="right" w:leader="dot" w:pos="9061"/>
      </w:tabs>
      <w:spacing w:line="240" w:lineRule="auto"/>
      <w:ind w:firstLine="0"/>
    </w:pPr>
    <w:rPr>
      <w:b/>
      <w:noProof/>
    </w:rPr>
  </w:style>
  <w:style w:type="paragraph" w:styleId="Textodenotaderodap">
    <w:name w:val="footnote text"/>
    <w:basedOn w:val="Normal"/>
    <w:link w:val="TextodenotaderodapChar"/>
    <w:uiPriority w:val="99"/>
    <w:unhideWhenUsed/>
    <w:rsid w:val="000F223F"/>
    <w:pPr>
      <w:suppressAutoHyphens w:val="0"/>
      <w:spacing w:line="240" w:lineRule="auto"/>
      <w:ind w:firstLine="0"/>
      <w:jc w:val="left"/>
    </w:pPr>
    <w:rPr>
      <w:rFonts w:ascii="Calibri" w:eastAsia="Calibri" w:hAnsi="Calibri"/>
      <w:sz w:val="20"/>
      <w:szCs w:val="20"/>
      <w:lang w:eastAsia="en-US"/>
    </w:rPr>
  </w:style>
  <w:style w:type="character" w:customStyle="1" w:styleId="TextodenotaderodapChar">
    <w:name w:val="Texto de nota de rodapé Char"/>
    <w:basedOn w:val="Fontepargpadro"/>
    <w:link w:val="Textodenotaderodap"/>
    <w:uiPriority w:val="99"/>
    <w:rsid w:val="000F223F"/>
    <w:rPr>
      <w:rFonts w:ascii="Calibri" w:eastAsia="Calibri" w:hAnsi="Calibri" w:cs="Times New Roman"/>
      <w:sz w:val="20"/>
      <w:szCs w:val="20"/>
    </w:rPr>
  </w:style>
  <w:style w:type="character" w:styleId="Refdenotaderodap">
    <w:name w:val="footnote reference"/>
    <w:uiPriority w:val="99"/>
    <w:unhideWhenUsed/>
    <w:rsid w:val="000F223F"/>
    <w:rPr>
      <w:vertAlign w:val="superscript"/>
    </w:rPr>
  </w:style>
  <w:style w:type="paragraph" w:styleId="Cabealho">
    <w:name w:val="header"/>
    <w:basedOn w:val="Normal"/>
    <w:link w:val="CabealhoChar"/>
    <w:uiPriority w:val="99"/>
    <w:unhideWhenUsed/>
    <w:rsid w:val="00D53DE3"/>
    <w:pPr>
      <w:tabs>
        <w:tab w:val="center" w:pos="4252"/>
        <w:tab w:val="right" w:pos="8504"/>
      </w:tabs>
      <w:spacing w:line="240" w:lineRule="auto"/>
    </w:pPr>
  </w:style>
  <w:style w:type="character" w:customStyle="1" w:styleId="CabealhoChar">
    <w:name w:val="Cabeçalho Char"/>
    <w:basedOn w:val="Fontepargpadro"/>
    <w:link w:val="Cabealho"/>
    <w:uiPriority w:val="99"/>
    <w:rsid w:val="00D53DE3"/>
    <w:rPr>
      <w:rFonts w:ascii="Arial" w:eastAsia="Times New Roman" w:hAnsi="Arial" w:cs="Times New Roman"/>
      <w:sz w:val="24"/>
      <w:szCs w:val="24"/>
      <w:lang w:eastAsia="zh-CN"/>
    </w:rPr>
  </w:style>
  <w:style w:type="paragraph" w:styleId="Rodap">
    <w:name w:val="footer"/>
    <w:basedOn w:val="Normal"/>
    <w:link w:val="RodapChar"/>
    <w:unhideWhenUsed/>
    <w:rsid w:val="00D53DE3"/>
    <w:pPr>
      <w:tabs>
        <w:tab w:val="center" w:pos="4252"/>
        <w:tab w:val="right" w:pos="8504"/>
      </w:tabs>
      <w:spacing w:line="240" w:lineRule="auto"/>
    </w:pPr>
  </w:style>
  <w:style w:type="character" w:customStyle="1" w:styleId="RodapChar">
    <w:name w:val="Rodapé Char"/>
    <w:basedOn w:val="Fontepargpadro"/>
    <w:link w:val="Rodap"/>
    <w:rsid w:val="00D53DE3"/>
    <w:rPr>
      <w:rFonts w:ascii="Arial" w:eastAsia="Times New Roman" w:hAnsi="Arial" w:cs="Times New Roman"/>
      <w:sz w:val="24"/>
      <w:szCs w:val="24"/>
      <w:lang w:eastAsia="zh-CN"/>
    </w:rPr>
  </w:style>
  <w:style w:type="paragraph" w:styleId="PargrafodaLista">
    <w:name w:val="List Paragraph"/>
    <w:basedOn w:val="Normal"/>
    <w:uiPriority w:val="34"/>
    <w:qFormat/>
    <w:rsid w:val="0032546D"/>
    <w:pPr>
      <w:ind w:left="720"/>
      <w:contextualSpacing/>
    </w:pPr>
  </w:style>
  <w:style w:type="paragraph" w:styleId="Citao">
    <w:name w:val="Quote"/>
    <w:basedOn w:val="Normal"/>
    <w:next w:val="Normal"/>
    <w:link w:val="CitaoChar"/>
    <w:uiPriority w:val="29"/>
    <w:qFormat/>
    <w:rsid w:val="00BE3B81"/>
    <w:pPr>
      <w:spacing w:before="30" w:after="30" w:line="240" w:lineRule="auto"/>
      <w:ind w:left="2268" w:firstLine="0"/>
    </w:pPr>
    <w:rPr>
      <w:iCs/>
      <w:sz w:val="20"/>
    </w:rPr>
  </w:style>
  <w:style w:type="character" w:customStyle="1" w:styleId="CitaoChar">
    <w:name w:val="Citação Char"/>
    <w:basedOn w:val="Fontepargpadro"/>
    <w:link w:val="Citao"/>
    <w:uiPriority w:val="29"/>
    <w:rsid w:val="00BE3B81"/>
    <w:rPr>
      <w:rFonts w:ascii="Arial" w:eastAsia="Times New Roman" w:hAnsi="Arial" w:cs="Times New Roman"/>
      <w:iCs/>
      <w:sz w:val="20"/>
      <w:szCs w:val="24"/>
      <w:lang w:eastAsia="zh-CN"/>
    </w:rPr>
  </w:style>
  <w:style w:type="character" w:styleId="nfaseSutil">
    <w:name w:val="Subtle Emphasis"/>
    <w:basedOn w:val="Fontepargpadro"/>
    <w:uiPriority w:val="19"/>
    <w:qFormat/>
    <w:rsid w:val="007C6A6B"/>
    <w:rPr>
      <w:rFonts w:ascii="Arial" w:hAnsi="Arial"/>
      <w:i w:val="0"/>
      <w:iCs/>
      <w:color w:val="auto"/>
      <w:sz w:val="24"/>
      <w:lang w:val="en-US"/>
    </w:rPr>
  </w:style>
  <w:style w:type="paragraph" w:styleId="Legenda">
    <w:name w:val="caption"/>
    <w:basedOn w:val="Normal"/>
    <w:next w:val="Normal"/>
    <w:unhideWhenUsed/>
    <w:qFormat/>
    <w:rsid w:val="002041C0"/>
    <w:pPr>
      <w:spacing w:after="200" w:line="240" w:lineRule="auto"/>
    </w:pPr>
    <w:rPr>
      <w:i/>
      <w:iCs/>
      <w:color w:val="44546A" w:themeColor="text2"/>
      <w:sz w:val="18"/>
      <w:szCs w:val="18"/>
    </w:rPr>
  </w:style>
  <w:style w:type="paragraph" w:customStyle="1" w:styleId="QUADROSeTABELAS">
    <w:name w:val="QUADROS e TABELAS"/>
    <w:basedOn w:val="Ttulo4"/>
    <w:link w:val="QUADROSeTABELASChar"/>
    <w:qFormat/>
    <w:rsid w:val="00FD0F3E"/>
  </w:style>
  <w:style w:type="character" w:customStyle="1" w:styleId="QUADROSeTABELASChar">
    <w:name w:val="QUADROS e TABELAS Char"/>
    <w:basedOn w:val="Ttulo4Char"/>
    <w:link w:val="QUADROSeTABELAS"/>
    <w:rsid w:val="00FD0F3E"/>
    <w:rPr>
      <w:rFonts w:ascii="Arial" w:eastAsiaTheme="majorEastAsia" w:hAnsi="Arial" w:cstheme="majorBidi"/>
      <w:iCs/>
      <w:sz w:val="24"/>
      <w:szCs w:val="24"/>
      <w:lang w:eastAsia="zh-CN"/>
    </w:rPr>
  </w:style>
  <w:style w:type="paragraph" w:styleId="Sumrio2">
    <w:name w:val="toc 2"/>
    <w:basedOn w:val="Normal"/>
    <w:next w:val="Normal"/>
    <w:autoRedefine/>
    <w:uiPriority w:val="39"/>
    <w:unhideWhenUsed/>
    <w:rsid w:val="00D9182D"/>
    <w:pPr>
      <w:tabs>
        <w:tab w:val="right" w:leader="dot" w:pos="9061"/>
      </w:tabs>
      <w:spacing w:after="100"/>
      <w:ind w:firstLine="0"/>
    </w:pPr>
  </w:style>
  <w:style w:type="paragraph" w:styleId="Sumrio3">
    <w:name w:val="toc 3"/>
    <w:basedOn w:val="Normal"/>
    <w:next w:val="Normal"/>
    <w:autoRedefine/>
    <w:uiPriority w:val="39"/>
    <w:unhideWhenUsed/>
    <w:rsid w:val="00D9182D"/>
    <w:pPr>
      <w:tabs>
        <w:tab w:val="right" w:leader="dot" w:pos="9061"/>
      </w:tabs>
      <w:spacing w:after="100"/>
      <w:ind w:left="284" w:hanging="284"/>
    </w:pPr>
  </w:style>
  <w:style w:type="paragraph" w:styleId="Sumrio4">
    <w:name w:val="toc 4"/>
    <w:basedOn w:val="Normal"/>
    <w:next w:val="Normal"/>
    <w:autoRedefine/>
    <w:uiPriority w:val="39"/>
    <w:unhideWhenUsed/>
    <w:rsid w:val="00070A3D"/>
    <w:pPr>
      <w:spacing w:after="100"/>
      <w:ind w:left="720"/>
    </w:pPr>
  </w:style>
  <w:style w:type="character" w:styleId="Hyperlink">
    <w:name w:val="Hyperlink"/>
    <w:basedOn w:val="Fontepargpadro"/>
    <w:uiPriority w:val="99"/>
    <w:unhideWhenUsed/>
    <w:rsid w:val="00070A3D"/>
    <w:rPr>
      <w:color w:val="0563C1" w:themeColor="hyperlink"/>
      <w:u w:val="single"/>
    </w:rPr>
  </w:style>
  <w:style w:type="paragraph" w:styleId="CabealhodoSumrio">
    <w:name w:val="TOC Heading"/>
    <w:basedOn w:val="Ttulo1"/>
    <w:next w:val="Normal"/>
    <w:uiPriority w:val="39"/>
    <w:unhideWhenUsed/>
    <w:qFormat/>
    <w:rsid w:val="00070A3D"/>
    <w:pPr>
      <w:suppressAutoHyphens w:val="0"/>
      <w:spacing w:before="240" w:line="259" w:lineRule="auto"/>
      <w:jc w:val="left"/>
      <w:outlineLvl w:val="9"/>
    </w:pPr>
    <w:rPr>
      <w:rFonts w:asciiTheme="majorHAnsi" w:hAnsiTheme="majorHAnsi"/>
      <w:b w:val="0"/>
      <w:color w:val="2F5496" w:themeColor="accent1" w:themeShade="BF"/>
      <w:sz w:val="32"/>
      <w:lang w:eastAsia="pt-BR"/>
    </w:rPr>
  </w:style>
  <w:style w:type="paragraph" w:styleId="NormalWeb">
    <w:name w:val="Normal (Web)"/>
    <w:basedOn w:val="Normal"/>
    <w:uiPriority w:val="99"/>
    <w:unhideWhenUsed/>
    <w:rsid w:val="00952922"/>
    <w:pPr>
      <w:suppressAutoHyphens w:val="0"/>
      <w:spacing w:before="100" w:beforeAutospacing="1" w:after="100" w:afterAutospacing="1" w:line="240" w:lineRule="auto"/>
      <w:ind w:firstLine="0"/>
      <w:jc w:val="left"/>
    </w:pPr>
    <w:rPr>
      <w:rFonts w:ascii="Times New Roman" w:hAnsi="Times New Roman"/>
      <w:lang w:eastAsia="pt-BR"/>
    </w:rPr>
  </w:style>
  <w:style w:type="paragraph" w:customStyle="1" w:styleId="Referncias">
    <w:name w:val="Referências"/>
    <w:basedOn w:val="Normal"/>
    <w:link w:val="RefernciasChar"/>
    <w:qFormat/>
    <w:rsid w:val="008566E5"/>
    <w:pPr>
      <w:widowControl w:val="0"/>
      <w:autoSpaceDE w:val="0"/>
      <w:autoSpaceDN w:val="0"/>
      <w:adjustRightInd w:val="0"/>
      <w:spacing w:line="240" w:lineRule="auto"/>
      <w:ind w:firstLine="0"/>
      <w:jc w:val="left"/>
    </w:pPr>
    <w:rPr>
      <w:rFonts w:cs="Arial"/>
      <w:noProof/>
    </w:rPr>
  </w:style>
  <w:style w:type="character" w:customStyle="1" w:styleId="RefernciasChar">
    <w:name w:val="Referências Char"/>
    <w:basedOn w:val="Fontepargpadro"/>
    <w:link w:val="Referncias"/>
    <w:rsid w:val="008566E5"/>
    <w:rPr>
      <w:rFonts w:ascii="Arial" w:eastAsia="Times New Roman" w:hAnsi="Arial" w:cs="Arial"/>
      <w:noProof/>
      <w:sz w:val="24"/>
      <w:szCs w:val="24"/>
      <w:lang w:eastAsia="zh-CN"/>
    </w:rPr>
  </w:style>
  <w:style w:type="character" w:customStyle="1" w:styleId="WW8Num2z0">
    <w:name w:val="WW8Num2z0"/>
    <w:rsid w:val="00A95599"/>
    <w:rPr>
      <w:rFonts w:ascii="Symbol" w:hAnsi="Symbol" w:cs="Symbol"/>
    </w:rPr>
  </w:style>
  <w:style w:type="character" w:customStyle="1" w:styleId="WW8Num3z0">
    <w:name w:val="WW8Num3z0"/>
    <w:rsid w:val="00A95599"/>
    <w:rPr>
      <w:rFonts w:ascii="Arial" w:hAnsi="Arial" w:cs="Arial"/>
      <w:b w:val="0"/>
      <w:i w:val="0"/>
      <w:sz w:val="24"/>
    </w:rPr>
  </w:style>
  <w:style w:type="character" w:customStyle="1" w:styleId="Fontepargpadro1">
    <w:name w:val="Fonte parág. padrão1"/>
    <w:rsid w:val="00A95599"/>
  </w:style>
  <w:style w:type="character" w:styleId="Nmerodepgina">
    <w:name w:val="page number"/>
    <w:rsid w:val="00A95599"/>
  </w:style>
  <w:style w:type="character" w:customStyle="1" w:styleId="st">
    <w:name w:val="st"/>
    <w:rsid w:val="00A95599"/>
  </w:style>
  <w:style w:type="paragraph" w:customStyle="1" w:styleId="Ttulo10">
    <w:name w:val="Título1"/>
    <w:basedOn w:val="Normal"/>
    <w:next w:val="Corpodetexto"/>
    <w:rsid w:val="00A95599"/>
    <w:pPr>
      <w:keepNext/>
      <w:spacing w:before="240" w:after="120"/>
    </w:pPr>
    <w:rPr>
      <w:rFonts w:eastAsia="DejaVu Sans" w:cs="Lohit Hindi"/>
      <w:sz w:val="28"/>
      <w:szCs w:val="28"/>
    </w:rPr>
  </w:style>
  <w:style w:type="paragraph" w:styleId="Corpodetexto">
    <w:name w:val="Body Text"/>
    <w:basedOn w:val="Normal"/>
    <w:link w:val="CorpodetextoChar"/>
    <w:rsid w:val="00A95599"/>
    <w:rPr>
      <w:sz w:val="28"/>
      <w:szCs w:val="20"/>
    </w:rPr>
  </w:style>
  <w:style w:type="character" w:customStyle="1" w:styleId="CorpodetextoChar">
    <w:name w:val="Corpo de texto Char"/>
    <w:basedOn w:val="Fontepargpadro"/>
    <w:link w:val="Corpodetexto"/>
    <w:rsid w:val="00A95599"/>
    <w:rPr>
      <w:rFonts w:ascii="Arial" w:eastAsia="Times New Roman" w:hAnsi="Arial" w:cs="Times New Roman"/>
      <w:sz w:val="28"/>
      <w:szCs w:val="20"/>
      <w:lang w:eastAsia="zh-CN"/>
    </w:rPr>
  </w:style>
  <w:style w:type="paragraph" w:styleId="Lista">
    <w:name w:val="List"/>
    <w:basedOn w:val="Corpodetexto"/>
    <w:rsid w:val="00A95599"/>
    <w:rPr>
      <w:rFonts w:cs="Lohit Hindi"/>
    </w:rPr>
  </w:style>
  <w:style w:type="paragraph" w:customStyle="1" w:styleId="ndice">
    <w:name w:val="Índice"/>
    <w:basedOn w:val="Normal"/>
    <w:rsid w:val="00A95599"/>
    <w:pPr>
      <w:suppressLineNumbers/>
    </w:pPr>
    <w:rPr>
      <w:rFonts w:cs="Lohit Hindi"/>
    </w:rPr>
  </w:style>
  <w:style w:type="paragraph" w:styleId="Recuodecorpodetexto">
    <w:name w:val="Body Text Indent"/>
    <w:basedOn w:val="Normal"/>
    <w:link w:val="RecuodecorpodetextoChar"/>
    <w:rsid w:val="00A95599"/>
    <w:pPr>
      <w:ind w:left="426" w:hanging="426"/>
    </w:pPr>
    <w:rPr>
      <w:sz w:val="28"/>
      <w:szCs w:val="20"/>
    </w:rPr>
  </w:style>
  <w:style w:type="character" w:customStyle="1" w:styleId="RecuodecorpodetextoChar">
    <w:name w:val="Recuo de corpo de texto Char"/>
    <w:basedOn w:val="Fontepargpadro"/>
    <w:link w:val="Recuodecorpodetexto"/>
    <w:rsid w:val="00A95599"/>
    <w:rPr>
      <w:rFonts w:ascii="Arial" w:eastAsia="Times New Roman" w:hAnsi="Arial" w:cs="Times New Roman"/>
      <w:sz w:val="28"/>
      <w:szCs w:val="20"/>
      <w:lang w:eastAsia="zh-CN"/>
    </w:rPr>
  </w:style>
  <w:style w:type="paragraph" w:customStyle="1" w:styleId="SubttulodoTrabalho">
    <w:name w:val="Subtítulo do Trabalho"/>
    <w:basedOn w:val="Normal"/>
    <w:next w:val="Normal"/>
    <w:rsid w:val="00A95599"/>
    <w:pPr>
      <w:widowControl w:val="0"/>
      <w:jc w:val="center"/>
    </w:pPr>
    <w:rPr>
      <w:rFonts w:cs="Arial"/>
      <w:b/>
      <w:smallCaps/>
      <w:sz w:val="28"/>
      <w:szCs w:val="20"/>
      <w:lang w:eastAsia="pt-BR"/>
    </w:rPr>
  </w:style>
  <w:style w:type="paragraph" w:customStyle="1" w:styleId="Subalnea">
    <w:name w:val="Subalínea"/>
    <w:basedOn w:val="Normal"/>
    <w:rsid w:val="00A95599"/>
    <w:pPr>
      <w:widowControl w:val="0"/>
      <w:tabs>
        <w:tab w:val="num" w:pos="1209"/>
      </w:tabs>
      <w:spacing w:line="480" w:lineRule="auto"/>
      <w:ind w:left="1209" w:hanging="360"/>
    </w:pPr>
    <w:rPr>
      <w:rFonts w:cs="Arial"/>
      <w:szCs w:val="20"/>
      <w:lang w:eastAsia="pt-BR"/>
    </w:rPr>
  </w:style>
  <w:style w:type="paragraph" w:customStyle="1" w:styleId="MarcadorAlfabtico">
    <w:name w:val="Marcador Alfabético"/>
    <w:basedOn w:val="Subalnea"/>
    <w:rsid w:val="00A95599"/>
    <w:pPr>
      <w:tabs>
        <w:tab w:val="clear" w:pos="1209"/>
        <w:tab w:val="num" w:pos="2132"/>
      </w:tabs>
      <w:ind w:left="2132" w:hanging="431"/>
    </w:pPr>
  </w:style>
  <w:style w:type="paragraph" w:customStyle="1" w:styleId="Dedicatria">
    <w:name w:val="Dedicatória"/>
    <w:basedOn w:val="Normal"/>
    <w:rsid w:val="00A95599"/>
    <w:pPr>
      <w:widowControl w:val="0"/>
      <w:ind w:left="3969" w:firstLine="0"/>
      <w:jc w:val="right"/>
    </w:pPr>
    <w:rPr>
      <w:rFonts w:ascii="Comic Sans MS" w:hAnsi="Comic Sans MS" w:cs="Comic Sans MS"/>
      <w:szCs w:val="20"/>
      <w:lang w:eastAsia="pt-BR"/>
    </w:rPr>
  </w:style>
  <w:style w:type="paragraph" w:customStyle="1" w:styleId="Agradecimentos">
    <w:name w:val="Agradecimentos"/>
    <w:basedOn w:val="Normal"/>
    <w:rsid w:val="00A95599"/>
    <w:pPr>
      <w:widowControl w:val="0"/>
      <w:spacing w:after="120"/>
      <w:ind w:firstLine="1701"/>
    </w:pPr>
    <w:rPr>
      <w:rFonts w:cs="Arial"/>
      <w:szCs w:val="20"/>
      <w:lang w:eastAsia="pt-BR"/>
    </w:rPr>
  </w:style>
  <w:style w:type="paragraph" w:customStyle="1" w:styleId="Epgrafe">
    <w:name w:val="Epígrafe"/>
    <w:basedOn w:val="Normal"/>
    <w:rsid w:val="00A95599"/>
    <w:pPr>
      <w:widowControl w:val="0"/>
      <w:ind w:left="3969" w:firstLine="0"/>
    </w:pPr>
    <w:rPr>
      <w:rFonts w:cs="Arial"/>
      <w:szCs w:val="20"/>
      <w:lang w:eastAsia="pt-BR"/>
    </w:rPr>
  </w:style>
  <w:style w:type="paragraph" w:customStyle="1" w:styleId="Ttulo-Resumo">
    <w:name w:val="Título - Resumo"/>
    <w:basedOn w:val="Normal"/>
    <w:next w:val="Texto-Resumo"/>
    <w:rsid w:val="00A95599"/>
    <w:pPr>
      <w:widowControl w:val="0"/>
      <w:spacing w:before="360" w:after="960"/>
      <w:jc w:val="center"/>
    </w:pPr>
    <w:rPr>
      <w:rFonts w:cs="Arial"/>
      <w:b/>
      <w:szCs w:val="20"/>
      <w:lang w:eastAsia="pt-BR"/>
    </w:rPr>
  </w:style>
  <w:style w:type="paragraph" w:customStyle="1" w:styleId="Resumo-Ttulo">
    <w:name w:val="Resumo - Título"/>
    <w:basedOn w:val="Normal"/>
    <w:rsid w:val="00A95599"/>
    <w:pPr>
      <w:widowControl w:val="0"/>
      <w:spacing w:before="360" w:after="960"/>
      <w:jc w:val="center"/>
    </w:pPr>
    <w:rPr>
      <w:rFonts w:cs="Arial"/>
      <w:b/>
      <w:caps/>
      <w:lang w:eastAsia="pt-BR"/>
    </w:rPr>
  </w:style>
  <w:style w:type="paragraph" w:customStyle="1" w:styleId="Sumrio">
    <w:name w:val="Sumário"/>
    <w:basedOn w:val="Normal"/>
    <w:rsid w:val="00A95599"/>
    <w:pPr>
      <w:widowControl w:val="0"/>
      <w:tabs>
        <w:tab w:val="left" w:leader="dot" w:pos="8732"/>
      </w:tabs>
    </w:pPr>
    <w:rPr>
      <w:rFonts w:cs="Arial"/>
      <w:szCs w:val="20"/>
      <w:lang w:eastAsia="pt-BR"/>
    </w:rPr>
  </w:style>
  <w:style w:type="paragraph" w:customStyle="1" w:styleId="Legendas">
    <w:name w:val="Legendas"/>
    <w:basedOn w:val="Normal"/>
    <w:rsid w:val="00A95599"/>
    <w:pPr>
      <w:widowControl w:val="0"/>
      <w:spacing w:after="360"/>
    </w:pPr>
    <w:rPr>
      <w:rFonts w:cs="Arial"/>
      <w:sz w:val="20"/>
      <w:lang w:eastAsia="pt-BR"/>
    </w:rPr>
  </w:style>
  <w:style w:type="paragraph" w:customStyle="1" w:styleId="TituloApndiceeAnexo">
    <w:name w:val="Titulo Apêndice e Anexo"/>
    <w:basedOn w:val="Normal"/>
    <w:next w:val="Pargrafo"/>
    <w:rsid w:val="00A95599"/>
    <w:pPr>
      <w:widowControl w:val="0"/>
      <w:spacing w:after="480" w:line="480" w:lineRule="auto"/>
      <w:jc w:val="center"/>
    </w:pPr>
    <w:rPr>
      <w:rFonts w:cs="Arial"/>
      <w:szCs w:val="20"/>
      <w:lang w:eastAsia="pt-BR"/>
    </w:rPr>
  </w:style>
  <w:style w:type="paragraph" w:customStyle="1" w:styleId="Recuodecorpodetexto21">
    <w:name w:val="Recuo de corpo de texto 21"/>
    <w:basedOn w:val="Normal"/>
    <w:rsid w:val="00A95599"/>
    <w:pPr>
      <w:tabs>
        <w:tab w:val="left" w:pos="284"/>
        <w:tab w:val="left" w:pos="720"/>
        <w:tab w:val="left" w:pos="1985"/>
      </w:tabs>
      <w:ind w:firstLine="1701"/>
    </w:pPr>
    <w:rPr>
      <w:rFonts w:cs="Arial"/>
    </w:rPr>
  </w:style>
  <w:style w:type="paragraph" w:customStyle="1" w:styleId="Normal1">
    <w:name w:val="Normal1"/>
    <w:rsid w:val="00A95599"/>
    <w:pPr>
      <w:suppressAutoHyphens/>
      <w:autoSpaceDE w:val="0"/>
      <w:spacing w:after="0" w:line="240" w:lineRule="auto"/>
    </w:pPr>
    <w:rPr>
      <w:rFonts w:ascii="ILDOPA+TimesNewRoman" w:eastAsia="Times New Roman" w:hAnsi="ILDOPA+TimesNewRoman" w:cs="ILDOPA+TimesNewRoman"/>
      <w:color w:val="000000"/>
      <w:sz w:val="24"/>
      <w:szCs w:val="24"/>
      <w:lang w:eastAsia="zh-CN"/>
    </w:rPr>
  </w:style>
  <w:style w:type="paragraph" w:customStyle="1" w:styleId="Contedodatabela">
    <w:name w:val="Conteúdo da tabela"/>
    <w:basedOn w:val="Normal"/>
    <w:rsid w:val="00A95599"/>
    <w:pPr>
      <w:suppressLineNumbers/>
    </w:pPr>
  </w:style>
  <w:style w:type="paragraph" w:customStyle="1" w:styleId="Ttulodetabela">
    <w:name w:val="Título de tabela"/>
    <w:basedOn w:val="Contedodatabela"/>
    <w:rsid w:val="00A95599"/>
    <w:pPr>
      <w:jc w:val="center"/>
    </w:pPr>
    <w:rPr>
      <w:b/>
      <w:bCs/>
    </w:rPr>
  </w:style>
  <w:style w:type="paragraph" w:customStyle="1" w:styleId="Contedodoquadro">
    <w:name w:val="Conteúdo do quadro"/>
    <w:basedOn w:val="Corpodetexto"/>
    <w:rsid w:val="00A95599"/>
  </w:style>
  <w:style w:type="paragraph" w:customStyle="1" w:styleId="msonormal0">
    <w:name w:val="msonormal"/>
    <w:basedOn w:val="Normal"/>
    <w:rsid w:val="00A95599"/>
    <w:pPr>
      <w:suppressAutoHyphens w:val="0"/>
      <w:spacing w:before="100" w:beforeAutospacing="1" w:after="100" w:afterAutospacing="1" w:line="240" w:lineRule="auto"/>
      <w:ind w:firstLine="0"/>
      <w:jc w:val="left"/>
    </w:pPr>
    <w:rPr>
      <w:rFonts w:ascii="Times New Roman" w:hAnsi="Times New Roman"/>
      <w:lang w:eastAsia="pt-BR"/>
    </w:rPr>
  </w:style>
  <w:style w:type="paragraph" w:customStyle="1" w:styleId="xl68">
    <w:name w:val="xl68"/>
    <w:basedOn w:val="Normal"/>
    <w:rsid w:val="00A95599"/>
    <w:pPr>
      <w:suppressAutoHyphens w:val="0"/>
      <w:spacing w:before="100" w:beforeAutospacing="1" w:after="100" w:afterAutospacing="1" w:line="240" w:lineRule="auto"/>
      <w:ind w:firstLine="0"/>
      <w:jc w:val="center"/>
      <w:textAlignment w:val="center"/>
    </w:pPr>
    <w:rPr>
      <w:rFonts w:ascii="Times New Roman" w:hAnsi="Times New Roman"/>
      <w:lang w:eastAsia="pt-BR"/>
    </w:rPr>
  </w:style>
  <w:style w:type="paragraph" w:customStyle="1" w:styleId="xl69">
    <w:name w:val="xl69"/>
    <w:basedOn w:val="Normal"/>
    <w:rsid w:val="00A95599"/>
    <w:pPr>
      <w:pBdr>
        <w:bottom w:val="single" w:sz="4" w:space="0" w:color="auto"/>
      </w:pBdr>
      <w:suppressAutoHyphens w:val="0"/>
      <w:spacing w:before="100" w:beforeAutospacing="1" w:after="100" w:afterAutospacing="1" w:line="240" w:lineRule="auto"/>
      <w:ind w:firstLine="0"/>
      <w:jc w:val="center"/>
      <w:textAlignment w:val="center"/>
    </w:pPr>
    <w:rPr>
      <w:rFonts w:ascii="Times New Roman" w:hAnsi="Times New Roman"/>
      <w:lang w:eastAsia="pt-BR"/>
    </w:rPr>
  </w:style>
  <w:style w:type="paragraph" w:customStyle="1" w:styleId="xl70">
    <w:name w:val="xl70"/>
    <w:basedOn w:val="Normal"/>
    <w:rsid w:val="00A95599"/>
    <w:pPr>
      <w:pBdr>
        <w:top w:val="single" w:sz="4" w:space="0" w:color="auto"/>
        <w:bottom w:val="single" w:sz="4" w:space="0" w:color="auto"/>
      </w:pBdr>
      <w:suppressAutoHyphens w:val="0"/>
      <w:spacing w:before="100" w:beforeAutospacing="1" w:after="100" w:afterAutospacing="1" w:line="240" w:lineRule="auto"/>
      <w:ind w:firstLine="0"/>
      <w:jc w:val="center"/>
      <w:textAlignment w:val="center"/>
    </w:pPr>
    <w:rPr>
      <w:rFonts w:ascii="Times New Roman" w:hAnsi="Times New Roman"/>
      <w:lang w:eastAsia="pt-BR"/>
    </w:rPr>
  </w:style>
  <w:style w:type="paragraph" w:customStyle="1" w:styleId="xl71">
    <w:name w:val="xl71"/>
    <w:basedOn w:val="Normal"/>
    <w:rsid w:val="00A9559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ind w:firstLine="0"/>
      <w:jc w:val="center"/>
      <w:textAlignment w:val="center"/>
    </w:pPr>
    <w:rPr>
      <w:rFonts w:ascii="Times New Roman" w:hAnsi="Times New Roman"/>
      <w:lang w:eastAsia="pt-BR"/>
    </w:rPr>
  </w:style>
  <w:style w:type="paragraph" w:customStyle="1" w:styleId="xl72">
    <w:name w:val="xl72"/>
    <w:basedOn w:val="Normal"/>
    <w:rsid w:val="00A95599"/>
    <w:pPr>
      <w:suppressAutoHyphens w:val="0"/>
      <w:spacing w:before="100" w:beforeAutospacing="1" w:after="100" w:afterAutospacing="1" w:line="240" w:lineRule="auto"/>
      <w:ind w:firstLine="0"/>
      <w:jc w:val="left"/>
      <w:textAlignment w:val="center"/>
    </w:pPr>
    <w:rPr>
      <w:rFonts w:ascii="Times New Roman" w:hAnsi="Times New Roman"/>
      <w:lang w:eastAsia="pt-BR"/>
    </w:rPr>
  </w:style>
  <w:style w:type="paragraph" w:customStyle="1" w:styleId="xl73">
    <w:name w:val="xl73"/>
    <w:basedOn w:val="Normal"/>
    <w:rsid w:val="00A95599"/>
    <w:pPr>
      <w:suppressAutoHyphens w:val="0"/>
      <w:spacing w:before="100" w:beforeAutospacing="1" w:after="100" w:afterAutospacing="1" w:line="240" w:lineRule="auto"/>
      <w:ind w:firstLine="0"/>
      <w:jc w:val="left"/>
    </w:pPr>
    <w:rPr>
      <w:rFonts w:ascii="Times New Roman" w:hAnsi="Times New Roman"/>
      <w:lang w:eastAsia="pt-BR"/>
    </w:rPr>
  </w:style>
  <w:style w:type="paragraph" w:customStyle="1" w:styleId="xl74">
    <w:name w:val="xl74"/>
    <w:basedOn w:val="Normal"/>
    <w:rsid w:val="00A95599"/>
    <w:pPr>
      <w:pBdr>
        <w:bottom w:val="single" w:sz="4" w:space="0" w:color="auto"/>
      </w:pBdr>
      <w:suppressAutoHyphens w:val="0"/>
      <w:spacing w:before="100" w:beforeAutospacing="1" w:after="100" w:afterAutospacing="1" w:line="240" w:lineRule="auto"/>
      <w:ind w:firstLine="0"/>
      <w:jc w:val="left"/>
      <w:textAlignment w:val="center"/>
    </w:pPr>
    <w:rPr>
      <w:rFonts w:ascii="Times New Roman" w:hAnsi="Times New Roman"/>
      <w:lang w:eastAsia="pt-BR"/>
    </w:rPr>
  </w:style>
  <w:style w:type="paragraph" w:customStyle="1" w:styleId="xl75">
    <w:name w:val="xl75"/>
    <w:basedOn w:val="Normal"/>
    <w:rsid w:val="00A95599"/>
    <w:pPr>
      <w:pBdr>
        <w:top w:val="single" w:sz="4" w:space="0" w:color="auto"/>
        <w:bottom w:val="single" w:sz="4" w:space="0" w:color="auto"/>
      </w:pBdr>
      <w:suppressAutoHyphens w:val="0"/>
      <w:spacing w:before="100" w:beforeAutospacing="1" w:after="100" w:afterAutospacing="1" w:line="240" w:lineRule="auto"/>
      <w:ind w:firstLine="0"/>
      <w:jc w:val="left"/>
      <w:textAlignment w:val="center"/>
    </w:pPr>
    <w:rPr>
      <w:rFonts w:ascii="Times New Roman" w:hAnsi="Times New Roman"/>
      <w:lang w:eastAsia="pt-BR"/>
    </w:rPr>
  </w:style>
  <w:style w:type="character" w:styleId="Forte">
    <w:name w:val="Strong"/>
    <w:uiPriority w:val="22"/>
    <w:qFormat/>
    <w:rsid w:val="00A95599"/>
    <w:rPr>
      <w:b/>
      <w:bCs/>
    </w:rPr>
  </w:style>
  <w:style w:type="paragraph" w:customStyle="1" w:styleId="bodytext">
    <w:name w:val="bodytext"/>
    <w:basedOn w:val="Normal"/>
    <w:rsid w:val="00A95599"/>
    <w:pPr>
      <w:suppressAutoHyphens w:val="0"/>
      <w:spacing w:before="100" w:beforeAutospacing="1" w:after="100" w:afterAutospacing="1" w:line="240" w:lineRule="auto"/>
      <w:ind w:firstLine="0"/>
      <w:jc w:val="left"/>
    </w:pPr>
    <w:rPr>
      <w:rFonts w:ascii="Times New Roman" w:hAnsi="Times New Roman"/>
      <w:lang w:eastAsia="pt-BR"/>
    </w:rPr>
  </w:style>
  <w:style w:type="paragraph" w:customStyle="1" w:styleId="inline">
    <w:name w:val="inline"/>
    <w:basedOn w:val="Normal"/>
    <w:rsid w:val="00A95599"/>
    <w:pPr>
      <w:suppressAutoHyphens w:val="0"/>
      <w:spacing w:before="100" w:beforeAutospacing="1" w:after="100" w:afterAutospacing="1" w:line="240" w:lineRule="auto"/>
      <w:ind w:firstLine="0"/>
      <w:jc w:val="left"/>
    </w:pPr>
    <w:rPr>
      <w:rFonts w:ascii="Times New Roman" w:hAnsi="Times New Roman"/>
      <w:lang w:eastAsia="pt-BR"/>
    </w:rPr>
  </w:style>
  <w:style w:type="character" w:customStyle="1" w:styleId="TextodebaloChar">
    <w:name w:val="Texto de balão Char"/>
    <w:basedOn w:val="Fontepargpadro"/>
    <w:link w:val="Textodebalo"/>
    <w:uiPriority w:val="99"/>
    <w:semiHidden/>
    <w:rsid w:val="00A95599"/>
    <w:rPr>
      <w:rFonts w:ascii="Tahoma" w:eastAsia="Times New Roman" w:hAnsi="Tahoma" w:cs="Tahoma"/>
      <w:sz w:val="16"/>
      <w:szCs w:val="16"/>
      <w:lang w:eastAsia="zh-CN"/>
    </w:rPr>
  </w:style>
  <w:style w:type="paragraph" w:styleId="Textodebalo">
    <w:name w:val="Balloon Text"/>
    <w:basedOn w:val="Normal"/>
    <w:link w:val="TextodebaloChar"/>
    <w:uiPriority w:val="99"/>
    <w:semiHidden/>
    <w:unhideWhenUsed/>
    <w:rsid w:val="00A95599"/>
    <w:pPr>
      <w:spacing w:line="240" w:lineRule="auto"/>
    </w:pPr>
    <w:rPr>
      <w:rFonts w:ascii="Tahoma" w:hAnsi="Tahoma" w:cs="Tahoma"/>
      <w:sz w:val="16"/>
      <w:szCs w:val="16"/>
    </w:rPr>
  </w:style>
  <w:style w:type="table" w:styleId="Tabelacomgrade">
    <w:name w:val="Table Grid"/>
    <w:basedOn w:val="Tabelanormal"/>
    <w:uiPriority w:val="39"/>
    <w:rsid w:val="0094069C"/>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uiPriority w:val="99"/>
    <w:semiHidden/>
    <w:unhideWhenUsed/>
    <w:rsid w:val="0094069C"/>
    <w:rPr>
      <w:color w:val="954F72"/>
      <w:u w:val="single"/>
    </w:rPr>
  </w:style>
  <w:style w:type="character" w:customStyle="1" w:styleId="MenoPendente1">
    <w:name w:val="Menção Pendente1"/>
    <w:uiPriority w:val="99"/>
    <w:semiHidden/>
    <w:unhideWhenUsed/>
    <w:rsid w:val="0094069C"/>
    <w:rPr>
      <w:color w:val="605E5C"/>
      <w:shd w:val="clear" w:color="auto" w:fill="E1DFDD"/>
    </w:rPr>
  </w:style>
  <w:style w:type="character" w:styleId="Refdenotadefim">
    <w:name w:val="endnote reference"/>
    <w:uiPriority w:val="99"/>
    <w:semiHidden/>
    <w:unhideWhenUsed/>
    <w:rsid w:val="0094069C"/>
    <w:rPr>
      <w:vertAlign w:val="superscript"/>
    </w:rPr>
  </w:style>
  <w:style w:type="character" w:customStyle="1" w:styleId="MenoPendente2">
    <w:name w:val="Menção Pendente2"/>
    <w:uiPriority w:val="99"/>
    <w:semiHidden/>
    <w:unhideWhenUsed/>
    <w:rsid w:val="0094069C"/>
    <w:rPr>
      <w:color w:val="605E5C"/>
      <w:shd w:val="clear" w:color="auto" w:fill="E1DFDD"/>
    </w:rPr>
  </w:style>
  <w:style w:type="character" w:styleId="TextodoEspaoReservado">
    <w:name w:val="Placeholder Text"/>
    <w:uiPriority w:val="99"/>
    <w:semiHidden/>
    <w:rsid w:val="0094069C"/>
    <w:rPr>
      <w:color w:val="808080"/>
    </w:rPr>
  </w:style>
  <w:style w:type="paragraph" w:customStyle="1" w:styleId="xl65">
    <w:name w:val="xl65"/>
    <w:basedOn w:val="Normal"/>
    <w:rsid w:val="0007109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sz w:val="18"/>
      <w:szCs w:val="18"/>
      <w:lang w:eastAsia="pt-BR"/>
    </w:rPr>
  </w:style>
  <w:style w:type="paragraph" w:customStyle="1" w:styleId="xl66">
    <w:name w:val="xl66"/>
    <w:basedOn w:val="Normal"/>
    <w:rsid w:val="0007109A"/>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sz w:val="18"/>
      <w:szCs w:val="18"/>
      <w:lang w:eastAsia="pt-BR"/>
    </w:rPr>
  </w:style>
  <w:style w:type="paragraph" w:customStyle="1" w:styleId="xl67">
    <w:name w:val="xl67"/>
    <w:basedOn w:val="Normal"/>
    <w:rsid w:val="0007109A"/>
    <w:pPr>
      <w:pBdr>
        <w:left w:val="single" w:sz="4" w:space="0" w:color="auto"/>
        <w:bottom w:val="single" w:sz="4" w:space="0" w:color="auto"/>
        <w:right w:val="single" w:sz="4" w:space="0" w:color="auto"/>
      </w:pBdr>
      <w:suppressAutoHyphens w:val="0"/>
      <w:spacing w:before="100" w:beforeAutospacing="1" w:after="100" w:afterAutospacing="1" w:line="240" w:lineRule="auto"/>
      <w:ind w:firstLine="0"/>
      <w:jc w:val="left"/>
    </w:pPr>
    <w:rPr>
      <w:rFonts w:ascii="Times New Roman" w:hAnsi="Times New Roman"/>
      <w:sz w:val="18"/>
      <w:szCs w:val="18"/>
      <w:lang w:eastAsia="pt-BR"/>
    </w:rPr>
  </w:style>
  <w:style w:type="paragraph" w:styleId="ndicedeilustraes">
    <w:name w:val="table of figures"/>
    <w:basedOn w:val="Normal"/>
    <w:next w:val="Normal"/>
    <w:uiPriority w:val="99"/>
    <w:unhideWhenUsed/>
    <w:rsid w:val="00215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2018155">
      <w:bodyDiv w:val="1"/>
      <w:marLeft w:val="0"/>
      <w:marRight w:val="0"/>
      <w:marTop w:val="0"/>
      <w:marBottom w:val="0"/>
      <w:divBdr>
        <w:top w:val="none" w:sz="0" w:space="0" w:color="auto"/>
        <w:left w:val="none" w:sz="0" w:space="0" w:color="auto"/>
        <w:bottom w:val="none" w:sz="0" w:space="0" w:color="auto"/>
        <w:right w:val="none" w:sz="0" w:space="0" w:color="auto"/>
      </w:divBdr>
    </w:div>
    <w:div w:id="191260328">
      <w:bodyDiv w:val="1"/>
      <w:marLeft w:val="0"/>
      <w:marRight w:val="0"/>
      <w:marTop w:val="0"/>
      <w:marBottom w:val="0"/>
      <w:divBdr>
        <w:top w:val="none" w:sz="0" w:space="0" w:color="auto"/>
        <w:left w:val="none" w:sz="0" w:space="0" w:color="auto"/>
        <w:bottom w:val="none" w:sz="0" w:space="0" w:color="auto"/>
        <w:right w:val="none" w:sz="0" w:space="0" w:color="auto"/>
      </w:divBdr>
    </w:div>
    <w:div w:id="536701507">
      <w:bodyDiv w:val="1"/>
      <w:marLeft w:val="0"/>
      <w:marRight w:val="0"/>
      <w:marTop w:val="0"/>
      <w:marBottom w:val="0"/>
      <w:divBdr>
        <w:top w:val="none" w:sz="0" w:space="0" w:color="auto"/>
        <w:left w:val="none" w:sz="0" w:space="0" w:color="auto"/>
        <w:bottom w:val="none" w:sz="0" w:space="0" w:color="auto"/>
        <w:right w:val="none" w:sz="0" w:space="0" w:color="auto"/>
      </w:divBdr>
    </w:div>
    <w:div w:id="604508696">
      <w:bodyDiv w:val="1"/>
      <w:marLeft w:val="0"/>
      <w:marRight w:val="0"/>
      <w:marTop w:val="0"/>
      <w:marBottom w:val="0"/>
      <w:divBdr>
        <w:top w:val="none" w:sz="0" w:space="0" w:color="auto"/>
        <w:left w:val="none" w:sz="0" w:space="0" w:color="auto"/>
        <w:bottom w:val="none" w:sz="0" w:space="0" w:color="auto"/>
        <w:right w:val="none" w:sz="0" w:space="0" w:color="auto"/>
      </w:divBdr>
    </w:div>
    <w:div w:id="936407608">
      <w:bodyDiv w:val="1"/>
      <w:marLeft w:val="0"/>
      <w:marRight w:val="0"/>
      <w:marTop w:val="0"/>
      <w:marBottom w:val="0"/>
      <w:divBdr>
        <w:top w:val="none" w:sz="0" w:space="0" w:color="auto"/>
        <w:left w:val="none" w:sz="0" w:space="0" w:color="auto"/>
        <w:bottom w:val="none" w:sz="0" w:space="0" w:color="auto"/>
        <w:right w:val="none" w:sz="0" w:space="0" w:color="auto"/>
      </w:divBdr>
    </w:div>
    <w:div w:id="1278682314">
      <w:bodyDiv w:val="1"/>
      <w:marLeft w:val="0"/>
      <w:marRight w:val="0"/>
      <w:marTop w:val="0"/>
      <w:marBottom w:val="0"/>
      <w:divBdr>
        <w:top w:val="none" w:sz="0" w:space="0" w:color="auto"/>
        <w:left w:val="none" w:sz="0" w:space="0" w:color="auto"/>
        <w:bottom w:val="none" w:sz="0" w:space="0" w:color="auto"/>
        <w:right w:val="none" w:sz="0" w:space="0" w:color="auto"/>
      </w:divBdr>
    </w:div>
    <w:div w:id="1573851160">
      <w:bodyDiv w:val="1"/>
      <w:marLeft w:val="0"/>
      <w:marRight w:val="0"/>
      <w:marTop w:val="0"/>
      <w:marBottom w:val="0"/>
      <w:divBdr>
        <w:top w:val="none" w:sz="0" w:space="0" w:color="auto"/>
        <w:left w:val="none" w:sz="0" w:space="0" w:color="auto"/>
        <w:bottom w:val="none" w:sz="0" w:space="0" w:color="auto"/>
        <w:right w:val="none" w:sz="0" w:space="0" w:color="auto"/>
      </w:divBdr>
    </w:div>
    <w:div w:id="1664973117">
      <w:bodyDiv w:val="1"/>
      <w:marLeft w:val="0"/>
      <w:marRight w:val="0"/>
      <w:marTop w:val="0"/>
      <w:marBottom w:val="0"/>
      <w:divBdr>
        <w:top w:val="none" w:sz="0" w:space="0" w:color="auto"/>
        <w:left w:val="none" w:sz="0" w:space="0" w:color="auto"/>
        <w:bottom w:val="none" w:sz="0" w:space="0" w:color="auto"/>
        <w:right w:val="none" w:sz="0" w:space="0" w:color="auto"/>
      </w:divBdr>
    </w:div>
    <w:div w:id="1812357719">
      <w:bodyDiv w:val="1"/>
      <w:marLeft w:val="0"/>
      <w:marRight w:val="0"/>
      <w:marTop w:val="0"/>
      <w:marBottom w:val="0"/>
      <w:divBdr>
        <w:top w:val="none" w:sz="0" w:space="0" w:color="auto"/>
        <w:left w:val="none" w:sz="0" w:space="0" w:color="auto"/>
        <w:bottom w:val="none" w:sz="0" w:space="0" w:color="auto"/>
        <w:right w:val="none" w:sz="0" w:space="0" w:color="auto"/>
      </w:divBdr>
    </w:div>
    <w:div w:id="182276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y.trabalho@gmail.com" TargetMode="External"/><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jlparre@uem.br" TargetMode="External"/><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D:\DISSERTA&#199;&#195;O%20CHARLY%20CALDEIRA\Base%20de%20dados\diversifica&#231;&#227;o\&#225;rea%20por%20tipo%20de%20atividade%20Cerrado.dbf"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951099135863831"/>
          <c:y val="0.1017920532210702"/>
          <c:w val="0.78518446822054222"/>
          <c:h val="0.87510563654790718"/>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48BB-4593-AB1F-FD174EA323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48BB-4593-AB1F-FD174EA323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48BB-4593-AB1F-FD174EA323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48BB-4593-AB1F-FD174EA323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48BB-4593-AB1F-FD174EA323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48BB-4593-AB1F-FD174EA323A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48BB-4593-AB1F-FD174EA323A5}"/>
              </c:ext>
            </c:extLst>
          </c:dPt>
          <c:dLbls>
            <c:dLbl>
              <c:idx val="0"/>
              <c:layout>
                <c:manualLayout>
                  <c:x val="3.7096816386323825E-2"/>
                  <c:y val="7.3724695304176139E-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pt-BR"/>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8BB-4593-AB1F-FD174EA323A5}"/>
                </c:ext>
                <c:ext xmlns:c15="http://schemas.microsoft.com/office/drawing/2012/chart" uri="{CE6537A1-D6FC-4f65-9D91-7224C49458BB}"/>
              </c:extLst>
            </c:dLbl>
            <c:dLbl>
              <c:idx val="1"/>
              <c:layout>
                <c:manualLayout>
                  <c:x val="2.2957857012059633E-2"/>
                  <c:y val="5.814168030976327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pt-BR"/>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8BB-4593-AB1F-FD174EA323A5}"/>
                </c:ex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pt-BR"/>
                </a:p>
              </c:txPr>
              <c:dLblPos val="bestFit"/>
              <c:showLegendKey val="0"/>
              <c:showVal val="1"/>
              <c:showCatName val="1"/>
              <c:showSerName val="0"/>
              <c:showPercent val="0"/>
              <c:showBubbleSize val="0"/>
            </c:dLbl>
            <c:dLbl>
              <c:idx val="3"/>
              <c:layout>
                <c:manualLayout>
                  <c:x val="-0.14879840601320193"/>
                  <c:y val="-4.824666718640369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pt-BR"/>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48BB-4593-AB1F-FD174EA323A5}"/>
                </c:ext>
                <c:ext xmlns:c15="http://schemas.microsoft.com/office/drawing/2012/chart" uri="{CE6537A1-D6FC-4f65-9D91-7224C49458BB}"/>
              </c:extLst>
            </c:dLbl>
            <c:dLbl>
              <c:idx val="4"/>
              <c:layout>
                <c:manualLayout>
                  <c:x val="3.0082925680801502E-2"/>
                  <c:y val="-6.975156570775187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pt-BR"/>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48BB-4593-AB1F-FD174EA323A5}"/>
                </c:ext>
                <c:ext xmlns:c15="http://schemas.microsoft.com/office/drawing/2012/chart" uri="{CE6537A1-D6FC-4f65-9D91-7224C49458BB}"/>
              </c:extLst>
            </c:dLbl>
            <c:dLbl>
              <c:idx val="5"/>
              <c:layout>
                <c:manualLayout>
                  <c:x val="0.26107838264403005"/>
                  <c:y val="-7.5994386840258873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pt-BR"/>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48BB-4593-AB1F-FD174EA323A5}"/>
                </c:ext>
                <c:ext xmlns:c15="http://schemas.microsoft.com/office/drawing/2012/chart" uri="{CE6537A1-D6FC-4f65-9D91-7224C49458BB}">
                  <c15:layout>
                    <c:manualLayout>
                      <c:w val="0.27332217193781005"/>
                      <c:h val="9.0462046204620464E-2"/>
                    </c:manualLayout>
                  </c15:layout>
                </c:ext>
              </c:extLst>
            </c:dLbl>
            <c:dLbl>
              <c:idx val="6"/>
              <c:layout>
                <c:manualLayout>
                  <c:x val="0.13070151114831577"/>
                  <c:y val="-2.2354148800706842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pt-BR"/>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48BB-4593-AB1F-FD174EA323A5}"/>
                </c:ext>
                <c:ext xmlns:c15="http://schemas.microsoft.com/office/drawing/2012/chart" uri="{CE6537A1-D6FC-4f65-9D91-7224C49458BB}"/>
              </c:extLst>
            </c:dLbl>
            <c:spPr>
              <a:noFill/>
              <a:ln>
                <a:noFill/>
              </a:ln>
              <a:effectLst/>
            </c:sp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Planilha1!$D$7:$J$7</c:f>
              <c:strCache>
                <c:ptCount val="7"/>
                <c:pt idx="0">
                  <c:v>Lavouras (permanente, temporária e cultivo de flores)</c:v>
                </c:pt>
                <c:pt idx="1">
                  <c:v>Pastagens (naturais e plantadas)</c:v>
                </c:pt>
                <c:pt idx="2">
                  <c:v>Matas ou florestas destinadas à preservação permanente ou reserva legal</c:v>
                </c:pt>
                <c:pt idx="3">
                  <c:v>Matas ou florestas - matas e/ou florestas naturais</c:v>
                </c:pt>
                <c:pt idx="4">
                  <c:v>Matas ou florestas - florestas plantadas</c:v>
                </c:pt>
                <c:pt idx="5">
                  <c:v>Sistemas agroflorestais</c:v>
                </c:pt>
                <c:pt idx="6">
                  <c:v>outros</c:v>
                </c:pt>
              </c:strCache>
            </c:strRef>
          </c:cat>
          <c:val>
            <c:numRef>
              <c:f>Planilha1!$D$8:$J$8</c:f>
              <c:numCache>
                <c:formatCode>0%</c:formatCode>
                <c:ptCount val="7"/>
                <c:pt idx="0">
                  <c:v>0.1964358241787639</c:v>
                </c:pt>
                <c:pt idx="1">
                  <c:v>0.46479284755097366</c:v>
                </c:pt>
                <c:pt idx="2">
                  <c:v>0.21491893083611213</c:v>
                </c:pt>
                <c:pt idx="3">
                  <c:v>3.4794031137666354E-2</c:v>
                </c:pt>
                <c:pt idx="4">
                  <c:v>2.287668485367729E-2</c:v>
                </c:pt>
                <c:pt idx="5">
                  <c:v>3.1203292580036172E-2</c:v>
                </c:pt>
                <c:pt idx="6">
                  <c:v>3.0374082834881362E-2</c:v>
                </c:pt>
              </c:numCache>
            </c:numRef>
          </c:val>
          <c:extLst xmlns:c16r2="http://schemas.microsoft.com/office/drawing/2015/06/chart">
            <c:ext xmlns:c16="http://schemas.microsoft.com/office/drawing/2014/chart" uri="{C3380CC4-5D6E-409C-BE32-E72D297353CC}">
              <c16:uniqueId val="{0000000E-48BB-4593-AB1F-FD174EA323A5}"/>
            </c:ext>
          </c:extLst>
        </c:ser>
        <c:dLbls>
          <c:showLegendKey val="0"/>
          <c:showVal val="1"/>
          <c:showCatName val="0"/>
          <c:showSerName val="0"/>
          <c:showPercent val="0"/>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2">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FA8CB-C232-4AF1-8FE9-5FF6538FD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20</Pages>
  <Words>19428</Words>
  <Characters>104913</Characters>
  <Application>Microsoft Office Word</Application>
  <DocSecurity>0</DocSecurity>
  <Lines>874</Lines>
  <Paragraphs>248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124093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charly caldeira</dc:creator>
  <cp:lastModifiedBy>Usuario</cp:lastModifiedBy>
  <cp:revision>38</cp:revision>
  <cp:lastPrinted>2019-03-08T18:08:00Z</cp:lastPrinted>
  <dcterms:created xsi:type="dcterms:W3CDTF">2019-08-13T18:45:00Z</dcterms:created>
  <dcterms:modified xsi:type="dcterms:W3CDTF">2019-08-24T23:48:00Z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http://www.zotero.org/styles/associacao-brasileira-de-normas-tecnicas</vt:lpwstr>
  </property>
  <property fmtid="{D5CDD505-2E9C-101B-9397-08002B2CF9AE}" pid="9" name="Mendeley Recent Style Name 3_1">
    <vt:lpwstr>Associação Brasileira de Normas Técnicas (Portuguese - Brazil)</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http://www.zotero.org/styles/associacao-brasileira-de-normas-tecnicas-ipea</vt:lpwstr>
  </property>
  <property fmtid="{D5CDD505-2E9C-101B-9397-08002B2CF9AE}" pid="17" name="Mendeley Recent Style Name 7_1">
    <vt:lpwstr>Instituto de Pesquisa Econômica Aplicada - ABNT (Portuguese - Brazil)</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http://www.zotero.org/styles/associacao-brasileira-de-normas-tecnicas-ufpr</vt:lpwstr>
  </property>
  <property fmtid="{D5CDD505-2E9C-101B-9397-08002B2CF9AE}" pid="21" name="Mendeley Recent Style Name 9_1">
    <vt:lpwstr>Universidade Federal do Paraná - ABNT (Portuguese - Brazil)</vt:lpwstr>
  </property>
  <property fmtid="{D5CDD505-2E9C-101B-9397-08002B2CF9AE}" pid="22" name="Mendeley Document_1">
    <vt:lpwstr>True</vt:lpwstr>
  </property>
  <property fmtid="{D5CDD505-2E9C-101B-9397-08002B2CF9AE}" pid="23" name="Mendeley Unique User Id_1">
    <vt:lpwstr>dd5c3703-759f-3a10-a2b1-c10aea2be5d9</vt:lpwstr>
  </property>
  <property fmtid="{D5CDD505-2E9C-101B-9397-08002B2CF9AE}" pid="24" name="Mendeley Citation Style_1">
    <vt:lpwstr>http://www.zotero.org/styles/associacao-brasileira-de-normas-tecnicas</vt:lpwstr>
  </property>
</Properties>
</file>