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B08" w:rsidRPr="003B1656" w:rsidRDefault="007411E7" w:rsidP="003B1656">
      <w:pPr>
        <w:spacing w:line="360" w:lineRule="auto"/>
        <w:jc w:val="both"/>
        <w:rPr>
          <w:b/>
          <w:color w:val="000000" w:themeColor="text1"/>
          <w:lang w:val="es-ES"/>
        </w:rPr>
      </w:pPr>
      <w:r w:rsidRPr="003B1656">
        <w:rPr>
          <w:b/>
          <w:color w:val="000000" w:themeColor="text1"/>
          <w:lang w:val="es-ES"/>
        </w:rPr>
        <w:t>Reconfiguración del oligopolio mundial y cambio tecnológico frente a las tecnologías digitales: implicancias para las trayectorias de maquinaria agrícola en Argentina</w:t>
      </w:r>
      <w:r w:rsidR="00525B8F" w:rsidRPr="003B1656">
        <w:rPr>
          <w:rStyle w:val="Refdenotaalpie"/>
          <w:b/>
          <w:color w:val="000000" w:themeColor="text1"/>
          <w:lang w:val="es-ES"/>
        </w:rPr>
        <w:footnoteReference w:id="1"/>
      </w:r>
    </w:p>
    <w:p w:rsidR="00CD3BAC" w:rsidRDefault="00CD3BAC" w:rsidP="00CD3BAC">
      <w:pPr>
        <w:spacing w:line="360" w:lineRule="auto"/>
        <w:jc w:val="right"/>
        <w:rPr>
          <w:color w:val="000000" w:themeColor="text1"/>
          <w:lang w:val="es-ES"/>
        </w:rPr>
      </w:pPr>
      <w:r w:rsidRPr="00A40839">
        <w:rPr>
          <w:color w:val="000000" w:themeColor="text1"/>
          <w:lang w:val="es-ES"/>
        </w:rPr>
        <w:t>Damián Bil, Federico Langard, Pablo Lavarello, Regina Vidosa</w:t>
      </w:r>
    </w:p>
    <w:p w:rsidR="00CD3BAC" w:rsidRDefault="00CD3BAC" w:rsidP="00CD3BAC">
      <w:pPr>
        <w:spacing w:line="360" w:lineRule="auto"/>
        <w:jc w:val="both"/>
        <w:rPr>
          <w:color w:val="000000" w:themeColor="text1"/>
          <w:lang w:val="es-ES"/>
        </w:rPr>
      </w:pPr>
      <w:r w:rsidRPr="00460DD8">
        <w:rPr>
          <w:b/>
          <w:color w:val="000000" w:themeColor="text1"/>
          <w:lang w:val="es-ES"/>
        </w:rPr>
        <w:t>Eje temático</w:t>
      </w:r>
      <w:r>
        <w:rPr>
          <w:color w:val="000000" w:themeColor="text1"/>
          <w:lang w:val="es-ES"/>
        </w:rPr>
        <w:t xml:space="preserve">: </w:t>
      </w:r>
      <w:r w:rsidR="00460DD8">
        <w:rPr>
          <w:color w:val="000000" w:themeColor="text1"/>
          <w:lang w:val="es-ES"/>
        </w:rPr>
        <w:t>6</w:t>
      </w:r>
    </w:p>
    <w:p w:rsidR="00CD3BAC" w:rsidRDefault="00CD3BAC" w:rsidP="00CD3BAC">
      <w:pPr>
        <w:spacing w:line="360" w:lineRule="auto"/>
        <w:jc w:val="both"/>
        <w:rPr>
          <w:color w:val="000000" w:themeColor="text1"/>
          <w:lang w:val="es-ES"/>
        </w:rPr>
      </w:pPr>
      <w:r w:rsidRPr="00460DD8">
        <w:rPr>
          <w:b/>
          <w:color w:val="000000" w:themeColor="text1"/>
          <w:lang w:val="es-ES"/>
        </w:rPr>
        <w:t>Pertenencia institucional</w:t>
      </w:r>
      <w:r>
        <w:rPr>
          <w:color w:val="000000" w:themeColor="text1"/>
          <w:lang w:val="es-ES"/>
        </w:rPr>
        <w:t>:</w:t>
      </w:r>
      <w:r w:rsidRPr="00CD3BAC">
        <w:rPr>
          <w:color w:val="000000" w:themeColor="text1"/>
          <w:lang w:val="es-ES"/>
        </w:rPr>
        <w:t xml:space="preserve"> </w:t>
      </w:r>
      <w:r>
        <w:rPr>
          <w:color w:val="000000" w:themeColor="text1"/>
          <w:lang w:val="es-ES"/>
        </w:rPr>
        <w:t xml:space="preserve">CEUR </w:t>
      </w:r>
      <w:r>
        <w:rPr>
          <w:color w:val="000000" w:themeColor="text1"/>
          <w:lang w:val="es-ES"/>
        </w:rPr>
        <w:t>–</w:t>
      </w:r>
      <w:r>
        <w:rPr>
          <w:color w:val="000000" w:themeColor="text1"/>
          <w:lang w:val="es-ES"/>
        </w:rPr>
        <w:t xml:space="preserve"> CONICET</w:t>
      </w:r>
    </w:p>
    <w:p w:rsidR="00CD3BAC" w:rsidRPr="00A40839" w:rsidRDefault="00CD3BAC" w:rsidP="00CD3BAC">
      <w:pPr>
        <w:spacing w:line="360" w:lineRule="auto"/>
        <w:jc w:val="both"/>
        <w:rPr>
          <w:color w:val="000000" w:themeColor="text1"/>
          <w:lang w:val="es-ES"/>
        </w:rPr>
      </w:pPr>
      <w:r w:rsidRPr="00460DD8">
        <w:rPr>
          <w:b/>
          <w:color w:val="000000" w:themeColor="text1"/>
          <w:lang w:val="es-ES"/>
        </w:rPr>
        <w:t>Correos</w:t>
      </w:r>
      <w:r>
        <w:rPr>
          <w:color w:val="000000" w:themeColor="text1"/>
          <w:lang w:val="es-ES"/>
        </w:rPr>
        <w:t xml:space="preserve">: </w:t>
      </w:r>
      <w:bookmarkStart w:id="0" w:name="_GoBack"/>
      <w:r w:rsidRPr="00CD3BAC">
        <w:rPr>
          <w:color w:val="000000" w:themeColor="text1"/>
          <w:sz w:val="22"/>
          <w:lang w:val="es-ES"/>
        </w:rPr>
        <w:fldChar w:fldCharType="begin"/>
      </w:r>
      <w:r w:rsidRPr="00CD3BAC">
        <w:rPr>
          <w:color w:val="000000" w:themeColor="text1"/>
          <w:sz w:val="22"/>
          <w:lang w:val="es-ES"/>
        </w:rPr>
        <w:instrText xml:space="preserve"> HYPERLINK "mailto:damibil@gmail.com" </w:instrText>
      </w:r>
      <w:r w:rsidRPr="00CD3BAC">
        <w:rPr>
          <w:color w:val="000000" w:themeColor="text1"/>
          <w:sz w:val="22"/>
          <w:lang w:val="es-ES"/>
        </w:rPr>
        <w:fldChar w:fldCharType="separate"/>
      </w:r>
      <w:r w:rsidRPr="00CD3BAC">
        <w:rPr>
          <w:rStyle w:val="Hipervnculo"/>
          <w:sz w:val="22"/>
          <w:lang w:val="es-ES"/>
        </w:rPr>
        <w:t>damibil@gmail.com</w:t>
      </w:r>
      <w:r w:rsidRPr="00CD3BAC">
        <w:rPr>
          <w:color w:val="000000" w:themeColor="text1"/>
          <w:sz w:val="22"/>
          <w:lang w:val="es-ES"/>
        </w:rPr>
        <w:fldChar w:fldCharType="end"/>
      </w:r>
      <w:r w:rsidRPr="00CD3BAC">
        <w:rPr>
          <w:color w:val="000000" w:themeColor="text1"/>
          <w:sz w:val="22"/>
          <w:lang w:val="es-ES"/>
        </w:rPr>
        <w:t xml:space="preserve">, </w:t>
      </w:r>
      <w:hyperlink r:id="rId8" w:history="1">
        <w:r w:rsidRPr="00CD3BAC">
          <w:rPr>
            <w:rStyle w:val="Hipervnculo"/>
            <w:sz w:val="22"/>
            <w:lang w:val="es-ES"/>
          </w:rPr>
          <w:t>fedul76@gmail.com</w:t>
        </w:r>
      </w:hyperlink>
      <w:r w:rsidRPr="00CD3BAC">
        <w:rPr>
          <w:color w:val="000000" w:themeColor="text1"/>
          <w:sz w:val="22"/>
          <w:lang w:val="es-ES"/>
        </w:rPr>
        <w:t xml:space="preserve">, </w:t>
      </w:r>
      <w:hyperlink r:id="rId9" w:history="1">
        <w:r w:rsidRPr="00CD3BAC">
          <w:rPr>
            <w:rStyle w:val="Hipervnculo"/>
            <w:sz w:val="22"/>
            <w:lang w:val="es-ES"/>
          </w:rPr>
          <w:t>plavarel@gmail.com</w:t>
        </w:r>
      </w:hyperlink>
      <w:r w:rsidRPr="00CD3BAC">
        <w:rPr>
          <w:color w:val="000000" w:themeColor="text1"/>
          <w:sz w:val="22"/>
          <w:lang w:val="es-ES"/>
        </w:rPr>
        <w:t xml:space="preserve">, </w:t>
      </w:r>
      <w:hyperlink r:id="rId10" w:history="1">
        <w:r w:rsidRPr="00CD3BAC">
          <w:rPr>
            <w:rStyle w:val="Hipervnculo"/>
            <w:sz w:val="22"/>
            <w:lang w:val="es-ES"/>
          </w:rPr>
          <w:t>reginavidosa@gmail.com</w:t>
        </w:r>
      </w:hyperlink>
      <w:r>
        <w:rPr>
          <w:color w:val="000000" w:themeColor="text1"/>
          <w:lang w:val="es-ES"/>
        </w:rPr>
        <w:t xml:space="preserve"> </w:t>
      </w:r>
      <w:bookmarkEnd w:id="0"/>
    </w:p>
    <w:p w:rsidR="00CD3BAC" w:rsidRDefault="00CD3BAC" w:rsidP="00CD3BAC">
      <w:pPr>
        <w:spacing w:line="360" w:lineRule="auto"/>
        <w:rPr>
          <w:color w:val="000000" w:themeColor="text1"/>
          <w:lang w:val="es-ES"/>
        </w:rPr>
      </w:pPr>
    </w:p>
    <w:p w:rsidR="005A1891" w:rsidRPr="003B1656" w:rsidRDefault="005A1891" w:rsidP="003B1656">
      <w:pPr>
        <w:spacing w:line="360" w:lineRule="auto"/>
        <w:rPr>
          <w:b/>
          <w:lang w:val="es-ES"/>
        </w:rPr>
      </w:pPr>
      <w:r w:rsidRPr="003B1656">
        <w:rPr>
          <w:b/>
          <w:lang w:val="es-ES"/>
        </w:rPr>
        <w:t>1.- Introducción</w:t>
      </w:r>
    </w:p>
    <w:p w:rsidR="00504AA7" w:rsidRPr="003B1656" w:rsidRDefault="00FD3E0C" w:rsidP="003B1656">
      <w:pPr>
        <w:spacing w:line="360" w:lineRule="auto"/>
        <w:jc w:val="both"/>
        <w:rPr>
          <w:lang w:val="es-ES"/>
        </w:rPr>
      </w:pPr>
      <w:r w:rsidRPr="003B1656">
        <w:rPr>
          <w:lang w:val="es-ES"/>
        </w:rPr>
        <w:t xml:space="preserve">La Argentina se encuentra entre los mercados más relevantes de la industria mundial de maquinaria agrícola dada la sofisticación y la importancia de su agricultura pampeana. Mientras la Argentina atraviesa un proceso de drástica contracción de su industria local, los principales capitales del </w:t>
      </w:r>
      <w:r w:rsidR="00B355B2" w:rsidRPr="003B1656">
        <w:rPr>
          <w:lang w:val="es-ES"/>
        </w:rPr>
        <w:t>agro negocio</w:t>
      </w:r>
      <w:r w:rsidRPr="003B1656">
        <w:rPr>
          <w:lang w:val="es-ES"/>
        </w:rPr>
        <w:t xml:space="preserve"> libran</w:t>
      </w:r>
      <w:r w:rsidR="00B355B2" w:rsidRPr="003B1656">
        <w:rPr>
          <w:lang w:val="es-ES"/>
        </w:rPr>
        <w:t xml:space="preserve"> una batalla por el control de l</w:t>
      </w:r>
      <w:r w:rsidRPr="003B1656">
        <w:rPr>
          <w:lang w:val="es-ES"/>
        </w:rPr>
        <w:t>as nuevas tecnologías</w:t>
      </w:r>
      <w:r w:rsidR="00B355B2" w:rsidRPr="003B1656">
        <w:rPr>
          <w:lang w:val="es-ES"/>
        </w:rPr>
        <w:t xml:space="preserve"> digitales</w:t>
      </w:r>
      <w:r w:rsidRPr="003B1656">
        <w:rPr>
          <w:lang w:val="es-ES"/>
        </w:rPr>
        <w:t xml:space="preserve">. </w:t>
      </w:r>
      <w:r w:rsidR="00B355B2" w:rsidRPr="003B1656">
        <w:rPr>
          <w:lang w:val="es-ES"/>
        </w:rPr>
        <w:t>Partiendo de una perspectiva analítica que analiza la difusión de la tecnología como un proceso indisociable de las relaciones de rivalidad y cooperación en los oligopolios mundiales, e</w:t>
      </w:r>
      <w:r w:rsidR="00591850" w:rsidRPr="003B1656">
        <w:rPr>
          <w:lang w:val="es-ES"/>
        </w:rPr>
        <w:t xml:space="preserve">l objeto de este documento es el proceso de </w:t>
      </w:r>
      <w:r w:rsidR="00504AA7" w:rsidRPr="003B1656">
        <w:rPr>
          <w:lang w:val="es-ES"/>
        </w:rPr>
        <w:t>“</w:t>
      </w:r>
      <w:r w:rsidR="00591850" w:rsidRPr="003B1656">
        <w:rPr>
          <w:lang w:val="es-ES"/>
        </w:rPr>
        <w:t>convergencia tecnológica</w:t>
      </w:r>
      <w:r w:rsidR="00504AA7" w:rsidRPr="003B1656">
        <w:rPr>
          <w:lang w:val="es-ES"/>
        </w:rPr>
        <w:t xml:space="preserve">” entre </w:t>
      </w:r>
      <w:r w:rsidR="000E3161" w:rsidRPr="003B1656">
        <w:rPr>
          <w:lang w:val="es-ES"/>
        </w:rPr>
        <w:t>la trayectoria</w:t>
      </w:r>
      <w:r w:rsidR="00504AA7" w:rsidRPr="003B1656">
        <w:rPr>
          <w:lang w:val="es-ES"/>
        </w:rPr>
        <w:t xml:space="preserve"> tecnológica de la industria de maquinaria agrícola y </w:t>
      </w:r>
      <w:r w:rsidR="00591850" w:rsidRPr="003B1656">
        <w:rPr>
          <w:lang w:val="es-ES"/>
        </w:rPr>
        <w:t>nuevas tecnologí</w:t>
      </w:r>
      <w:r w:rsidR="00504AA7" w:rsidRPr="003B1656">
        <w:rPr>
          <w:lang w:val="es-ES"/>
        </w:rPr>
        <w:t xml:space="preserve">as digitales. </w:t>
      </w:r>
    </w:p>
    <w:p w:rsidR="00A90252" w:rsidRPr="003B1656" w:rsidRDefault="00A90252" w:rsidP="003B1656">
      <w:pPr>
        <w:spacing w:line="360" w:lineRule="auto"/>
        <w:jc w:val="both"/>
        <w:rPr>
          <w:lang w:val="es-ES"/>
        </w:rPr>
      </w:pPr>
      <w:r w:rsidRPr="003B1656">
        <w:rPr>
          <w:lang w:val="es-ES"/>
        </w:rPr>
        <w:t xml:space="preserve">La industria de Maquinaria Agrícola </w:t>
      </w:r>
      <w:r w:rsidR="00504AA7" w:rsidRPr="003B1656">
        <w:rPr>
          <w:lang w:val="es-ES"/>
        </w:rPr>
        <w:t xml:space="preserve">a nivel mundial </w:t>
      </w:r>
      <w:r w:rsidRPr="003B1656">
        <w:rPr>
          <w:lang w:val="es-ES"/>
        </w:rPr>
        <w:t xml:space="preserve">atraviesa una crisis y recomposición </w:t>
      </w:r>
      <w:r w:rsidR="00402F8C" w:rsidRPr="003B1656">
        <w:rPr>
          <w:lang w:val="es-ES"/>
        </w:rPr>
        <w:t xml:space="preserve">de su </w:t>
      </w:r>
      <w:r w:rsidRPr="003B1656">
        <w:rPr>
          <w:lang w:val="es-ES"/>
        </w:rPr>
        <w:t xml:space="preserve">estructura productiva con posterioridad a la crisis del año 2008. Diversos factores explican </w:t>
      </w:r>
      <w:r w:rsidR="00402F8C" w:rsidRPr="003B1656">
        <w:rPr>
          <w:lang w:val="es-ES"/>
        </w:rPr>
        <w:t>este proceso de rivalidad y cooperación en el marco de una estructura de mercado caracterizada por las relaciones oligopólicas</w:t>
      </w:r>
      <w:r w:rsidRPr="003B1656">
        <w:rPr>
          <w:lang w:val="es-ES"/>
        </w:rPr>
        <w:t>:</w:t>
      </w:r>
    </w:p>
    <w:p w:rsidR="00A123D4" w:rsidRPr="003B1656" w:rsidRDefault="00A90252" w:rsidP="003B1656">
      <w:pPr>
        <w:pStyle w:val="Prrafodelista"/>
        <w:numPr>
          <w:ilvl w:val="0"/>
          <w:numId w:val="8"/>
        </w:numPr>
        <w:spacing w:line="360" w:lineRule="auto"/>
        <w:jc w:val="both"/>
        <w:rPr>
          <w:lang w:val="es-ES"/>
        </w:rPr>
      </w:pPr>
      <w:r w:rsidRPr="003B1656">
        <w:rPr>
          <w:lang w:val="es-ES"/>
        </w:rPr>
        <w:t xml:space="preserve">Una sobre-producción que se profundiza entre el </w:t>
      </w:r>
      <w:r w:rsidR="0032277C" w:rsidRPr="003B1656">
        <w:rPr>
          <w:lang w:val="es-ES"/>
        </w:rPr>
        <w:t xml:space="preserve">período </w:t>
      </w:r>
      <w:r w:rsidRPr="003B1656">
        <w:rPr>
          <w:lang w:val="es-ES"/>
        </w:rPr>
        <w:t xml:space="preserve">2013 y 2017, parcialmente </w:t>
      </w:r>
      <w:r w:rsidR="000E3161" w:rsidRPr="003B1656">
        <w:rPr>
          <w:lang w:val="es-ES"/>
        </w:rPr>
        <w:t>absorbida desde</w:t>
      </w:r>
      <w:r w:rsidR="0032277C" w:rsidRPr="003B1656">
        <w:rPr>
          <w:lang w:val="es-ES"/>
        </w:rPr>
        <w:t xml:space="preserve"> el año</w:t>
      </w:r>
      <w:r w:rsidRPr="003B1656">
        <w:rPr>
          <w:lang w:val="es-ES"/>
        </w:rPr>
        <w:t xml:space="preserve"> 2018 con la leve recuperación de los precios de las materias primas agrícolas. </w:t>
      </w:r>
    </w:p>
    <w:p w:rsidR="00A123D4" w:rsidRPr="003B1656" w:rsidRDefault="00A123D4" w:rsidP="003B1656">
      <w:pPr>
        <w:pStyle w:val="Prrafodelista"/>
        <w:numPr>
          <w:ilvl w:val="0"/>
          <w:numId w:val="8"/>
        </w:numPr>
        <w:spacing w:line="360" w:lineRule="auto"/>
        <w:jc w:val="both"/>
        <w:rPr>
          <w:lang w:val="es-ES"/>
        </w:rPr>
      </w:pPr>
      <w:r w:rsidRPr="003B1656">
        <w:rPr>
          <w:lang w:val="es-ES"/>
        </w:rPr>
        <w:t xml:space="preserve">Las principales firmas que forman parte del oligopolio mundial están preparándose para </w:t>
      </w:r>
      <w:r w:rsidR="00A670C4" w:rsidRPr="003B1656">
        <w:rPr>
          <w:lang w:val="es-ES"/>
        </w:rPr>
        <w:t>expandirse</w:t>
      </w:r>
      <w:r w:rsidRPr="003B1656">
        <w:rPr>
          <w:lang w:val="es-ES"/>
        </w:rPr>
        <w:t xml:space="preserve"> sobre una demanda que </w:t>
      </w:r>
      <w:r w:rsidR="0032277C" w:rsidRPr="003B1656">
        <w:rPr>
          <w:lang w:val="es-ES"/>
        </w:rPr>
        <w:t>se recupera</w:t>
      </w:r>
      <w:r w:rsidRPr="003B1656">
        <w:rPr>
          <w:lang w:val="es-ES"/>
        </w:rPr>
        <w:t xml:space="preserve"> a tasas menores que el período previo al 2013 con una reconfiguración de sus cadenas de aprovisionamiento.</w:t>
      </w:r>
    </w:p>
    <w:p w:rsidR="0032277C" w:rsidRPr="003B1656" w:rsidRDefault="00A670C4" w:rsidP="003B1656">
      <w:pPr>
        <w:pStyle w:val="Prrafodelista"/>
        <w:numPr>
          <w:ilvl w:val="0"/>
          <w:numId w:val="8"/>
        </w:numPr>
        <w:spacing w:line="360" w:lineRule="auto"/>
        <w:jc w:val="both"/>
        <w:rPr>
          <w:lang w:val="es-ES"/>
        </w:rPr>
      </w:pPr>
      <w:r w:rsidRPr="003B1656">
        <w:rPr>
          <w:lang w:val="es-ES"/>
        </w:rPr>
        <w:t>Contra toda visión de oligopolio como estructura estable, se</w:t>
      </w:r>
      <w:r w:rsidR="0032277C" w:rsidRPr="003B1656">
        <w:rPr>
          <w:lang w:val="es-ES"/>
        </w:rPr>
        <w:t xml:space="preserve"> agudiza la rivalidad intra-sectorial e inter-sectorial</w:t>
      </w:r>
      <w:r w:rsidRPr="003B1656">
        <w:rPr>
          <w:lang w:val="es-ES"/>
        </w:rPr>
        <w:t xml:space="preserve"> entre las firmas</w:t>
      </w:r>
      <w:r w:rsidR="00A123D4" w:rsidRPr="003B1656">
        <w:rPr>
          <w:lang w:val="es-ES"/>
        </w:rPr>
        <w:t xml:space="preserve">, </w:t>
      </w:r>
      <w:r w:rsidR="00C60487" w:rsidRPr="003B1656">
        <w:rPr>
          <w:lang w:val="es-ES"/>
        </w:rPr>
        <w:t xml:space="preserve">mediante absorción y/o alianzas con empresas </w:t>
      </w:r>
      <w:r w:rsidR="009B2D73" w:rsidRPr="003B1656">
        <w:rPr>
          <w:lang w:val="es-ES"/>
        </w:rPr>
        <w:t xml:space="preserve">en los nuevos segmentos, en los que el control la </w:t>
      </w:r>
      <w:r w:rsidR="00C60487" w:rsidRPr="003B1656">
        <w:rPr>
          <w:lang w:val="es-ES"/>
        </w:rPr>
        <w:t>agricultura digital</w:t>
      </w:r>
      <w:r w:rsidR="009B2D73" w:rsidRPr="003B1656">
        <w:rPr>
          <w:lang w:val="es-ES"/>
        </w:rPr>
        <w:t xml:space="preserve"> y las</w:t>
      </w:r>
      <w:r w:rsidR="00C60487" w:rsidRPr="003B1656">
        <w:rPr>
          <w:lang w:val="es-ES"/>
        </w:rPr>
        <w:t xml:space="preserve"> plataformas </w:t>
      </w:r>
      <w:r w:rsidR="009B2D73" w:rsidRPr="003B1656">
        <w:rPr>
          <w:lang w:val="es-ES"/>
        </w:rPr>
        <w:t>de datos pasan a ser los espacios de cooperación y rivalidad</w:t>
      </w:r>
      <w:r w:rsidR="00C60487" w:rsidRPr="003B1656">
        <w:rPr>
          <w:lang w:val="es-ES"/>
        </w:rPr>
        <w:t>.</w:t>
      </w:r>
      <w:r w:rsidR="009F366F">
        <w:rPr>
          <w:lang w:val="es-ES"/>
        </w:rPr>
        <w:t xml:space="preserve"> </w:t>
      </w:r>
    </w:p>
    <w:p w:rsidR="0032277C" w:rsidRPr="003B1656" w:rsidRDefault="009B2D73" w:rsidP="003B1656">
      <w:pPr>
        <w:spacing w:line="360" w:lineRule="auto"/>
        <w:jc w:val="both"/>
        <w:rPr>
          <w:lang w:val="es-ES"/>
        </w:rPr>
      </w:pPr>
      <w:r w:rsidRPr="003B1656">
        <w:rPr>
          <w:lang w:val="es-ES"/>
        </w:rPr>
        <w:t xml:space="preserve">Es en este marco de </w:t>
      </w:r>
      <w:r w:rsidR="0032277C" w:rsidRPr="003B1656">
        <w:rPr>
          <w:lang w:val="es-ES"/>
        </w:rPr>
        <w:t>crisis y recomposición en el oligopolio mundial</w:t>
      </w:r>
      <w:r w:rsidR="00B355B2" w:rsidRPr="003B1656">
        <w:rPr>
          <w:lang w:val="es-ES"/>
        </w:rPr>
        <w:t xml:space="preserve"> de la maquinaria agrícola</w:t>
      </w:r>
      <w:r w:rsidR="0032277C" w:rsidRPr="003B1656">
        <w:rPr>
          <w:lang w:val="es-ES"/>
        </w:rPr>
        <w:t xml:space="preserve">, </w:t>
      </w:r>
      <w:r w:rsidRPr="003B1656">
        <w:rPr>
          <w:lang w:val="es-ES"/>
        </w:rPr>
        <w:t xml:space="preserve">en estas notas se buscará analizar </w:t>
      </w:r>
      <w:r w:rsidR="00504AA7" w:rsidRPr="003B1656">
        <w:rPr>
          <w:lang w:val="es-ES"/>
        </w:rPr>
        <w:t>el actual proceso de</w:t>
      </w:r>
      <w:r w:rsidRPr="003B1656">
        <w:rPr>
          <w:lang w:val="es-ES"/>
        </w:rPr>
        <w:t xml:space="preserve"> convergencia entre la industria de maquinaria agrícola y las nuevas tecnologías digitales. Proceso en el que las</w:t>
      </w:r>
      <w:r w:rsidR="0032277C" w:rsidRPr="003B1656">
        <w:rPr>
          <w:lang w:val="es-ES"/>
        </w:rPr>
        <w:t xml:space="preserve"> “relaciones estables” entre los </w:t>
      </w:r>
      <w:r w:rsidR="0032277C" w:rsidRPr="003B1656">
        <w:rPr>
          <w:lang w:val="es-ES"/>
        </w:rPr>
        <w:lastRenderedPageBreak/>
        <w:t>miembros del oligopolio son puestas en tensión en el plano de la competencia tecnológica</w:t>
      </w:r>
      <w:r w:rsidR="00D10EF9" w:rsidRPr="003B1656">
        <w:rPr>
          <w:lang w:val="es-ES"/>
        </w:rPr>
        <w:t xml:space="preserve"> por el control de las plataformas y los estándares en la transferencia de datos</w:t>
      </w:r>
      <w:r w:rsidR="0032277C" w:rsidRPr="003B1656">
        <w:rPr>
          <w:lang w:val="es-ES"/>
        </w:rPr>
        <w:t>.</w:t>
      </w:r>
    </w:p>
    <w:p w:rsidR="00417940" w:rsidRPr="003B1656" w:rsidRDefault="00A40839" w:rsidP="003B1656">
      <w:pPr>
        <w:spacing w:line="360" w:lineRule="auto"/>
        <w:jc w:val="both"/>
        <w:rPr>
          <w:color w:val="000000" w:themeColor="text1"/>
          <w:lang w:val="es-ES"/>
        </w:rPr>
      </w:pPr>
      <w:r>
        <w:rPr>
          <w:color w:val="000000" w:themeColor="text1"/>
          <w:lang w:val="es-ES"/>
        </w:rPr>
        <w:t>E</w:t>
      </w:r>
      <w:r w:rsidR="00A670C4" w:rsidRPr="003B1656">
        <w:rPr>
          <w:color w:val="000000" w:themeColor="text1"/>
          <w:lang w:val="es-ES"/>
        </w:rPr>
        <w:t>n la sección 2</w:t>
      </w:r>
      <w:r w:rsidR="000E3161" w:rsidRPr="003B1656">
        <w:rPr>
          <w:color w:val="000000" w:themeColor="text1"/>
          <w:lang w:val="es-ES"/>
        </w:rPr>
        <w:t xml:space="preserve"> se discutirá</w:t>
      </w:r>
      <w:r w:rsidR="00A670C4" w:rsidRPr="003B1656">
        <w:rPr>
          <w:color w:val="000000" w:themeColor="text1"/>
          <w:lang w:val="es-ES"/>
        </w:rPr>
        <w:t xml:space="preserve"> cuáles son las oportunidades tecnológicas asociadas a la difusión de las nuevas tecnologías digitales, identificando cu</w:t>
      </w:r>
      <w:r w:rsidR="000E3161" w:rsidRPr="003B1656">
        <w:rPr>
          <w:color w:val="000000" w:themeColor="text1"/>
          <w:lang w:val="es-ES"/>
        </w:rPr>
        <w:t>á</w:t>
      </w:r>
      <w:r w:rsidR="00A670C4" w:rsidRPr="003B1656">
        <w:rPr>
          <w:color w:val="000000" w:themeColor="text1"/>
          <w:lang w:val="es-ES"/>
        </w:rPr>
        <w:t>les son las tecnologías del nuevo sistema técnico</w:t>
      </w:r>
      <w:r w:rsidR="000E3161" w:rsidRPr="003B1656">
        <w:rPr>
          <w:color w:val="000000" w:themeColor="text1"/>
          <w:lang w:val="es-ES"/>
        </w:rPr>
        <w:t xml:space="preserve">. En la sección 3 se indagará </w:t>
      </w:r>
      <w:r w:rsidR="00D26579" w:rsidRPr="003B1656">
        <w:rPr>
          <w:color w:val="000000" w:themeColor="text1"/>
          <w:lang w:val="es-ES"/>
        </w:rPr>
        <w:t>como la</w:t>
      </w:r>
      <w:r w:rsidR="00A670C4" w:rsidRPr="003B1656">
        <w:rPr>
          <w:color w:val="000000" w:themeColor="text1"/>
          <w:lang w:val="es-ES"/>
        </w:rPr>
        <w:t xml:space="preserve"> reestructuración de la cadena de valor</w:t>
      </w:r>
      <w:r>
        <w:rPr>
          <w:color w:val="000000" w:themeColor="text1"/>
          <w:lang w:val="es-ES"/>
        </w:rPr>
        <w:t xml:space="preserve"> </w:t>
      </w:r>
      <w:r w:rsidR="00D26579" w:rsidRPr="003B1656">
        <w:rPr>
          <w:color w:val="000000" w:themeColor="text1"/>
          <w:lang w:val="es-ES"/>
        </w:rPr>
        <w:t>responde a una reconfiguración del</w:t>
      </w:r>
      <w:r w:rsidR="005C4B2E" w:rsidRPr="003B1656">
        <w:rPr>
          <w:color w:val="000000" w:themeColor="text1"/>
          <w:lang w:val="es-ES"/>
        </w:rPr>
        <w:t xml:space="preserve"> oligopolio mundial de maquinaria frente al</w:t>
      </w:r>
      <w:r w:rsidR="00417940" w:rsidRPr="003B1656">
        <w:rPr>
          <w:color w:val="000000" w:themeColor="text1"/>
          <w:lang w:val="es-ES"/>
        </w:rPr>
        <w:t xml:space="preserve"> proceso de convergencia tecnológica MA y TIC en los sistemas de agricultura digi</w:t>
      </w:r>
      <w:r w:rsidR="00D26579" w:rsidRPr="003B1656">
        <w:rPr>
          <w:color w:val="000000" w:themeColor="text1"/>
          <w:lang w:val="es-ES"/>
        </w:rPr>
        <w:t xml:space="preserve">tal a nivel internacional. </w:t>
      </w:r>
      <w:r w:rsidR="000E3161" w:rsidRPr="003B1656">
        <w:rPr>
          <w:color w:val="000000" w:themeColor="text1"/>
          <w:lang w:val="es-ES"/>
        </w:rPr>
        <w:t xml:space="preserve">La </w:t>
      </w:r>
      <w:r w:rsidR="00A924F5" w:rsidRPr="003B1656">
        <w:rPr>
          <w:color w:val="000000" w:themeColor="text1"/>
          <w:lang w:val="es-ES"/>
        </w:rPr>
        <w:t>sección 4 analizará</w:t>
      </w:r>
      <w:r w:rsidR="00D26579" w:rsidRPr="003B1656">
        <w:rPr>
          <w:color w:val="000000" w:themeColor="text1"/>
          <w:lang w:val="es-ES"/>
        </w:rPr>
        <w:t xml:space="preserve"> la trayecto</w:t>
      </w:r>
      <w:r w:rsidR="00A924F5" w:rsidRPr="003B1656">
        <w:rPr>
          <w:color w:val="000000" w:themeColor="text1"/>
          <w:lang w:val="es-ES"/>
        </w:rPr>
        <w:t>ria histórica de esta industria y su evolución reciente</w:t>
      </w:r>
      <w:r>
        <w:rPr>
          <w:color w:val="000000" w:themeColor="text1"/>
          <w:lang w:val="es-ES"/>
        </w:rPr>
        <w:t xml:space="preserve"> y la</w:t>
      </w:r>
      <w:r w:rsidR="00A924F5" w:rsidRPr="003B1656">
        <w:rPr>
          <w:color w:val="000000" w:themeColor="text1"/>
          <w:lang w:val="es-ES"/>
        </w:rPr>
        <w:t xml:space="preserve"> sección 5 </w:t>
      </w:r>
      <w:r w:rsidR="000E3161" w:rsidRPr="003B1656">
        <w:rPr>
          <w:color w:val="000000" w:themeColor="text1"/>
          <w:lang w:val="es-ES"/>
        </w:rPr>
        <w:t>indagará</w:t>
      </w:r>
      <w:r>
        <w:rPr>
          <w:color w:val="000000" w:themeColor="text1"/>
          <w:lang w:val="es-ES"/>
        </w:rPr>
        <w:t xml:space="preserve"> </w:t>
      </w:r>
      <w:r w:rsidR="000E3161" w:rsidRPr="003B1656">
        <w:rPr>
          <w:color w:val="000000" w:themeColor="text1"/>
          <w:lang w:val="es-ES"/>
        </w:rPr>
        <w:t xml:space="preserve">en </w:t>
      </w:r>
      <w:r w:rsidR="00A924F5" w:rsidRPr="003B1656">
        <w:rPr>
          <w:color w:val="000000" w:themeColor="text1"/>
          <w:lang w:val="es-ES"/>
        </w:rPr>
        <w:t>la difusión reciente de la agricultura de precisión y las posibilidades de articulación en un nuevo sistema técnico. En las conclusiones se resumen los principales resultados y se presentan las heurísticas para investigaciones futuras.</w:t>
      </w:r>
    </w:p>
    <w:p w:rsidR="005A1891" w:rsidRPr="003B1656" w:rsidRDefault="005A1891" w:rsidP="003B1656">
      <w:pPr>
        <w:spacing w:line="360" w:lineRule="auto"/>
        <w:rPr>
          <w:b/>
          <w:color w:val="000000" w:themeColor="text1"/>
          <w:lang w:val="es-ES"/>
        </w:rPr>
      </w:pPr>
    </w:p>
    <w:p w:rsidR="004426F5" w:rsidRPr="003B1656" w:rsidRDefault="00FC7542" w:rsidP="003B1656">
      <w:pPr>
        <w:spacing w:line="360" w:lineRule="auto"/>
        <w:jc w:val="both"/>
        <w:rPr>
          <w:b/>
          <w:lang w:val="es-ES"/>
        </w:rPr>
      </w:pPr>
      <w:r w:rsidRPr="003B1656">
        <w:rPr>
          <w:b/>
          <w:lang w:val="es-ES"/>
        </w:rPr>
        <w:t>2.-</w:t>
      </w:r>
      <w:r w:rsidR="00A670C4" w:rsidRPr="003B1656">
        <w:rPr>
          <w:b/>
          <w:lang w:val="es-ES"/>
        </w:rPr>
        <w:t xml:space="preserve"> Nuevo paradigma tecnológico y agricultura digital: convergencia en</w:t>
      </w:r>
      <w:r w:rsidR="007D1DD5" w:rsidRPr="003B1656">
        <w:rPr>
          <w:b/>
          <w:lang w:val="es-ES"/>
        </w:rPr>
        <w:t>t</w:t>
      </w:r>
      <w:r w:rsidR="00A670C4" w:rsidRPr="003B1656">
        <w:rPr>
          <w:b/>
          <w:lang w:val="es-ES"/>
        </w:rPr>
        <w:t xml:space="preserve">re trayectorias tecnológicas </w:t>
      </w:r>
    </w:p>
    <w:p w:rsidR="004243F5" w:rsidRPr="003B1656" w:rsidRDefault="00797120" w:rsidP="003B1656">
      <w:pPr>
        <w:spacing w:line="360" w:lineRule="auto"/>
        <w:jc w:val="both"/>
        <w:rPr>
          <w:lang w:val="es-ES"/>
        </w:rPr>
      </w:pPr>
      <w:r w:rsidRPr="003B1656">
        <w:rPr>
          <w:lang w:val="es-ES"/>
        </w:rPr>
        <w:t>Ciertos autores</w:t>
      </w:r>
      <w:r w:rsidR="004243F5" w:rsidRPr="003B1656">
        <w:rPr>
          <w:lang w:val="es-ES"/>
        </w:rPr>
        <w:t>,</w:t>
      </w:r>
      <w:r w:rsidRPr="003B1656">
        <w:rPr>
          <w:lang w:val="es-ES"/>
        </w:rPr>
        <w:t xml:space="preserve"> apoyados en el legado de Schumpeter</w:t>
      </w:r>
      <w:r w:rsidR="004243F5" w:rsidRPr="003B1656">
        <w:rPr>
          <w:lang w:val="es-ES"/>
        </w:rPr>
        <w:t>,</w:t>
      </w:r>
      <w:r w:rsidRPr="003B1656">
        <w:rPr>
          <w:lang w:val="es-ES"/>
        </w:rPr>
        <w:t xml:space="preserve"> plant</w:t>
      </w:r>
      <w:r w:rsidR="004243F5" w:rsidRPr="003B1656">
        <w:rPr>
          <w:lang w:val="es-ES"/>
        </w:rPr>
        <w:t>e</w:t>
      </w:r>
      <w:r w:rsidRPr="003B1656">
        <w:rPr>
          <w:lang w:val="es-ES"/>
        </w:rPr>
        <w:t>aron durante los años ’80 que la revo</w:t>
      </w:r>
      <w:r w:rsidR="009F366F">
        <w:rPr>
          <w:lang w:val="es-ES"/>
        </w:rPr>
        <w:t>lución microelectrónica, y</w:t>
      </w:r>
      <w:r w:rsidRPr="003B1656">
        <w:rPr>
          <w:lang w:val="es-ES"/>
        </w:rPr>
        <w:t xml:space="preserve"> la difusión </w:t>
      </w:r>
      <w:r w:rsidR="009F366F">
        <w:rPr>
          <w:lang w:val="es-ES"/>
        </w:rPr>
        <w:t xml:space="preserve">de </w:t>
      </w:r>
      <w:r w:rsidRPr="003B1656">
        <w:rPr>
          <w:lang w:val="es-ES"/>
        </w:rPr>
        <w:t>TI</w:t>
      </w:r>
      <w:r w:rsidR="000E3161" w:rsidRPr="003B1656">
        <w:rPr>
          <w:lang w:val="es-ES"/>
        </w:rPr>
        <w:t>C, dio</w:t>
      </w:r>
      <w:r w:rsidRPr="003B1656">
        <w:rPr>
          <w:lang w:val="es-ES"/>
        </w:rPr>
        <w:t xml:space="preserve"> lugar a la emergencia de un “nuevo paradigma tecno-</w:t>
      </w:r>
      <w:r w:rsidR="004243F5" w:rsidRPr="003B1656">
        <w:rPr>
          <w:lang w:val="es-ES"/>
        </w:rPr>
        <w:t>económico” con implicancias mayores en las</w:t>
      </w:r>
      <w:r w:rsidRPr="003B1656">
        <w:rPr>
          <w:lang w:val="es-ES"/>
        </w:rPr>
        <w:t xml:space="preserve"> estructuras industriales (</w:t>
      </w:r>
      <w:r w:rsidR="004243F5" w:rsidRPr="003B1656">
        <w:rPr>
          <w:lang w:val="es-ES"/>
        </w:rPr>
        <w:t xml:space="preserve">Freeman, 1984; </w:t>
      </w:r>
      <w:r w:rsidRPr="003B1656">
        <w:rPr>
          <w:lang w:val="es-ES"/>
        </w:rPr>
        <w:t xml:space="preserve">Freeman y Perez, 1988). </w:t>
      </w:r>
      <w:r w:rsidR="004243F5" w:rsidRPr="003B1656">
        <w:rPr>
          <w:lang w:val="es-ES"/>
        </w:rPr>
        <w:t>En</w:t>
      </w:r>
      <w:r w:rsidRPr="003B1656">
        <w:rPr>
          <w:lang w:val="es-ES"/>
        </w:rPr>
        <w:t xml:space="preserve"> tanto transversales</w:t>
      </w:r>
      <w:r w:rsidR="004243F5" w:rsidRPr="003B1656">
        <w:rPr>
          <w:lang w:val="es-ES"/>
        </w:rPr>
        <w:t>, estas tecnologías</w:t>
      </w:r>
      <w:r w:rsidRPr="003B1656">
        <w:rPr>
          <w:lang w:val="es-ES"/>
        </w:rPr>
        <w:t xml:space="preserve"> generarían oportunidades de desarrollo de nuevas actividades y afectarían al conjunto a través de aumentos de productividad (y empleo) en el conjunto de la economía. </w:t>
      </w:r>
    </w:p>
    <w:p w:rsidR="000F78BF" w:rsidRPr="003B1656" w:rsidRDefault="004243F5" w:rsidP="003B1656">
      <w:pPr>
        <w:spacing w:line="360" w:lineRule="auto"/>
        <w:jc w:val="both"/>
        <w:rPr>
          <w:lang w:val="es-ES"/>
        </w:rPr>
      </w:pPr>
      <w:r w:rsidRPr="003B1656">
        <w:rPr>
          <w:lang w:val="es-ES"/>
        </w:rPr>
        <w:t>En particular</w:t>
      </w:r>
      <w:r w:rsidR="00797120" w:rsidRPr="003B1656">
        <w:rPr>
          <w:lang w:val="es-ES"/>
        </w:rPr>
        <w:t xml:space="preserve">, Freeman (1984) señaló un conjunto de criterios para identificar las tecnologías que pueden dan lugar a lo que él denominaba un “paradigma tecno-económico”: i) una reducción drástica de los costos en varios productos y servicios; ii) mejoras dramáticas en las características técnicas de muchos productos y procesos y ; (iii) efectos transversales en la totalidad del sistema económico, lo que luego daría lugar a la concepción de “tecnología transversal” </w:t>
      </w:r>
      <w:r w:rsidR="00C92D40" w:rsidRPr="003B1656">
        <w:rPr>
          <w:lang w:val="es-ES"/>
        </w:rPr>
        <w:t xml:space="preserve">o de “propósito general” </w:t>
      </w:r>
      <w:r w:rsidR="00797120" w:rsidRPr="003B1656">
        <w:rPr>
          <w:lang w:val="es-ES"/>
        </w:rPr>
        <w:t>(</w:t>
      </w:r>
      <w:r w:rsidR="00C92D40" w:rsidRPr="003B1656">
        <w:rPr>
          <w:lang w:val="es-ES"/>
        </w:rPr>
        <w:t>Bresnahany Trajtenberg, 1995</w:t>
      </w:r>
      <w:r w:rsidR="00797120" w:rsidRPr="003B1656">
        <w:rPr>
          <w:lang w:val="es-ES"/>
        </w:rPr>
        <w:t>). A partir de estos criterios Freeman fue capaz de predecir que la microelectrónica se transformaría en la tecnología central del nuevo paradigma tecno-económico.</w:t>
      </w:r>
      <w:r w:rsidR="009F366F">
        <w:rPr>
          <w:lang w:val="es-ES"/>
        </w:rPr>
        <w:t xml:space="preserve"> </w:t>
      </w:r>
      <w:r w:rsidR="00797120" w:rsidRPr="003B1656">
        <w:rPr>
          <w:lang w:val="es-ES"/>
        </w:rPr>
        <w:t>En los últimos años</w:t>
      </w:r>
      <w:r w:rsidRPr="003B1656">
        <w:rPr>
          <w:lang w:val="es-ES"/>
        </w:rPr>
        <w:t>,</w:t>
      </w:r>
      <w:r w:rsidR="00797120" w:rsidRPr="003B1656">
        <w:rPr>
          <w:lang w:val="es-ES"/>
        </w:rPr>
        <w:t xml:space="preserve"> con la denominada 4º revolución industrial</w:t>
      </w:r>
      <w:r w:rsidR="005E5DD9" w:rsidRPr="003B1656">
        <w:rPr>
          <w:lang w:val="es-ES"/>
        </w:rPr>
        <w:t xml:space="preserve"> – con el potencial del internet industrial, la nube, el </w:t>
      </w:r>
      <w:r w:rsidR="005E5DD9" w:rsidRPr="003B1656">
        <w:rPr>
          <w:i/>
          <w:lang w:val="es-ES"/>
        </w:rPr>
        <w:t>big data</w:t>
      </w:r>
      <w:r w:rsidR="005E5DD9" w:rsidRPr="003B1656">
        <w:rPr>
          <w:lang w:val="es-ES"/>
        </w:rPr>
        <w:t xml:space="preserve">, la inteligencia artificial, la robótica avanzada- </w:t>
      </w:r>
      <w:r w:rsidR="00797120" w:rsidRPr="003B1656">
        <w:rPr>
          <w:lang w:val="es-ES"/>
        </w:rPr>
        <w:t xml:space="preserve">ha reaparecido el debate en las economías desarrolladas respecto </w:t>
      </w:r>
      <w:r w:rsidRPr="003B1656">
        <w:rPr>
          <w:lang w:val="es-ES"/>
        </w:rPr>
        <w:t>a una nueva fase de consolidación del</w:t>
      </w:r>
      <w:r w:rsidR="00797120" w:rsidRPr="003B1656">
        <w:rPr>
          <w:lang w:val="es-ES"/>
        </w:rPr>
        <w:t xml:space="preserve"> paradigma tecno-económico de las TIC </w:t>
      </w:r>
      <w:r w:rsidRPr="003B1656">
        <w:rPr>
          <w:lang w:val="es-ES"/>
        </w:rPr>
        <w:t>con aumentos significativos en la productividad de la economía</w:t>
      </w:r>
      <w:r w:rsidR="00797120" w:rsidRPr="003B1656">
        <w:rPr>
          <w:lang w:val="es-ES"/>
        </w:rPr>
        <w:t xml:space="preserve">. </w:t>
      </w:r>
    </w:p>
    <w:p w:rsidR="00A10B2E" w:rsidRPr="003B1656" w:rsidRDefault="004243F5" w:rsidP="003B1656">
      <w:pPr>
        <w:spacing w:line="360" w:lineRule="auto"/>
        <w:jc w:val="both"/>
        <w:rPr>
          <w:color w:val="4472C4" w:themeColor="accent1"/>
          <w:lang w:val="es-ES"/>
        </w:rPr>
      </w:pPr>
      <w:r w:rsidRPr="003B1656">
        <w:rPr>
          <w:lang w:val="es-ES"/>
        </w:rPr>
        <w:t xml:space="preserve">Para ciertos </w:t>
      </w:r>
      <w:r w:rsidR="008A1E99" w:rsidRPr="003B1656">
        <w:rPr>
          <w:lang w:val="es-ES"/>
        </w:rPr>
        <w:t>autores,</w:t>
      </w:r>
      <w:r w:rsidR="000D24E3" w:rsidRPr="003B1656">
        <w:rPr>
          <w:lang w:val="es-ES"/>
        </w:rPr>
        <w:t xml:space="preserve"> la tercera revolución industrial de las TIC </w:t>
      </w:r>
      <w:r w:rsidR="008A1E99" w:rsidRPr="003B1656">
        <w:rPr>
          <w:lang w:val="es-ES"/>
        </w:rPr>
        <w:t>implicó aumentos en la productividad sólo en los años ’90 y alcanzo su clímax con la burbuja de los “punto.com”</w:t>
      </w:r>
      <w:r w:rsidR="009F366F">
        <w:rPr>
          <w:lang w:val="es-ES"/>
        </w:rPr>
        <w:t xml:space="preserve"> </w:t>
      </w:r>
      <w:r w:rsidRPr="003B1656">
        <w:rPr>
          <w:lang w:val="es-ES"/>
        </w:rPr>
        <w:t xml:space="preserve">(Gordon, </w:t>
      </w:r>
      <w:r w:rsidR="00313921" w:rsidRPr="003B1656">
        <w:rPr>
          <w:lang w:val="es-ES"/>
        </w:rPr>
        <w:t>2000</w:t>
      </w:r>
      <w:r w:rsidRPr="003B1656">
        <w:rPr>
          <w:lang w:val="es-ES"/>
        </w:rPr>
        <w:t xml:space="preserve">). </w:t>
      </w:r>
      <w:r w:rsidR="00865C43" w:rsidRPr="003B1656">
        <w:rPr>
          <w:lang w:val="es-ES"/>
        </w:rPr>
        <w:t>D</w:t>
      </w:r>
      <w:r w:rsidR="000D24E3" w:rsidRPr="003B1656">
        <w:rPr>
          <w:lang w:val="es-ES"/>
        </w:rPr>
        <w:t>esde los años 2000</w:t>
      </w:r>
      <w:r w:rsidR="009F366F">
        <w:rPr>
          <w:lang w:val="es-ES"/>
        </w:rPr>
        <w:t xml:space="preserve"> </w:t>
      </w:r>
      <w:r w:rsidR="00865C43" w:rsidRPr="003B1656">
        <w:rPr>
          <w:lang w:val="es-ES"/>
        </w:rPr>
        <w:t xml:space="preserve">las TIC </w:t>
      </w:r>
      <w:r w:rsidR="000D24E3" w:rsidRPr="003B1656">
        <w:rPr>
          <w:lang w:val="es-ES"/>
        </w:rPr>
        <w:t xml:space="preserve">se han centrado en las comunicaciones y las </w:t>
      </w:r>
      <w:r w:rsidR="000D24E3" w:rsidRPr="003B1656">
        <w:rPr>
          <w:lang w:val="es-ES"/>
        </w:rPr>
        <w:lastRenderedPageBreak/>
        <w:t>tecnologías de procesamiento de datos</w:t>
      </w:r>
      <w:r w:rsidR="00865C43" w:rsidRPr="003B1656">
        <w:rPr>
          <w:lang w:val="es-ES"/>
        </w:rPr>
        <w:t xml:space="preserve"> en las actividades de servicios y distribución</w:t>
      </w:r>
      <w:r w:rsidR="000D24E3" w:rsidRPr="003B1656">
        <w:rPr>
          <w:lang w:val="es-ES"/>
        </w:rPr>
        <w:t xml:space="preserve"> sin generar mayores aumentos de productividad en la industria manufacturera. </w:t>
      </w:r>
      <w:r w:rsidRPr="003B1656">
        <w:rPr>
          <w:lang w:val="es-ES"/>
        </w:rPr>
        <w:t xml:space="preserve">Para otros, apoyados en </w:t>
      </w:r>
      <w:r w:rsidR="000F78BF" w:rsidRPr="003B1656">
        <w:rPr>
          <w:lang w:val="es-ES"/>
        </w:rPr>
        <w:t xml:space="preserve">estudios </w:t>
      </w:r>
      <w:r w:rsidRPr="003B1656">
        <w:rPr>
          <w:lang w:val="es-ES"/>
        </w:rPr>
        <w:t xml:space="preserve">de consultoras internacionales, el potencial de aumento de productividad </w:t>
      </w:r>
      <w:r w:rsidR="000D24E3" w:rsidRPr="003B1656">
        <w:rPr>
          <w:lang w:val="es-ES"/>
        </w:rPr>
        <w:t xml:space="preserve">de la industria </w:t>
      </w:r>
      <w:r w:rsidRPr="003B1656">
        <w:rPr>
          <w:lang w:val="es-ES"/>
        </w:rPr>
        <w:t>se encuentra latente</w:t>
      </w:r>
      <w:r w:rsidR="00E5458B">
        <w:rPr>
          <w:lang w:val="es-ES"/>
        </w:rPr>
        <w:t xml:space="preserve"> </w:t>
      </w:r>
      <w:r w:rsidRPr="003B1656">
        <w:rPr>
          <w:lang w:val="es-ES"/>
        </w:rPr>
        <w:t>(</w:t>
      </w:r>
      <w:r w:rsidR="00874D4C" w:rsidRPr="003B1656">
        <w:rPr>
          <w:lang w:val="es-ES"/>
        </w:rPr>
        <w:t xml:space="preserve">Manyka, </w:t>
      </w:r>
      <w:r w:rsidR="00874D4C" w:rsidRPr="003B1656">
        <w:rPr>
          <w:i/>
          <w:lang w:val="es-ES"/>
        </w:rPr>
        <w:t>et al</w:t>
      </w:r>
      <w:r w:rsidR="000F78BF" w:rsidRPr="003B1656">
        <w:rPr>
          <w:i/>
          <w:lang w:val="es-ES"/>
        </w:rPr>
        <w:t>,</w:t>
      </w:r>
      <w:r w:rsidR="000F78BF" w:rsidRPr="003B1656">
        <w:rPr>
          <w:lang w:val="es-ES"/>
        </w:rPr>
        <w:t xml:space="preserve"> 2013</w:t>
      </w:r>
      <w:r w:rsidRPr="003B1656">
        <w:rPr>
          <w:lang w:val="es-ES"/>
        </w:rPr>
        <w:t>).</w:t>
      </w:r>
    </w:p>
    <w:p w:rsidR="00A10B2E" w:rsidRPr="003B1656" w:rsidRDefault="00A10B2E" w:rsidP="003B1656">
      <w:pPr>
        <w:spacing w:line="360" w:lineRule="auto"/>
        <w:jc w:val="both"/>
        <w:rPr>
          <w:lang w:val="es-ES"/>
        </w:rPr>
      </w:pPr>
      <w:r w:rsidRPr="003B1656">
        <w:rPr>
          <w:lang w:val="es-ES"/>
        </w:rPr>
        <w:t>Más allá de este debate, lo que ofrecen estas tecnologías por el momento, es una capacidad sin precedentes de reorganización de los procesos productivos existentes y fundamentalmente el poder de mercado de ciertos grupos que, a través de un acelerado proceso de concentración y centralización del capital y la realización de alianzas en el marco del oligopolio mundial buscan controlar plataformas digitales y definir estándares para la captación y procesamiento de datos. A diferencia de las burbujas tecnológicas previas, que abrían esperanzas de rejuvenecimiento de las estructuras industriales, esta nueva oleada de TIC se encuentra asociada por un lado, a la entrada de grandes grupos de tecnología triunfantes de la expansión de internet de los 90 (Google, Faceb</w:t>
      </w:r>
      <w:r w:rsidR="009F366F">
        <w:rPr>
          <w:lang w:val="es-ES"/>
        </w:rPr>
        <w:t xml:space="preserve">ook, Amazon) </w:t>
      </w:r>
      <w:r w:rsidRPr="003B1656">
        <w:rPr>
          <w:lang w:val="es-ES"/>
        </w:rPr>
        <w:t xml:space="preserve">y grandes incumbentes industriales (General Electric, Siemens) </w:t>
      </w:r>
      <w:r w:rsidR="009F366F">
        <w:rPr>
          <w:lang w:val="es-ES"/>
        </w:rPr>
        <w:t>o</w:t>
      </w:r>
      <w:r w:rsidRPr="003B1656">
        <w:rPr>
          <w:lang w:val="es-ES"/>
        </w:rPr>
        <w:t xml:space="preserve"> vinculados al agronegocio (John Deere, AGCO, Monsanto). </w:t>
      </w:r>
    </w:p>
    <w:p w:rsidR="00A10B2E" w:rsidRPr="003B1656" w:rsidRDefault="00A10B2E" w:rsidP="003B1656">
      <w:pPr>
        <w:spacing w:line="360" w:lineRule="auto"/>
        <w:jc w:val="both"/>
        <w:rPr>
          <w:lang w:val="es-ES"/>
        </w:rPr>
      </w:pPr>
      <w:r w:rsidRPr="003B1656">
        <w:rPr>
          <w:lang w:val="es-ES"/>
        </w:rPr>
        <w:t xml:space="preserve">En particular, la denominada agricultura digital (“Digital farming”) es uno de los terrenos de expansión privilegiados de los grupos de base metalmecánica y </w:t>
      </w:r>
      <w:r w:rsidR="00FD7876" w:rsidRPr="003B1656">
        <w:rPr>
          <w:lang w:val="es-ES"/>
        </w:rPr>
        <w:t xml:space="preserve">de </w:t>
      </w:r>
      <w:r w:rsidRPr="003B1656">
        <w:rPr>
          <w:lang w:val="es-ES"/>
        </w:rPr>
        <w:t>agroquímicos</w:t>
      </w:r>
      <w:r w:rsidR="00B048F3" w:rsidRPr="003B1656">
        <w:rPr>
          <w:lang w:val="es-ES"/>
        </w:rPr>
        <w:t xml:space="preserve"> (Corsini y Torsten, 2015)</w:t>
      </w:r>
      <w:r w:rsidRPr="003B1656">
        <w:rPr>
          <w:lang w:val="es-ES"/>
        </w:rPr>
        <w:t>. El avance de la agricultura de precisión (también denominada “agricultura 3.0”) constituye el punto de partida de este nuevo espacio de diversificación de los grupos “hacia los datos”. Posibilidades que darían lugar en la segunda década de los 2000</w:t>
      </w:r>
      <w:r w:rsidR="00BF0D09" w:rsidRPr="003B1656">
        <w:rPr>
          <w:lang w:val="es-ES"/>
        </w:rPr>
        <w:t xml:space="preserve">, a la emergencia de </w:t>
      </w:r>
      <w:r w:rsidRPr="003B1656">
        <w:rPr>
          <w:lang w:val="es-ES"/>
        </w:rPr>
        <w:t>la</w:t>
      </w:r>
      <w:r w:rsidR="00B048F3" w:rsidRPr="003B1656">
        <w:rPr>
          <w:lang w:val="es-ES"/>
        </w:rPr>
        <w:t xml:space="preserve"> denominada “agricultura 4.0”, </w:t>
      </w:r>
      <w:r w:rsidR="00BF0D09" w:rsidRPr="003B1656">
        <w:rPr>
          <w:lang w:val="es-ES"/>
        </w:rPr>
        <w:t>apoyada en la</w:t>
      </w:r>
      <w:r w:rsidR="009F366F">
        <w:rPr>
          <w:lang w:val="es-ES"/>
        </w:rPr>
        <w:t xml:space="preserve"> </w:t>
      </w:r>
      <w:r w:rsidRPr="003B1656">
        <w:rPr>
          <w:lang w:val="es-ES"/>
        </w:rPr>
        <w:t xml:space="preserve">reducción </w:t>
      </w:r>
      <w:r w:rsidR="00F63F8E" w:rsidRPr="003B1656">
        <w:rPr>
          <w:lang w:val="es-ES"/>
        </w:rPr>
        <w:t xml:space="preserve">de costos de los sensores </w:t>
      </w:r>
      <w:r w:rsidR="000E3161" w:rsidRPr="003B1656">
        <w:rPr>
          <w:color w:val="000000" w:themeColor="text1"/>
          <w:lang w:val="es-ES"/>
        </w:rPr>
        <w:t>y los</w:t>
      </w:r>
      <w:r w:rsidR="009F366F">
        <w:rPr>
          <w:color w:val="000000" w:themeColor="text1"/>
          <w:lang w:val="es-ES"/>
        </w:rPr>
        <w:t xml:space="preserve"> </w:t>
      </w:r>
      <w:r w:rsidRPr="003B1656">
        <w:rPr>
          <w:lang w:val="es-ES"/>
        </w:rPr>
        <w:t xml:space="preserve">micro-procesadores </w:t>
      </w:r>
      <w:r w:rsidR="00F63F8E" w:rsidRPr="003B1656">
        <w:rPr>
          <w:lang w:val="es-ES"/>
        </w:rPr>
        <w:t>así como la disponibilidad a</w:t>
      </w:r>
      <w:r w:rsidRPr="003B1656">
        <w:rPr>
          <w:lang w:val="es-ES"/>
        </w:rPr>
        <w:t xml:space="preserve"> servicios de comunicación por banda ancha, servicios de nube y de análisis de Big Data</w:t>
      </w:r>
      <w:r w:rsidR="00B048F3" w:rsidRPr="003B1656">
        <w:rPr>
          <w:lang w:val="es-ES"/>
        </w:rPr>
        <w:t xml:space="preserve"> (CEMA, 2017</w:t>
      </w:r>
      <w:r w:rsidR="002F2137" w:rsidRPr="003B1656">
        <w:rPr>
          <w:lang w:val="es-ES"/>
        </w:rPr>
        <w:t>)</w:t>
      </w:r>
      <w:r w:rsidRPr="003B1656">
        <w:rPr>
          <w:lang w:val="es-ES"/>
        </w:rPr>
        <w:t xml:space="preserve">. </w:t>
      </w:r>
    </w:p>
    <w:p w:rsidR="0075251B" w:rsidRPr="003B1656" w:rsidRDefault="00F63F8E" w:rsidP="003B1656">
      <w:pPr>
        <w:spacing w:line="360" w:lineRule="auto"/>
        <w:jc w:val="both"/>
        <w:rPr>
          <w:color w:val="000000" w:themeColor="text1"/>
          <w:lang w:val="es-ES"/>
        </w:rPr>
      </w:pPr>
      <w:r w:rsidRPr="003B1656">
        <w:rPr>
          <w:lang w:val="es-ES"/>
        </w:rPr>
        <w:t xml:space="preserve">En un plano </w:t>
      </w:r>
      <w:r w:rsidR="002F2137" w:rsidRPr="003B1656">
        <w:rPr>
          <w:lang w:val="es-ES"/>
        </w:rPr>
        <w:t xml:space="preserve">estrictamente </w:t>
      </w:r>
      <w:r w:rsidRPr="003B1656">
        <w:rPr>
          <w:lang w:val="es-ES"/>
        </w:rPr>
        <w:t xml:space="preserve">tecnológico, </w:t>
      </w:r>
      <w:r w:rsidR="0075251B" w:rsidRPr="003B1656">
        <w:rPr>
          <w:lang w:val="es-ES"/>
        </w:rPr>
        <w:t xml:space="preserve">y </w:t>
      </w:r>
      <w:r w:rsidRPr="003B1656">
        <w:rPr>
          <w:lang w:val="es-ES"/>
        </w:rPr>
        <w:t xml:space="preserve">haciendo abstracción de las estrategias de las empresas, </w:t>
      </w:r>
      <w:r w:rsidR="002F2137" w:rsidRPr="003B1656">
        <w:rPr>
          <w:lang w:val="es-ES"/>
        </w:rPr>
        <w:t xml:space="preserve">es indudable que </w:t>
      </w:r>
      <w:r w:rsidRPr="003B1656">
        <w:rPr>
          <w:lang w:val="es-ES"/>
        </w:rPr>
        <w:t>l</w:t>
      </w:r>
      <w:r w:rsidR="00A10B2E" w:rsidRPr="003B1656">
        <w:rPr>
          <w:lang w:val="es-ES"/>
        </w:rPr>
        <w:t xml:space="preserve">as tecnologías digitales presentan importantes posibilidades </w:t>
      </w:r>
      <w:r w:rsidR="00BF0D09" w:rsidRPr="003B1656">
        <w:rPr>
          <w:lang w:val="es-ES"/>
        </w:rPr>
        <w:t>de</w:t>
      </w:r>
      <w:r w:rsidR="002F2137" w:rsidRPr="003B1656">
        <w:rPr>
          <w:lang w:val="es-ES"/>
        </w:rPr>
        <w:t xml:space="preserve"> aumento de la productividad a partir de la</w:t>
      </w:r>
      <w:r w:rsidR="00A10B2E" w:rsidRPr="003B1656">
        <w:rPr>
          <w:lang w:val="es-ES"/>
        </w:rPr>
        <w:t xml:space="preserve"> convergencia tecnológica con las industrias preexistentes, particularmente la de maquinaria agrícol</w:t>
      </w:r>
      <w:r w:rsidR="00C92D40" w:rsidRPr="003B1656">
        <w:rPr>
          <w:lang w:val="es-ES"/>
        </w:rPr>
        <w:t>a</w:t>
      </w:r>
      <w:r w:rsidR="009F366F">
        <w:rPr>
          <w:lang w:val="es-ES"/>
        </w:rPr>
        <w:t xml:space="preserve"> </w:t>
      </w:r>
      <w:r w:rsidR="00C92D40" w:rsidRPr="003B1656">
        <w:rPr>
          <w:lang w:val="es-ES"/>
        </w:rPr>
        <w:t>(Corsini y Torsten, 2015)</w:t>
      </w:r>
      <w:r w:rsidR="00A10B2E" w:rsidRPr="003B1656">
        <w:rPr>
          <w:lang w:val="es-ES"/>
        </w:rPr>
        <w:t xml:space="preserve">. </w:t>
      </w:r>
      <w:r w:rsidR="00F208E0" w:rsidRPr="003B1656">
        <w:rPr>
          <w:lang w:val="es-ES"/>
        </w:rPr>
        <w:t>No obstante, c</w:t>
      </w:r>
      <w:r w:rsidRPr="003B1656">
        <w:rPr>
          <w:lang w:val="es-ES"/>
        </w:rPr>
        <w:t xml:space="preserve">omo analizaremos en la sección </w:t>
      </w:r>
      <w:r w:rsidR="00C359E2" w:rsidRPr="003B1656">
        <w:rPr>
          <w:lang w:val="es-ES"/>
        </w:rPr>
        <w:t>3, estas dinámicas son indisociables de las estrategias de los grandes grupos por reforzar su poder de mercado colectivo.</w:t>
      </w:r>
      <w:r w:rsidR="009F366F">
        <w:rPr>
          <w:lang w:val="es-ES"/>
        </w:rPr>
        <w:t xml:space="preserve"> </w:t>
      </w:r>
      <w:r w:rsidR="00C359E2" w:rsidRPr="003B1656">
        <w:rPr>
          <w:lang w:val="es-ES"/>
        </w:rPr>
        <w:t>Los grandes grupos desarrollaron distintos componentes incorporados en los</w:t>
      </w:r>
      <w:r w:rsidR="00A10B2E" w:rsidRPr="003B1656">
        <w:rPr>
          <w:lang w:val="es-ES"/>
        </w:rPr>
        <w:t xml:space="preserve"> equipos estándar (dispositivos inteligentes de control en tractores y cosechadoras, sensores, automatización en la conducción, colocación de semillas pulverización y tecnología de comunicación incorporada en los vehículos). A partir de la incorporación de estos dispositivos y </w:t>
      </w:r>
      <w:r w:rsidR="00DE04F7" w:rsidRPr="003B1656">
        <w:rPr>
          <w:lang w:val="es-ES"/>
        </w:rPr>
        <w:t xml:space="preserve">la centralización de los datos a través de las tecnologías de Big Data y la </w:t>
      </w:r>
      <w:r w:rsidR="002F2137" w:rsidRPr="003B1656">
        <w:rPr>
          <w:lang w:val="es-ES"/>
        </w:rPr>
        <w:t xml:space="preserve">computación en la </w:t>
      </w:r>
      <w:r w:rsidR="00DE04F7" w:rsidRPr="003B1656">
        <w:rPr>
          <w:lang w:val="es-ES"/>
        </w:rPr>
        <w:t>Nube</w:t>
      </w:r>
      <w:r w:rsidR="000E3161" w:rsidRPr="003B1656">
        <w:rPr>
          <w:lang w:val="es-ES"/>
        </w:rPr>
        <w:t>,</w:t>
      </w:r>
      <w:r w:rsidR="00DE04F7" w:rsidRPr="003B1656">
        <w:rPr>
          <w:lang w:val="es-ES"/>
        </w:rPr>
        <w:t xml:space="preserve"> los grandes grupos </w:t>
      </w:r>
      <w:r w:rsidR="00C359E2" w:rsidRPr="003B1656">
        <w:rPr>
          <w:lang w:val="es-ES"/>
        </w:rPr>
        <w:t xml:space="preserve">buscan </w:t>
      </w:r>
      <w:r w:rsidR="00DE04F7" w:rsidRPr="003B1656">
        <w:rPr>
          <w:lang w:val="es-ES"/>
        </w:rPr>
        <w:t>diversificar servicios complementarios a sus productos principales</w:t>
      </w:r>
      <w:r w:rsidR="002F2137" w:rsidRPr="003B1656">
        <w:rPr>
          <w:lang w:val="es-ES"/>
        </w:rPr>
        <w:t xml:space="preserve">. </w:t>
      </w:r>
      <w:r w:rsidR="00195BC4" w:rsidRPr="003B1656">
        <w:rPr>
          <w:color w:val="000000" w:themeColor="text1"/>
          <w:lang w:val="es-ES"/>
        </w:rPr>
        <w:t>En</w:t>
      </w:r>
      <w:r w:rsidR="000E3161" w:rsidRPr="003B1656">
        <w:rPr>
          <w:color w:val="000000" w:themeColor="text1"/>
          <w:lang w:val="es-ES"/>
        </w:rPr>
        <w:t xml:space="preserve"> esta línea, </w:t>
      </w:r>
      <w:r w:rsidR="00195BC4" w:rsidRPr="003B1656">
        <w:rPr>
          <w:color w:val="000000" w:themeColor="text1"/>
          <w:lang w:val="es-ES"/>
        </w:rPr>
        <w:t xml:space="preserve">la sección 3 </w:t>
      </w:r>
      <w:r w:rsidR="000E3161" w:rsidRPr="003B1656">
        <w:rPr>
          <w:color w:val="000000" w:themeColor="text1"/>
          <w:lang w:val="es-ES"/>
        </w:rPr>
        <w:t xml:space="preserve">discute </w:t>
      </w:r>
      <w:r w:rsidR="00195BC4" w:rsidRPr="003B1656">
        <w:rPr>
          <w:color w:val="000000" w:themeColor="text1"/>
          <w:lang w:val="es-ES"/>
        </w:rPr>
        <w:t>si</w:t>
      </w:r>
      <w:r w:rsidR="009F366F">
        <w:rPr>
          <w:color w:val="000000" w:themeColor="text1"/>
          <w:lang w:val="es-ES"/>
        </w:rPr>
        <w:t xml:space="preserve"> </w:t>
      </w:r>
      <w:r w:rsidR="002F2137" w:rsidRPr="003B1656">
        <w:rPr>
          <w:color w:val="000000" w:themeColor="text1"/>
          <w:lang w:val="es-ES"/>
        </w:rPr>
        <w:t xml:space="preserve">la entrada de </w:t>
      </w:r>
      <w:r w:rsidR="002F2137" w:rsidRPr="003B1656">
        <w:rPr>
          <w:color w:val="000000" w:themeColor="text1"/>
          <w:lang w:val="es-ES"/>
        </w:rPr>
        <w:lastRenderedPageBreak/>
        <w:t>nuevos actores disruptivos logra revertir esta dinámica a la concentración y centralización a partir de sus capacidades previas (</w:t>
      </w:r>
      <w:r w:rsidR="00DE04F7" w:rsidRPr="003B1656">
        <w:rPr>
          <w:color w:val="000000" w:themeColor="text1"/>
          <w:lang w:val="es-ES"/>
        </w:rPr>
        <w:t xml:space="preserve">ya sea </w:t>
      </w:r>
      <w:r w:rsidR="002F2137" w:rsidRPr="003B1656">
        <w:rPr>
          <w:color w:val="000000" w:themeColor="text1"/>
          <w:lang w:val="es-ES"/>
        </w:rPr>
        <w:t xml:space="preserve">en </w:t>
      </w:r>
      <w:r w:rsidR="00DE04F7" w:rsidRPr="003B1656">
        <w:rPr>
          <w:color w:val="000000" w:themeColor="text1"/>
          <w:lang w:val="es-ES"/>
        </w:rPr>
        <w:t>equipamiento o paquetes agro biotecnológicos)</w:t>
      </w:r>
      <w:r w:rsidR="00A10B2E" w:rsidRPr="003B1656">
        <w:rPr>
          <w:color w:val="000000" w:themeColor="text1"/>
          <w:lang w:val="es-ES"/>
        </w:rPr>
        <w:t>.</w:t>
      </w:r>
      <w:r w:rsidR="009F366F">
        <w:rPr>
          <w:color w:val="000000" w:themeColor="text1"/>
          <w:lang w:val="es-ES"/>
        </w:rPr>
        <w:t xml:space="preserve"> </w:t>
      </w:r>
      <w:r w:rsidR="00A10B2E" w:rsidRPr="003B1656">
        <w:rPr>
          <w:color w:val="000000" w:themeColor="text1"/>
          <w:lang w:val="es-ES"/>
        </w:rPr>
        <w:t xml:space="preserve"> </w:t>
      </w:r>
    </w:p>
    <w:p w:rsidR="00A66812" w:rsidRPr="003B1656" w:rsidRDefault="002B3952" w:rsidP="003B1656">
      <w:pPr>
        <w:spacing w:line="360" w:lineRule="auto"/>
        <w:jc w:val="both"/>
        <w:rPr>
          <w:lang w:val="es-ES"/>
        </w:rPr>
      </w:pPr>
      <w:r w:rsidRPr="003B1656">
        <w:rPr>
          <w:color w:val="000000" w:themeColor="text1"/>
          <w:lang w:val="es-ES"/>
        </w:rPr>
        <w:t xml:space="preserve">Este conjunto de cambios en el plano de la rivalidad y cooperación entre capitales se cristaliza en la emergencia de </w:t>
      </w:r>
      <w:r w:rsidR="00030A1E" w:rsidRPr="003B1656">
        <w:rPr>
          <w:color w:val="000000" w:themeColor="text1"/>
          <w:lang w:val="es-ES"/>
        </w:rPr>
        <w:t xml:space="preserve">un nuevo conjunto de tecnologías centrales complementarias y nuevos dispositivos </w:t>
      </w:r>
      <w:r w:rsidR="004104DA" w:rsidRPr="003B1656">
        <w:rPr>
          <w:color w:val="000000" w:themeColor="text1"/>
          <w:lang w:val="es-ES"/>
        </w:rPr>
        <w:t>articulándose</w:t>
      </w:r>
      <w:r w:rsidR="00030A1E" w:rsidRPr="003B1656">
        <w:rPr>
          <w:color w:val="000000" w:themeColor="text1"/>
          <w:lang w:val="es-ES"/>
        </w:rPr>
        <w:t xml:space="preserve"> en</w:t>
      </w:r>
      <w:r w:rsidR="004104DA" w:rsidRPr="003B1656">
        <w:rPr>
          <w:color w:val="000000" w:themeColor="text1"/>
          <w:lang w:val="es-ES"/>
        </w:rPr>
        <w:t xml:space="preserve"> lo que el historiador de las té</w:t>
      </w:r>
      <w:r w:rsidR="00030A1E" w:rsidRPr="003B1656">
        <w:rPr>
          <w:color w:val="000000" w:themeColor="text1"/>
          <w:lang w:val="es-ES"/>
        </w:rPr>
        <w:t xml:space="preserve">cnicas Bertand Guille </w:t>
      </w:r>
      <w:r w:rsidR="009F366F">
        <w:rPr>
          <w:color w:val="000000" w:themeColor="text1"/>
          <w:lang w:val="es-ES"/>
        </w:rPr>
        <w:t xml:space="preserve">(1977) </w:t>
      </w:r>
      <w:r w:rsidR="00030A1E" w:rsidRPr="003B1656">
        <w:rPr>
          <w:color w:val="000000" w:themeColor="text1"/>
          <w:lang w:val="es-ES"/>
        </w:rPr>
        <w:t xml:space="preserve">denominaría </w:t>
      </w:r>
      <w:r w:rsidR="004104DA" w:rsidRPr="003B1656">
        <w:rPr>
          <w:color w:val="000000" w:themeColor="text1"/>
          <w:lang w:val="es-ES"/>
        </w:rPr>
        <w:t xml:space="preserve">un nuevo “sistema técnico”. </w:t>
      </w:r>
      <w:r w:rsidR="000E3161" w:rsidRPr="003B1656">
        <w:rPr>
          <w:color w:val="000000" w:themeColor="text1"/>
          <w:lang w:val="es-ES"/>
        </w:rPr>
        <w:t>Tradicionalmente, y</w:t>
      </w:r>
      <w:r w:rsidR="002A7D17" w:rsidRPr="003B1656">
        <w:rPr>
          <w:color w:val="000000" w:themeColor="text1"/>
          <w:lang w:val="es-ES"/>
        </w:rPr>
        <w:t xml:space="preserve"> como consecuencia de la división del trabajo en el marco de la manufactura, </w:t>
      </w:r>
      <w:r w:rsidR="004F46DB" w:rsidRPr="003B1656">
        <w:rPr>
          <w:color w:val="000000" w:themeColor="text1"/>
          <w:lang w:val="es-ES"/>
        </w:rPr>
        <w:t xml:space="preserve">la industria de maquinaria agrícola comprendía una </w:t>
      </w:r>
      <w:r w:rsidR="002A7D17" w:rsidRPr="003B1656">
        <w:rPr>
          <w:color w:val="000000" w:themeColor="text1"/>
          <w:lang w:val="es-ES"/>
        </w:rPr>
        <w:t>sucesión</w:t>
      </w:r>
      <w:r w:rsidR="004F46DB" w:rsidRPr="003B1656">
        <w:rPr>
          <w:color w:val="000000" w:themeColor="text1"/>
          <w:lang w:val="es-ES"/>
        </w:rPr>
        <w:t xml:space="preserve"> de</w:t>
      </w:r>
      <w:r w:rsidR="004F46DB" w:rsidRPr="003B1656">
        <w:rPr>
          <w:lang w:val="es-ES"/>
        </w:rPr>
        <w:t xml:space="preserve"> actividades </w:t>
      </w:r>
      <w:r w:rsidR="002A7D17" w:rsidRPr="003B1656">
        <w:rPr>
          <w:lang w:val="es-ES"/>
        </w:rPr>
        <w:t>con distintos grados de mecanización que se articulaban</w:t>
      </w:r>
      <w:r w:rsidR="004F46DB" w:rsidRPr="003B1656">
        <w:rPr>
          <w:lang w:val="es-ES"/>
        </w:rPr>
        <w:t xml:space="preserve"> a partir de relaciones </w:t>
      </w:r>
      <w:r w:rsidR="002A7D17" w:rsidRPr="003B1656">
        <w:rPr>
          <w:lang w:val="es-ES"/>
        </w:rPr>
        <w:t xml:space="preserve">(directas e indirectas) </w:t>
      </w:r>
      <w:r w:rsidR="004F46DB" w:rsidRPr="003B1656">
        <w:rPr>
          <w:lang w:val="es-ES"/>
        </w:rPr>
        <w:t xml:space="preserve">verticales y, en ciertos casos, horizontales. Si bien la </w:t>
      </w:r>
      <w:r w:rsidR="002A7D17" w:rsidRPr="003B1656">
        <w:rPr>
          <w:lang w:val="es-ES"/>
        </w:rPr>
        <w:t>organización</w:t>
      </w:r>
      <w:r w:rsidR="004F46DB" w:rsidRPr="003B1656">
        <w:rPr>
          <w:lang w:val="es-ES"/>
        </w:rPr>
        <w:t xml:space="preserve"> industrial </w:t>
      </w:r>
      <w:r w:rsidR="002A7D17" w:rsidRPr="003B1656">
        <w:rPr>
          <w:lang w:val="es-ES"/>
        </w:rPr>
        <w:t>era</w:t>
      </w:r>
      <w:r w:rsidR="004F46DB" w:rsidRPr="003B1656">
        <w:rPr>
          <w:lang w:val="es-ES"/>
        </w:rPr>
        <w:t xml:space="preserve"> diferente </w:t>
      </w:r>
      <w:r w:rsidR="002A7D17" w:rsidRPr="003B1656">
        <w:rPr>
          <w:lang w:val="es-ES"/>
        </w:rPr>
        <w:t>para el caso de equipos auto-propulsados o de arrastre</w:t>
      </w:r>
      <w:r w:rsidR="009F366F">
        <w:rPr>
          <w:lang w:val="es-ES"/>
        </w:rPr>
        <w:t xml:space="preserve"> </w:t>
      </w:r>
      <w:r w:rsidR="002A7D17" w:rsidRPr="003B1656">
        <w:rPr>
          <w:lang w:val="es-ES"/>
        </w:rPr>
        <w:t xml:space="preserve">la cadena </w:t>
      </w:r>
      <w:r w:rsidR="00EA6457" w:rsidRPr="003B1656">
        <w:rPr>
          <w:lang w:val="es-ES"/>
        </w:rPr>
        <w:t>técnica</w:t>
      </w:r>
      <w:r w:rsidR="002A7D17" w:rsidRPr="003B1656">
        <w:rPr>
          <w:lang w:val="es-ES"/>
        </w:rPr>
        <w:t xml:space="preserve"> incluía</w:t>
      </w:r>
      <w:r w:rsidR="004F46DB" w:rsidRPr="003B1656">
        <w:rPr>
          <w:lang w:val="es-ES"/>
        </w:rPr>
        <w:t xml:space="preserve"> dos etapas encadenadas, por un lado, la de </w:t>
      </w:r>
      <w:r w:rsidR="00EA6457" w:rsidRPr="003B1656">
        <w:rPr>
          <w:lang w:val="es-ES"/>
        </w:rPr>
        <w:t>fundición y</w:t>
      </w:r>
      <w:r w:rsidR="004F46DB" w:rsidRPr="003B1656">
        <w:rPr>
          <w:lang w:val="es-ES"/>
        </w:rPr>
        <w:t xml:space="preserve">/o mecanizado de piezas </w:t>
      </w:r>
      <w:r w:rsidR="002A7D17" w:rsidRPr="003B1656">
        <w:rPr>
          <w:lang w:val="es-ES"/>
        </w:rPr>
        <w:t>mecánicas</w:t>
      </w:r>
      <w:r w:rsidR="004F46DB" w:rsidRPr="003B1656">
        <w:rPr>
          <w:lang w:val="es-ES"/>
        </w:rPr>
        <w:t xml:space="preserve">, incluyendo los componentes estructurales a partir de insumos </w:t>
      </w:r>
      <w:r w:rsidR="002A7D17" w:rsidRPr="003B1656">
        <w:rPr>
          <w:lang w:val="es-ES"/>
        </w:rPr>
        <w:t>siderúrgicos</w:t>
      </w:r>
      <w:r w:rsidR="004F46DB" w:rsidRPr="003B1656">
        <w:rPr>
          <w:lang w:val="es-ES"/>
        </w:rPr>
        <w:t xml:space="preserve"> y por el otro, el ensamble de estos conjuntos y subconjuntos con otros componentes de complejidad variable (motores, transmisiones, diferenciales, cabinas, aire acondicionados, cabinas) para la </w:t>
      </w:r>
      <w:r w:rsidR="002A7D17" w:rsidRPr="003B1656">
        <w:rPr>
          <w:lang w:val="es-ES"/>
        </w:rPr>
        <w:t>construcción</w:t>
      </w:r>
      <w:r w:rsidR="004F46DB" w:rsidRPr="003B1656">
        <w:rPr>
          <w:lang w:val="es-ES"/>
        </w:rPr>
        <w:t xml:space="preserve"> del producto final. </w:t>
      </w:r>
    </w:p>
    <w:p w:rsidR="00A66812" w:rsidRPr="003B1656" w:rsidRDefault="00F21017" w:rsidP="003B1656">
      <w:pPr>
        <w:spacing w:line="360" w:lineRule="auto"/>
        <w:jc w:val="both"/>
        <w:rPr>
          <w:lang w:val="es-ES"/>
        </w:rPr>
      </w:pPr>
      <w:r w:rsidRPr="003B1656">
        <w:rPr>
          <w:lang w:val="es-ES"/>
        </w:rPr>
        <w:t>Con la emergencia de la agricultura de precisión en los años ’90, y posteriormente el desarrollo de servicios y plataformas de datos</w:t>
      </w:r>
      <w:r w:rsidR="00EA6457" w:rsidRPr="003B1656">
        <w:rPr>
          <w:lang w:val="es-ES"/>
        </w:rPr>
        <w:t xml:space="preserve"> l</w:t>
      </w:r>
      <w:r w:rsidR="009F366F">
        <w:rPr>
          <w:lang w:val="es-ES"/>
        </w:rPr>
        <w:t>a maquinaria agrícola</w:t>
      </w:r>
      <w:r w:rsidR="00A66812" w:rsidRPr="003B1656">
        <w:rPr>
          <w:lang w:val="es-ES"/>
        </w:rPr>
        <w:t xml:space="preserve"> comienza a equiparse con herramientas digitales como sensores remotos, imágenes aéreas, servidores remotos. </w:t>
      </w:r>
      <w:r w:rsidR="008E082D" w:rsidRPr="003B1656">
        <w:rPr>
          <w:color w:val="000000" w:themeColor="text1"/>
          <w:lang w:val="es-ES"/>
        </w:rPr>
        <w:t xml:space="preserve">Como se </w:t>
      </w:r>
      <w:r w:rsidR="00DB150E" w:rsidRPr="003B1656">
        <w:rPr>
          <w:color w:val="000000" w:themeColor="text1"/>
          <w:lang w:val="es-ES"/>
        </w:rPr>
        <w:t>discutió</w:t>
      </w:r>
      <w:r w:rsidR="008E082D" w:rsidRPr="003B1656">
        <w:rPr>
          <w:color w:val="000000" w:themeColor="text1"/>
          <w:lang w:val="es-ES"/>
        </w:rPr>
        <w:t xml:space="preserve"> en la sección previa</w:t>
      </w:r>
      <w:r w:rsidR="00A66812" w:rsidRPr="003B1656">
        <w:rPr>
          <w:color w:val="000000" w:themeColor="text1"/>
          <w:lang w:val="es-ES"/>
        </w:rPr>
        <w:t xml:space="preserve">, las empresas de fabricación de maquinaria y equipos agrícolas (como Deere&amp; Co., CNH y AGCO) están realizando inversiones en empresas de manejo de </w:t>
      </w:r>
      <w:r w:rsidR="00FB6573" w:rsidRPr="003B1656">
        <w:rPr>
          <w:color w:val="000000" w:themeColor="text1"/>
          <w:lang w:val="es-ES"/>
        </w:rPr>
        <w:t>grandes volúmenes de</w:t>
      </w:r>
      <w:r w:rsidR="009F366F">
        <w:rPr>
          <w:color w:val="000000" w:themeColor="text1"/>
          <w:lang w:val="es-ES"/>
        </w:rPr>
        <w:t xml:space="preserve"> </w:t>
      </w:r>
      <w:r w:rsidR="00A66812" w:rsidRPr="003B1656">
        <w:rPr>
          <w:lang w:val="es-ES"/>
        </w:rPr>
        <w:t xml:space="preserve">datos (Big Data), así como en la llamada “agricultura de precisión”. </w:t>
      </w:r>
      <w:r w:rsidR="009F366F">
        <w:rPr>
          <w:lang w:val="es-ES"/>
        </w:rPr>
        <w:t>L</w:t>
      </w:r>
      <w:r w:rsidR="00A66812" w:rsidRPr="003B1656">
        <w:rPr>
          <w:lang w:val="es-ES"/>
        </w:rPr>
        <w:t xml:space="preserve">a cadena de fabricación industrial de maquinaria agrícola se reestructura incorporando nuevas actividades: proveedores de módulos electrónicos, plataformas digitales y servicios de Big Data, aguas arriba. </w:t>
      </w:r>
    </w:p>
    <w:p w:rsidR="00A66812" w:rsidRPr="003B1656" w:rsidRDefault="00A66812" w:rsidP="003B1656">
      <w:pPr>
        <w:spacing w:line="360" w:lineRule="auto"/>
        <w:jc w:val="both"/>
        <w:rPr>
          <w:lang w:val="es-ES"/>
        </w:rPr>
      </w:pPr>
    </w:p>
    <w:p w:rsidR="00A66812" w:rsidRPr="00EE4E77" w:rsidRDefault="00857A71" w:rsidP="003B1656">
      <w:pPr>
        <w:spacing w:line="360" w:lineRule="auto"/>
        <w:jc w:val="center"/>
        <w:rPr>
          <w:b/>
          <w:sz w:val="22"/>
          <w:lang w:val="es-ES"/>
        </w:rPr>
      </w:pPr>
      <w:r w:rsidRPr="00EE4E77">
        <w:rPr>
          <w:b/>
          <w:sz w:val="22"/>
          <w:lang w:val="es-ES"/>
        </w:rPr>
        <w:t>Grafico Nº</w:t>
      </w:r>
      <w:r w:rsidR="00E5458B" w:rsidRPr="00EE4E77">
        <w:rPr>
          <w:b/>
          <w:sz w:val="22"/>
          <w:lang w:val="es-ES"/>
        </w:rPr>
        <w:t>1</w:t>
      </w:r>
      <w:r w:rsidR="00A66812" w:rsidRPr="00EE4E77">
        <w:rPr>
          <w:b/>
          <w:sz w:val="22"/>
          <w:lang w:val="es-ES"/>
        </w:rPr>
        <w:t>: Cadena técnica de MA, y como interactúa con AdP, BIg Data etc.</w:t>
      </w:r>
    </w:p>
    <w:p w:rsidR="00A66812" w:rsidRPr="003B1656" w:rsidRDefault="008D6227" w:rsidP="003B1656">
      <w:pPr>
        <w:spacing w:line="360" w:lineRule="auto"/>
        <w:jc w:val="both"/>
        <w:rPr>
          <w:lang w:val="es-ES"/>
        </w:rPr>
      </w:pPr>
      <w:r w:rsidRPr="003B1656">
        <w:rPr>
          <w:b/>
          <w:noProof/>
          <w:lang w:val="es-AR" w:eastAsia="es-AR"/>
        </w:rPr>
        <w:drawing>
          <wp:inline distT="0" distB="0" distL="0" distR="0">
            <wp:extent cx="6115050" cy="2666019"/>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10017" cy="2663825"/>
                    </a:xfrm>
                    <a:prstGeom prst="rect">
                      <a:avLst/>
                    </a:prstGeom>
                  </pic:spPr>
                </pic:pic>
              </a:graphicData>
            </a:graphic>
          </wp:inline>
        </w:drawing>
      </w:r>
    </w:p>
    <w:p w:rsidR="00A66812" w:rsidRPr="00E5458B" w:rsidRDefault="00A66812" w:rsidP="00E5458B">
      <w:pPr>
        <w:jc w:val="center"/>
        <w:rPr>
          <w:sz w:val="20"/>
          <w:lang w:val="es-ES"/>
        </w:rPr>
      </w:pPr>
      <w:r w:rsidRPr="00E5458B">
        <w:rPr>
          <w:sz w:val="20"/>
          <w:lang w:val="es-ES"/>
        </w:rPr>
        <w:lastRenderedPageBreak/>
        <w:t xml:space="preserve">Fuente: </w:t>
      </w:r>
      <w:r w:rsidR="00FB6573" w:rsidRPr="00E5458B">
        <w:rPr>
          <w:sz w:val="20"/>
          <w:lang w:val="es-ES"/>
        </w:rPr>
        <w:t xml:space="preserve">CEUR-PUE </w:t>
      </w:r>
      <w:r w:rsidRPr="00E5458B">
        <w:rPr>
          <w:sz w:val="20"/>
          <w:lang w:val="es-ES"/>
        </w:rPr>
        <w:t>en base a Lavarello (</w:t>
      </w:r>
      <w:r w:rsidR="00FB6573" w:rsidRPr="00E5458B">
        <w:rPr>
          <w:sz w:val="20"/>
          <w:lang w:val="es-ES"/>
        </w:rPr>
        <w:t>2009</w:t>
      </w:r>
      <w:r w:rsidRPr="00E5458B">
        <w:rPr>
          <w:sz w:val="20"/>
          <w:lang w:val="es-ES"/>
        </w:rPr>
        <w:t>)</w:t>
      </w:r>
    </w:p>
    <w:p w:rsidR="00CD3B16" w:rsidRPr="003B1656" w:rsidRDefault="00CD3B16" w:rsidP="003B1656">
      <w:pPr>
        <w:spacing w:line="360" w:lineRule="auto"/>
        <w:jc w:val="both"/>
        <w:rPr>
          <w:lang w:val="es-ES"/>
        </w:rPr>
      </w:pPr>
    </w:p>
    <w:p w:rsidR="00CD3B16" w:rsidRPr="003B1656" w:rsidRDefault="00CD3B16" w:rsidP="003B1656">
      <w:pPr>
        <w:spacing w:line="360" w:lineRule="auto"/>
        <w:jc w:val="both"/>
        <w:rPr>
          <w:color w:val="000000" w:themeColor="text1"/>
          <w:lang w:val="es-ES"/>
        </w:rPr>
      </w:pPr>
      <w:r w:rsidRPr="003B1656">
        <w:rPr>
          <w:color w:val="000000" w:themeColor="text1"/>
          <w:lang w:val="es-ES"/>
        </w:rPr>
        <w:t xml:space="preserve">Contrariamente a las visiones (aparentemente) ingenuas que sostienen que los productores agropecuarios son los poseedores de los datos que pueden transferir a distintos “portales” de empresas de software de clima, suelo, asesoramiento de paquetes agronómicos, es de importancia identificar cuáles son los actores con las capacidades de centralizar, procesar y valorizar la información. Lejos de mantener la propiedad de los datos en manos de los productores, aquellos Grupos (o alianzas) que definan los estándares entre los distintos dispositivos y actores son los que tendrán posibilidad de captar las ganancias extraordinarias </w:t>
      </w:r>
      <w:r w:rsidR="00EF6DEA" w:rsidRPr="003B1656">
        <w:rPr>
          <w:color w:val="000000" w:themeColor="text1"/>
          <w:lang w:val="es-ES"/>
        </w:rPr>
        <w:t xml:space="preserve">o rentas </w:t>
      </w:r>
      <w:r w:rsidRPr="003B1656">
        <w:rPr>
          <w:color w:val="000000" w:themeColor="text1"/>
          <w:lang w:val="es-ES"/>
        </w:rPr>
        <w:t>de las nuevas tecnologías</w:t>
      </w:r>
      <w:r w:rsidR="00FB6573" w:rsidRPr="003B1656">
        <w:rPr>
          <w:rStyle w:val="Refdenotaalpie"/>
          <w:color w:val="000000" w:themeColor="text1"/>
          <w:lang w:val="es-ES"/>
        </w:rPr>
        <w:footnoteReference w:id="2"/>
      </w:r>
      <w:r w:rsidRPr="003B1656">
        <w:rPr>
          <w:color w:val="000000" w:themeColor="text1"/>
          <w:lang w:val="es-ES"/>
        </w:rPr>
        <w:t xml:space="preserve">. </w:t>
      </w:r>
    </w:p>
    <w:p w:rsidR="0075251B" w:rsidRPr="003B1656" w:rsidRDefault="002A7D17" w:rsidP="003B1656">
      <w:pPr>
        <w:spacing w:line="360" w:lineRule="auto"/>
        <w:jc w:val="both"/>
        <w:rPr>
          <w:lang w:val="es-ES"/>
        </w:rPr>
      </w:pPr>
      <w:r w:rsidRPr="003B1656">
        <w:rPr>
          <w:lang w:val="es-ES"/>
        </w:rPr>
        <w:t xml:space="preserve">De esta forma la convergencia entre las tecnologías digitales y la industria de maquinaria agrícola </w:t>
      </w:r>
      <w:r w:rsidR="00CD3B16" w:rsidRPr="003B1656">
        <w:rPr>
          <w:lang w:val="es-ES"/>
        </w:rPr>
        <w:t>darían</w:t>
      </w:r>
      <w:r w:rsidRPr="003B1656">
        <w:rPr>
          <w:lang w:val="es-ES"/>
        </w:rPr>
        <w:t xml:space="preserve"> lugar a una reconfiguración de las actividades clave y de los actores que intervienen en el proceso de producción </w:t>
      </w:r>
      <w:r w:rsidR="00EA6457" w:rsidRPr="003B1656">
        <w:rPr>
          <w:lang w:val="es-ES"/>
        </w:rPr>
        <w:t>agrícola. En</w:t>
      </w:r>
      <w:r w:rsidR="0075251B" w:rsidRPr="003B1656">
        <w:rPr>
          <w:lang w:val="es-ES"/>
        </w:rPr>
        <w:t xml:space="preserve"> este marco </w:t>
      </w:r>
      <w:r w:rsidR="00CD3B16" w:rsidRPr="003B1656">
        <w:rPr>
          <w:lang w:val="es-ES"/>
        </w:rPr>
        <w:t xml:space="preserve">cabe interrogase si </w:t>
      </w:r>
      <w:r w:rsidR="0075251B" w:rsidRPr="003B1656">
        <w:rPr>
          <w:lang w:val="es-ES"/>
        </w:rPr>
        <w:t>los fabricantes de equipos agríco</w:t>
      </w:r>
      <w:r w:rsidRPr="003B1656">
        <w:rPr>
          <w:lang w:val="es-ES"/>
        </w:rPr>
        <w:t xml:space="preserve">las </w:t>
      </w:r>
      <w:r w:rsidR="00CD3B16" w:rsidRPr="003B1656">
        <w:rPr>
          <w:lang w:val="es-ES"/>
        </w:rPr>
        <w:t xml:space="preserve">han avanzado en el control de las nuevas </w:t>
      </w:r>
      <w:r w:rsidRPr="003B1656">
        <w:rPr>
          <w:lang w:val="es-ES"/>
        </w:rPr>
        <w:t xml:space="preserve">actividades </w:t>
      </w:r>
      <w:r w:rsidR="0075251B" w:rsidRPr="003B1656">
        <w:rPr>
          <w:lang w:val="es-ES"/>
        </w:rPr>
        <w:t>que le</w:t>
      </w:r>
      <w:r w:rsidR="00CD3B16" w:rsidRPr="003B1656">
        <w:rPr>
          <w:lang w:val="es-ES"/>
        </w:rPr>
        <w:t xml:space="preserve"> posibilitarían</w:t>
      </w:r>
      <w:r w:rsidR="0075251B" w:rsidRPr="003B1656">
        <w:rPr>
          <w:lang w:val="es-ES"/>
        </w:rPr>
        <w:t xml:space="preserve"> un rol preponderante en la captación de datos a partir de sensores</w:t>
      </w:r>
      <w:r w:rsidR="00CD3B16" w:rsidRPr="003B1656">
        <w:rPr>
          <w:lang w:val="es-ES"/>
        </w:rPr>
        <w:t xml:space="preserve"> en equipos combinados a otras fuentes y tipo de datos</w:t>
      </w:r>
      <w:r w:rsidR="0075251B" w:rsidRPr="003B1656">
        <w:rPr>
          <w:lang w:val="es-ES"/>
        </w:rPr>
        <w:t xml:space="preserve">, </w:t>
      </w:r>
      <w:r w:rsidR="00CD3B16" w:rsidRPr="003B1656">
        <w:rPr>
          <w:lang w:val="es-ES"/>
        </w:rPr>
        <w:t>establecer algoritmos y</w:t>
      </w:r>
      <w:r w:rsidR="005371EE">
        <w:rPr>
          <w:lang w:val="es-ES"/>
        </w:rPr>
        <w:t xml:space="preserve"> </w:t>
      </w:r>
      <w:r w:rsidR="00CD3B16" w:rsidRPr="003B1656">
        <w:rPr>
          <w:lang w:val="es-ES"/>
        </w:rPr>
        <w:t>ejecuta</w:t>
      </w:r>
      <w:r w:rsidR="0075251B" w:rsidRPr="003B1656">
        <w:rPr>
          <w:lang w:val="es-ES"/>
        </w:rPr>
        <w:t>r de las operaciones planificadas y mapeadas</w:t>
      </w:r>
      <w:r w:rsidR="00CD3B16" w:rsidRPr="003B1656">
        <w:rPr>
          <w:lang w:val="es-ES"/>
        </w:rPr>
        <w:t xml:space="preserve">. </w:t>
      </w:r>
      <w:r w:rsidR="00135F5B" w:rsidRPr="003B1656">
        <w:rPr>
          <w:lang w:val="es-ES"/>
        </w:rPr>
        <w:t xml:space="preserve">Ventajas </w:t>
      </w:r>
      <w:r w:rsidR="00CD3B16" w:rsidRPr="003B1656">
        <w:rPr>
          <w:lang w:val="es-ES"/>
        </w:rPr>
        <w:t>cruciales a la hora de reforzar su poder de monopolio colectivo</w:t>
      </w:r>
      <w:r w:rsidR="005371EE">
        <w:rPr>
          <w:lang w:val="es-ES"/>
        </w:rPr>
        <w:t xml:space="preserve"> </w:t>
      </w:r>
      <w:r w:rsidR="0075251B" w:rsidRPr="003B1656">
        <w:rPr>
          <w:lang w:val="es-ES"/>
        </w:rPr>
        <w:t>ap</w:t>
      </w:r>
      <w:r w:rsidR="00CD3B16" w:rsidRPr="003B1656">
        <w:rPr>
          <w:lang w:val="es-ES"/>
        </w:rPr>
        <w:t>ropiando y codificando la información de las</w:t>
      </w:r>
      <w:r w:rsidR="00135F5B" w:rsidRPr="003B1656">
        <w:rPr>
          <w:lang w:val="es-ES"/>
        </w:rPr>
        <w:t xml:space="preserve"> prácticas agronómicas. </w:t>
      </w:r>
    </w:p>
    <w:p w:rsidR="00135F5B" w:rsidRPr="003B1656" w:rsidRDefault="00CD3B16" w:rsidP="003B1656">
      <w:pPr>
        <w:spacing w:line="360" w:lineRule="auto"/>
        <w:jc w:val="both"/>
        <w:rPr>
          <w:lang w:val="es-ES"/>
        </w:rPr>
      </w:pPr>
      <w:r w:rsidRPr="003B1656">
        <w:rPr>
          <w:lang w:val="es-ES"/>
        </w:rPr>
        <w:t>En este proceso de apropiación y codificación de datos resulta crucial cómo y quienes definen los estándares</w:t>
      </w:r>
      <w:r w:rsidR="00D06357" w:rsidRPr="003B1656">
        <w:rPr>
          <w:lang w:val="es-ES"/>
        </w:rPr>
        <w:t xml:space="preserve"> de la información</w:t>
      </w:r>
      <w:r w:rsidRPr="003B1656">
        <w:rPr>
          <w:lang w:val="es-ES"/>
        </w:rPr>
        <w:t xml:space="preserve">. </w:t>
      </w:r>
      <w:r w:rsidR="00135F5B" w:rsidRPr="003B1656">
        <w:rPr>
          <w:lang w:val="es-ES"/>
        </w:rPr>
        <w:t>Dada la complejidad de</w:t>
      </w:r>
      <w:r w:rsidR="005371EE">
        <w:rPr>
          <w:lang w:val="es-ES"/>
        </w:rPr>
        <w:t xml:space="preserve"> los procesos agrícolas (</w:t>
      </w:r>
      <w:r w:rsidR="00135F5B" w:rsidRPr="003B1656">
        <w:rPr>
          <w:lang w:val="es-ES"/>
        </w:rPr>
        <w:t>actividades y productos heterogéneos involucrados, las distintas bases técnicas involucradas, la variedad de fuentes de información</w:t>
      </w:r>
      <w:r w:rsidR="005371EE">
        <w:rPr>
          <w:lang w:val="es-ES"/>
        </w:rPr>
        <w:t>)</w:t>
      </w:r>
      <w:r w:rsidR="00135F5B" w:rsidRPr="003B1656">
        <w:rPr>
          <w:lang w:val="es-ES"/>
        </w:rPr>
        <w:t>, surgen estructuras de comunicación extensivas y diferenciadas con distintos tipos de estándares.</w:t>
      </w:r>
      <w:r w:rsidR="005371EE">
        <w:rPr>
          <w:lang w:val="es-ES"/>
        </w:rPr>
        <w:t xml:space="preserve"> </w:t>
      </w:r>
      <w:r w:rsidR="00135F5B" w:rsidRPr="003B1656">
        <w:rPr>
          <w:lang w:val="es-ES"/>
        </w:rPr>
        <w:t xml:space="preserve">En este sentido </w:t>
      </w:r>
      <w:r w:rsidR="001630FD" w:rsidRPr="003B1656">
        <w:rPr>
          <w:lang w:val="es-ES"/>
        </w:rPr>
        <w:t>los estándares son cruciales para lograr la</w:t>
      </w:r>
      <w:r w:rsidR="00135F5B" w:rsidRPr="003B1656">
        <w:rPr>
          <w:lang w:val="es-ES"/>
        </w:rPr>
        <w:t xml:space="preserve"> inter-operabilidad</w:t>
      </w:r>
      <w:r w:rsidR="00DC1BB6" w:rsidRPr="003B1656">
        <w:rPr>
          <w:lang w:val="es-ES"/>
        </w:rPr>
        <w:t xml:space="preserve"> de soluciones modulares. Existen distintos tipos de estándares con implicancias diferentes sobre las dinámicas de difusión y apropiación</w:t>
      </w:r>
      <w:r w:rsidR="007411E7" w:rsidRPr="003B1656">
        <w:rPr>
          <w:lang w:val="es-ES"/>
        </w:rPr>
        <w:t>:</w:t>
      </w:r>
    </w:p>
    <w:p w:rsidR="00135F5B" w:rsidRPr="003B1656" w:rsidRDefault="00135F5B" w:rsidP="003B1656">
      <w:pPr>
        <w:pStyle w:val="Prrafodelista"/>
        <w:numPr>
          <w:ilvl w:val="0"/>
          <w:numId w:val="4"/>
        </w:numPr>
        <w:spacing w:line="360" w:lineRule="auto"/>
        <w:jc w:val="both"/>
        <w:rPr>
          <w:lang w:val="es-ES"/>
        </w:rPr>
      </w:pPr>
      <w:r w:rsidRPr="003B1656">
        <w:rPr>
          <w:lang w:val="es-ES"/>
        </w:rPr>
        <w:lastRenderedPageBreak/>
        <w:t>Estándares abiertos: principalmente ISOBUS que regula las interfaces entre tractores, cosechadoras, sembradoras e implementos e incluye datos, aunque el mismo es poco “amigable” a su utilización.</w:t>
      </w:r>
      <w:r w:rsidR="005371EE">
        <w:rPr>
          <w:lang w:val="es-ES"/>
        </w:rPr>
        <w:t xml:space="preserve"> </w:t>
      </w:r>
      <w:r w:rsidR="007411E7" w:rsidRPr="003B1656">
        <w:rPr>
          <w:lang w:val="es-ES"/>
        </w:rPr>
        <w:t>Empresas de servicios de datos como FarmBot (un sistema integrado de agricultura de precisión de código abierto) y Climate</w:t>
      </w:r>
      <w:r w:rsidR="005371EE">
        <w:rPr>
          <w:lang w:val="es-ES"/>
        </w:rPr>
        <w:t xml:space="preserve"> </w:t>
      </w:r>
      <w:r w:rsidR="007411E7" w:rsidRPr="003B1656">
        <w:rPr>
          <w:lang w:val="es-ES"/>
        </w:rPr>
        <w:t>Corporation, ofrecen sus productos a partir de fuentes de datos que están disponibles de forma gratuita, como los servicios meteorológicos y GoogleMaps</w:t>
      </w:r>
      <w:r w:rsidR="00EA6457" w:rsidRPr="003B1656">
        <w:rPr>
          <w:lang w:val="es-ES"/>
        </w:rPr>
        <w:t xml:space="preserve">. Con estas, además, </w:t>
      </w:r>
      <w:r w:rsidR="007411E7" w:rsidRPr="003B1656">
        <w:rPr>
          <w:lang w:val="es-ES"/>
        </w:rPr>
        <w:t>se puede acceder a los datos recogidos por las máquinas agrícolas y que han sido transmitidos de forma inalámbrica a la nube</w:t>
      </w:r>
      <w:r w:rsidR="005371EE">
        <w:rPr>
          <w:lang w:val="es-ES"/>
        </w:rPr>
        <w:t xml:space="preserve"> </w:t>
      </w:r>
      <w:r w:rsidR="007411E7" w:rsidRPr="003B1656">
        <w:rPr>
          <w:lang w:val="es-ES"/>
        </w:rPr>
        <w:t xml:space="preserve">(Wolfert, </w:t>
      </w:r>
      <w:r w:rsidR="007411E7" w:rsidRPr="003B1656">
        <w:rPr>
          <w:i/>
          <w:lang w:val="es-ES"/>
        </w:rPr>
        <w:t>et al</w:t>
      </w:r>
      <w:r w:rsidR="007411E7" w:rsidRPr="003B1656">
        <w:rPr>
          <w:lang w:val="es-ES"/>
        </w:rPr>
        <w:t xml:space="preserve"> 2017).</w:t>
      </w:r>
    </w:p>
    <w:p w:rsidR="00135F5B" w:rsidRPr="003B1656" w:rsidRDefault="00135F5B" w:rsidP="003B1656">
      <w:pPr>
        <w:pStyle w:val="Prrafodelista"/>
        <w:numPr>
          <w:ilvl w:val="0"/>
          <w:numId w:val="4"/>
        </w:numPr>
        <w:spacing w:line="360" w:lineRule="auto"/>
        <w:jc w:val="both"/>
        <w:rPr>
          <w:lang w:val="es-ES"/>
        </w:rPr>
      </w:pPr>
      <w:r w:rsidRPr="003B1656">
        <w:rPr>
          <w:lang w:val="es-ES"/>
        </w:rPr>
        <w:t xml:space="preserve">Estándares </w:t>
      </w:r>
      <w:r w:rsidR="007137F2" w:rsidRPr="003B1656">
        <w:rPr>
          <w:lang w:val="es-ES"/>
        </w:rPr>
        <w:t>cerrados</w:t>
      </w:r>
      <w:r w:rsidR="007273B7" w:rsidRPr="003B1656">
        <w:rPr>
          <w:lang w:val="es-ES"/>
        </w:rPr>
        <w:t xml:space="preserve"> de facto</w:t>
      </w:r>
      <w:r w:rsidRPr="003B1656">
        <w:rPr>
          <w:lang w:val="es-ES"/>
        </w:rPr>
        <w:t xml:space="preserve">: a partir de </w:t>
      </w:r>
      <w:r w:rsidR="00005858" w:rsidRPr="003B1656">
        <w:rPr>
          <w:lang w:val="es-ES"/>
        </w:rPr>
        <w:t xml:space="preserve">acuerdos </w:t>
      </w:r>
      <w:r w:rsidR="007273B7" w:rsidRPr="003B1656">
        <w:rPr>
          <w:lang w:val="es-ES"/>
        </w:rPr>
        <w:t>entre los grandes grupos</w:t>
      </w:r>
      <w:r w:rsidR="00EA6457" w:rsidRPr="003B1656">
        <w:rPr>
          <w:lang w:val="es-ES"/>
        </w:rPr>
        <w:t xml:space="preserve">, </w:t>
      </w:r>
      <w:r w:rsidR="00005858" w:rsidRPr="003B1656">
        <w:rPr>
          <w:lang w:val="es-ES"/>
        </w:rPr>
        <w:t>que se van abriendo selectivamente a nuevas empresas a medida que las firmas líderes expanden el número de usuarios conectados a sus plataformas reforzando sus economías de red y generando efectos de enc</w:t>
      </w:r>
      <w:r w:rsidR="007411E7" w:rsidRPr="003B1656">
        <w:rPr>
          <w:lang w:val="es-ES"/>
        </w:rPr>
        <w:t>erramiento del resto de actores. La infraestructura de estas redes se basa generalmente en el suministro de grandes proveedores de software.</w:t>
      </w:r>
      <w:r w:rsidR="005371EE">
        <w:rPr>
          <w:lang w:val="es-ES"/>
        </w:rPr>
        <w:t xml:space="preserve"> </w:t>
      </w:r>
      <w:r w:rsidR="007411E7" w:rsidRPr="003B1656">
        <w:rPr>
          <w:lang w:val="es-ES"/>
        </w:rPr>
        <w:t>Tanto los nuevos como los tradicionales proveedores reconfiguran sus roles frente a la creciente importancia que toma BigData en la agricultura, en donde sobresale el papel de las grandes empresas de tecnología y datos como Google e IBM. En ese marco, surgen</w:t>
      </w:r>
      <w:r w:rsidR="005371EE">
        <w:rPr>
          <w:lang w:val="es-ES"/>
        </w:rPr>
        <w:t xml:space="preserve"> </w:t>
      </w:r>
      <w:r w:rsidR="007411E7" w:rsidRPr="003B1656">
        <w:rPr>
          <w:lang w:val="es-ES"/>
        </w:rPr>
        <w:t>plataformas de propiedad como AgCommand de AGCO, Farm</w:t>
      </w:r>
      <w:r w:rsidR="005371EE">
        <w:rPr>
          <w:lang w:val="es-ES"/>
        </w:rPr>
        <w:t xml:space="preserve"> </w:t>
      </w:r>
      <w:r w:rsidR="007411E7" w:rsidRPr="003B1656">
        <w:rPr>
          <w:lang w:val="es-ES"/>
        </w:rPr>
        <w:t>Sight de John Deere o Field</w:t>
      </w:r>
      <w:r w:rsidR="005371EE">
        <w:rPr>
          <w:lang w:val="es-ES"/>
        </w:rPr>
        <w:t xml:space="preserve"> </w:t>
      </w:r>
      <w:r w:rsidR="007411E7" w:rsidRPr="003B1656">
        <w:rPr>
          <w:lang w:val="es-ES"/>
        </w:rPr>
        <w:t>Scripts de Monsanto</w:t>
      </w:r>
      <w:r w:rsidR="005371EE">
        <w:rPr>
          <w:lang w:val="es-ES"/>
        </w:rPr>
        <w:t xml:space="preserve"> </w:t>
      </w:r>
      <w:r w:rsidR="007411E7" w:rsidRPr="003B1656">
        <w:rPr>
          <w:lang w:val="es-ES"/>
        </w:rPr>
        <w:t xml:space="preserve">(Wolfert, </w:t>
      </w:r>
      <w:r w:rsidR="007411E7" w:rsidRPr="003B1656">
        <w:rPr>
          <w:i/>
          <w:lang w:val="es-ES"/>
        </w:rPr>
        <w:t>et al</w:t>
      </w:r>
      <w:r w:rsidR="007411E7" w:rsidRPr="003B1656">
        <w:rPr>
          <w:lang w:val="es-ES"/>
        </w:rPr>
        <w:t xml:space="preserve"> 2017).</w:t>
      </w:r>
    </w:p>
    <w:p w:rsidR="00F21017" w:rsidRPr="003B1656" w:rsidRDefault="007273B7" w:rsidP="003B1656">
      <w:pPr>
        <w:spacing w:line="360" w:lineRule="auto"/>
        <w:jc w:val="both"/>
        <w:rPr>
          <w:lang w:val="es-ES"/>
        </w:rPr>
      </w:pPr>
      <w:r w:rsidRPr="003B1656">
        <w:rPr>
          <w:lang w:val="es-ES"/>
        </w:rPr>
        <w:t xml:space="preserve">Frente a estas alternativas las grandes empresas están avanzando en el establecimiento de </w:t>
      </w:r>
      <w:r w:rsidRPr="003B1656">
        <w:rPr>
          <w:i/>
          <w:lang w:val="es-ES"/>
        </w:rPr>
        <w:t>standards</w:t>
      </w:r>
      <w:r w:rsidRPr="003B1656">
        <w:rPr>
          <w:lang w:val="es-ES"/>
        </w:rPr>
        <w:t xml:space="preserve"> de facto mientras que las pequeñas y medianas empresas aún adoptan un criterio de “</w:t>
      </w:r>
      <w:r w:rsidRPr="003B1656">
        <w:rPr>
          <w:i/>
          <w:lang w:val="es-ES"/>
        </w:rPr>
        <w:t>wait and see</w:t>
      </w:r>
      <w:r w:rsidRPr="003B1656">
        <w:rPr>
          <w:lang w:val="es-ES"/>
        </w:rPr>
        <w:t>”. Aún entre los grandes grupos existen dificultades para avanzar en la estandarización</w:t>
      </w:r>
      <w:r w:rsidR="00EA6457" w:rsidRPr="003B1656">
        <w:rPr>
          <w:lang w:val="es-ES"/>
        </w:rPr>
        <w:t>,</w:t>
      </w:r>
      <w:r w:rsidRPr="003B1656">
        <w:rPr>
          <w:lang w:val="es-ES"/>
        </w:rPr>
        <w:t xml:space="preserve"> dadas las diferencias de intereses</w:t>
      </w:r>
      <w:r w:rsidR="00F21017" w:rsidRPr="003B1656">
        <w:rPr>
          <w:lang w:val="es-ES"/>
        </w:rPr>
        <w:t>, el bajo grado de madurez de</w:t>
      </w:r>
      <w:r w:rsidRPr="003B1656">
        <w:rPr>
          <w:lang w:val="es-ES"/>
        </w:rPr>
        <w:t xml:space="preserve"> áreas tecnológicas </w:t>
      </w:r>
      <w:r w:rsidR="00F21017" w:rsidRPr="003B1656">
        <w:rPr>
          <w:lang w:val="es-ES"/>
        </w:rPr>
        <w:t>y que pueden dar lugar a</w:t>
      </w:r>
      <w:r w:rsidRPr="003B1656">
        <w:rPr>
          <w:lang w:val="es-ES"/>
        </w:rPr>
        <w:t xml:space="preserve"> “efectos de encerramiento negativo” </w:t>
      </w:r>
      <w:r w:rsidR="00F21017" w:rsidRPr="003B1656">
        <w:rPr>
          <w:lang w:val="es-ES"/>
        </w:rPr>
        <w:t>y/</w:t>
      </w:r>
      <w:r w:rsidRPr="003B1656">
        <w:rPr>
          <w:lang w:val="es-ES"/>
        </w:rPr>
        <w:t xml:space="preserve">o </w:t>
      </w:r>
      <w:r w:rsidR="00F21017" w:rsidRPr="003B1656">
        <w:rPr>
          <w:lang w:val="es-ES"/>
        </w:rPr>
        <w:t xml:space="preserve">conflictos </w:t>
      </w:r>
      <w:r w:rsidRPr="003B1656">
        <w:rPr>
          <w:lang w:val="es-ES"/>
        </w:rPr>
        <w:t xml:space="preserve">en la apropiación de las cuasi-rentas de estas tecnologías. </w:t>
      </w:r>
    </w:p>
    <w:p w:rsidR="007411E7" w:rsidRPr="003B1656" w:rsidRDefault="007411E7" w:rsidP="003B1656">
      <w:pPr>
        <w:pStyle w:val="Textoindependiente"/>
        <w:spacing w:line="360" w:lineRule="auto"/>
        <w:jc w:val="both"/>
        <w:rPr>
          <w:sz w:val="24"/>
          <w:szCs w:val="24"/>
          <w:highlight w:val="green"/>
          <w:lang w:val="es-ES"/>
        </w:rPr>
      </w:pPr>
      <w:r w:rsidRPr="003B1656">
        <w:rPr>
          <w:sz w:val="24"/>
          <w:szCs w:val="24"/>
          <w:lang w:val="es-ES"/>
        </w:rPr>
        <w:t>Además de los actores empresariales se destacan algunas instituciones públicas y/o privadas (universidades, USDA, la Federación Estadounidense de Agencias Agrícolas, GODAN, Big DataCoalition, Open Agriculture Data Alliance y AgGateway) que trabajan activamente en la difusión de Big Data en la agricultura, a través de la defensa de un uso abierto de los datos en</w:t>
      </w:r>
      <w:r w:rsidR="005371EE">
        <w:rPr>
          <w:sz w:val="24"/>
          <w:szCs w:val="24"/>
          <w:lang w:val="es-ES"/>
        </w:rPr>
        <w:t xml:space="preserve"> pos de promover una mayor </w:t>
      </w:r>
      <w:r w:rsidRPr="003B1656">
        <w:rPr>
          <w:sz w:val="24"/>
          <w:szCs w:val="24"/>
          <w:lang w:val="es-ES"/>
        </w:rPr>
        <w:t>operabilidad en el intercambio de datos dentro de la cadena de producción. Entre las cuestiones que abarcan estas organizaciones se pueden identificar tópicos tales como: principios de propiedad, recopilación, notificación, acceso, uso de terceros, transparencia, coherencia, portabilidad, y seguridad de datos</w:t>
      </w:r>
      <w:r w:rsidR="005371EE">
        <w:rPr>
          <w:sz w:val="24"/>
          <w:szCs w:val="24"/>
          <w:lang w:val="es-ES"/>
        </w:rPr>
        <w:t xml:space="preserve"> </w:t>
      </w:r>
      <w:r w:rsidRPr="003B1656">
        <w:rPr>
          <w:sz w:val="24"/>
          <w:szCs w:val="24"/>
          <w:lang w:val="es-ES"/>
        </w:rPr>
        <w:t>(Wolfert</w:t>
      </w:r>
      <w:r w:rsidRPr="003B1656">
        <w:rPr>
          <w:i/>
          <w:sz w:val="24"/>
          <w:szCs w:val="24"/>
          <w:lang w:val="es-ES"/>
        </w:rPr>
        <w:t>, et al</w:t>
      </w:r>
      <w:r w:rsidRPr="003B1656">
        <w:rPr>
          <w:sz w:val="24"/>
          <w:szCs w:val="24"/>
          <w:lang w:val="es-ES"/>
        </w:rPr>
        <w:t xml:space="preserve"> 2017).</w:t>
      </w:r>
      <w:r w:rsidR="009F366F">
        <w:rPr>
          <w:sz w:val="24"/>
          <w:szCs w:val="24"/>
          <w:lang w:val="es-ES"/>
        </w:rPr>
        <w:t xml:space="preserve"> </w:t>
      </w:r>
      <w:r w:rsidRPr="003B1656">
        <w:rPr>
          <w:sz w:val="24"/>
          <w:szCs w:val="24"/>
          <w:lang w:val="es-ES"/>
        </w:rPr>
        <w:t xml:space="preserve"> </w:t>
      </w:r>
    </w:p>
    <w:p w:rsidR="00A10B2E" w:rsidRPr="003B1656" w:rsidRDefault="00DF59E6" w:rsidP="003B1656">
      <w:pPr>
        <w:spacing w:line="360" w:lineRule="auto"/>
        <w:jc w:val="both"/>
        <w:rPr>
          <w:lang w:val="es-ES"/>
        </w:rPr>
      </w:pPr>
      <w:r w:rsidRPr="003B1656">
        <w:rPr>
          <w:lang w:val="es-ES"/>
        </w:rPr>
        <w:t xml:space="preserve">Como se discutirá en las secciones siguientes los procesos de concentración y centralización en marcha, así </w:t>
      </w:r>
      <w:r w:rsidR="005371EE">
        <w:rPr>
          <w:lang w:val="es-ES"/>
        </w:rPr>
        <w:t>co</w:t>
      </w:r>
      <w:r w:rsidR="00437F45" w:rsidRPr="003B1656">
        <w:rPr>
          <w:lang w:val="es-ES"/>
        </w:rPr>
        <w:t>mo el proceso de estandarización</w:t>
      </w:r>
      <w:r w:rsidR="00EA6457" w:rsidRPr="003B1656">
        <w:rPr>
          <w:lang w:val="es-ES"/>
        </w:rPr>
        <w:t xml:space="preserve">, </w:t>
      </w:r>
      <w:r w:rsidRPr="003B1656">
        <w:rPr>
          <w:lang w:val="es-ES"/>
        </w:rPr>
        <w:t xml:space="preserve">definirán la </w:t>
      </w:r>
      <w:r w:rsidR="005371EE">
        <w:rPr>
          <w:lang w:val="es-ES"/>
        </w:rPr>
        <w:t>estructura del oligopolio</w:t>
      </w:r>
      <w:r w:rsidRPr="003B1656">
        <w:rPr>
          <w:lang w:val="es-ES"/>
        </w:rPr>
        <w:t xml:space="preserve">. </w:t>
      </w:r>
      <w:r w:rsidR="00437F45" w:rsidRPr="003B1656">
        <w:rPr>
          <w:lang w:val="es-ES"/>
        </w:rPr>
        <w:lastRenderedPageBreak/>
        <w:t>Dependiendo de</w:t>
      </w:r>
      <w:r w:rsidR="005371EE">
        <w:rPr>
          <w:lang w:val="es-ES"/>
        </w:rPr>
        <w:t xml:space="preserve"> </w:t>
      </w:r>
      <w:r w:rsidR="00437F45" w:rsidRPr="003B1656">
        <w:rPr>
          <w:lang w:val="es-ES"/>
        </w:rPr>
        <w:t xml:space="preserve">la velocidad </w:t>
      </w:r>
      <w:r w:rsidR="00EA6457" w:rsidRPr="003B1656">
        <w:rPr>
          <w:lang w:val="es-ES"/>
        </w:rPr>
        <w:t>en que</w:t>
      </w:r>
      <w:r w:rsidR="00437F45" w:rsidRPr="003B1656">
        <w:rPr>
          <w:lang w:val="es-ES"/>
        </w:rPr>
        <w:t xml:space="preserve"> e</w:t>
      </w:r>
      <w:r w:rsidR="005371EE">
        <w:rPr>
          <w:lang w:val="es-ES"/>
        </w:rPr>
        <w:t>l</w:t>
      </w:r>
      <w:r w:rsidR="00EA6457" w:rsidRPr="003B1656">
        <w:rPr>
          <w:lang w:val="es-ES"/>
        </w:rPr>
        <w:t xml:space="preserve"> </w:t>
      </w:r>
      <w:r w:rsidRPr="003B1656">
        <w:rPr>
          <w:lang w:val="es-ES"/>
        </w:rPr>
        <w:t xml:space="preserve">proceso de convergencia se vea completado, </w:t>
      </w:r>
      <w:r w:rsidR="00437F45" w:rsidRPr="003B1656">
        <w:rPr>
          <w:lang w:val="es-ES"/>
        </w:rPr>
        <w:t>existirán distintos</w:t>
      </w:r>
      <w:r w:rsidRPr="003B1656">
        <w:rPr>
          <w:lang w:val="es-ES"/>
        </w:rPr>
        <w:t xml:space="preserve"> grados de libertad para </w:t>
      </w:r>
      <w:r w:rsidR="005371EE">
        <w:rPr>
          <w:lang w:val="es-ES"/>
        </w:rPr>
        <w:t>país</w:t>
      </w:r>
      <w:r w:rsidRPr="003B1656">
        <w:rPr>
          <w:lang w:val="es-ES"/>
        </w:rPr>
        <w:t xml:space="preserve">es </w:t>
      </w:r>
      <w:r w:rsidR="00437F45" w:rsidRPr="003B1656">
        <w:rPr>
          <w:lang w:val="es-ES"/>
        </w:rPr>
        <w:t>(y empresas) de desarrollo tardío.</w:t>
      </w:r>
    </w:p>
    <w:p w:rsidR="00D63B8F" w:rsidRPr="003B1656" w:rsidRDefault="00D63B8F" w:rsidP="003B1656">
      <w:pPr>
        <w:spacing w:line="360" w:lineRule="auto"/>
        <w:jc w:val="both"/>
        <w:rPr>
          <w:lang w:val="es-ES"/>
        </w:rPr>
      </w:pPr>
    </w:p>
    <w:p w:rsidR="005A1891" w:rsidRPr="003B1656" w:rsidRDefault="002907CF" w:rsidP="003B1656">
      <w:pPr>
        <w:spacing w:line="360" w:lineRule="auto"/>
        <w:jc w:val="both"/>
        <w:rPr>
          <w:b/>
          <w:lang w:val="es-ES"/>
        </w:rPr>
      </w:pPr>
      <w:r w:rsidRPr="003B1656">
        <w:rPr>
          <w:b/>
          <w:lang w:val="es-ES"/>
        </w:rPr>
        <w:t>3</w:t>
      </w:r>
      <w:r w:rsidR="004A2959" w:rsidRPr="003B1656">
        <w:rPr>
          <w:b/>
          <w:lang w:val="es-ES"/>
        </w:rPr>
        <w:t>.-Contexto internacional</w:t>
      </w:r>
      <w:r w:rsidR="00A20D25" w:rsidRPr="003B1656">
        <w:rPr>
          <w:b/>
          <w:lang w:val="es-ES"/>
        </w:rPr>
        <w:t xml:space="preserve">: Crisis y recomposición del oligopolio mundial de maquinaria </w:t>
      </w:r>
      <w:r w:rsidR="00195BC4" w:rsidRPr="003B1656">
        <w:rPr>
          <w:b/>
          <w:lang w:val="es-ES"/>
        </w:rPr>
        <w:t>agrícola</w:t>
      </w:r>
      <w:r w:rsidR="004A2959" w:rsidRPr="003B1656">
        <w:rPr>
          <w:b/>
          <w:lang w:val="es-ES"/>
        </w:rPr>
        <w:t xml:space="preserve">. </w:t>
      </w:r>
    </w:p>
    <w:p w:rsidR="001B627D" w:rsidRPr="003B1656" w:rsidRDefault="001B627D" w:rsidP="003B1656">
      <w:pPr>
        <w:spacing w:line="360" w:lineRule="auto"/>
        <w:jc w:val="both"/>
        <w:rPr>
          <w:lang w:val="es-ES"/>
        </w:rPr>
      </w:pPr>
      <w:r w:rsidRPr="003B1656">
        <w:rPr>
          <w:lang w:val="es-ES"/>
        </w:rPr>
        <w:t>Las estructuras de mercado predominantes actualmente en las economías capitalistas son los oligopolios mundiales, los cuales se caracterizan más allá del pequeño número de firmas que comparten el poder de mercado colectivo, por la fuerte rivalidad entre sus miembros y la tendencia a establecer alianzas que trascienden las relaciones estables en la fijación de precios o niveles de producción</w:t>
      </w:r>
      <w:r w:rsidR="00E3211C" w:rsidRPr="003B1656">
        <w:rPr>
          <w:lang w:val="es-ES"/>
        </w:rPr>
        <w:t xml:space="preserve"> (Chesnais,</w:t>
      </w:r>
      <w:r w:rsidR="007411E7" w:rsidRPr="003B1656">
        <w:rPr>
          <w:lang w:val="es-ES"/>
        </w:rPr>
        <w:t>1994</w:t>
      </w:r>
      <w:r w:rsidR="00E3211C" w:rsidRPr="003B1656">
        <w:rPr>
          <w:lang w:val="es-ES"/>
        </w:rPr>
        <w:t>)</w:t>
      </w:r>
      <w:r w:rsidRPr="003B1656">
        <w:rPr>
          <w:lang w:val="es-ES"/>
        </w:rPr>
        <w:t xml:space="preserve">. Esta definición posibilita la coexistencia entre los grandes grupos dominantes y empresas medianas y pequeñas en algunos casos. </w:t>
      </w:r>
    </w:p>
    <w:p w:rsidR="001B627D" w:rsidRPr="003B1656" w:rsidRDefault="001B627D" w:rsidP="003B1656">
      <w:pPr>
        <w:spacing w:line="360" w:lineRule="auto"/>
        <w:jc w:val="both"/>
        <w:rPr>
          <w:lang w:val="es-ES"/>
        </w:rPr>
      </w:pPr>
    </w:p>
    <w:p w:rsidR="00AD0319" w:rsidRPr="003B1656" w:rsidRDefault="00AD0319" w:rsidP="003B1656">
      <w:pPr>
        <w:spacing w:line="360" w:lineRule="auto"/>
        <w:ind w:firstLine="708"/>
        <w:jc w:val="both"/>
        <w:rPr>
          <w:b/>
          <w:i/>
          <w:lang w:val="es-ES"/>
        </w:rPr>
      </w:pPr>
      <w:r w:rsidRPr="003B1656">
        <w:rPr>
          <w:b/>
          <w:i/>
          <w:lang w:val="es-ES"/>
        </w:rPr>
        <w:t xml:space="preserve">3.1 Estructura de la industria de maquinaria agrícola global. </w:t>
      </w:r>
    </w:p>
    <w:p w:rsidR="00A20D25" w:rsidRPr="003B1656" w:rsidRDefault="00C22642" w:rsidP="003B1656">
      <w:pPr>
        <w:spacing w:line="360" w:lineRule="auto"/>
        <w:jc w:val="both"/>
        <w:rPr>
          <w:lang w:val="es-ES"/>
        </w:rPr>
      </w:pPr>
      <w:r w:rsidRPr="003B1656">
        <w:rPr>
          <w:lang w:val="es-ES"/>
        </w:rPr>
        <w:t xml:space="preserve">Esta industria ha sido caracterizada como una estructura de carácter </w:t>
      </w:r>
      <w:r w:rsidR="006714F9" w:rsidRPr="003B1656">
        <w:rPr>
          <w:lang w:val="es-ES"/>
        </w:rPr>
        <w:t>“</w:t>
      </w:r>
      <w:r w:rsidRPr="003B1656">
        <w:rPr>
          <w:lang w:val="es-ES"/>
        </w:rPr>
        <w:t>oligopólico diferenciado y concentrado</w:t>
      </w:r>
      <w:r w:rsidR="006714F9" w:rsidRPr="003B1656">
        <w:rPr>
          <w:lang w:val="es-ES"/>
        </w:rPr>
        <w:t xml:space="preserve"> a nivel mundial” en el que coexisten</w:t>
      </w:r>
      <w:r w:rsidR="00E74FE9" w:rsidRPr="003B1656">
        <w:rPr>
          <w:lang w:val="es-ES"/>
        </w:rPr>
        <w:t xml:space="preserve"> barreras externas basadas en economías de</w:t>
      </w:r>
      <w:r w:rsidR="006714F9" w:rsidRPr="003B1656">
        <w:rPr>
          <w:lang w:val="es-ES"/>
        </w:rPr>
        <w:t xml:space="preserve"> escala </w:t>
      </w:r>
      <w:r w:rsidR="00E74FE9" w:rsidRPr="003B1656">
        <w:rPr>
          <w:lang w:val="es-ES"/>
        </w:rPr>
        <w:t>y variedad (</w:t>
      </w:r>
      <w:r w:rsidR="00E74FE9" w:rsidRPr="003B1656">
        <w:rPr>
          <w:i/>
          <w:lang w:val="es-ES"/>
        </w:rPr>
        <w:t>scope</w:t>
      </w:r>
      <w:r w:rsidR="00E74FE9" w:rsidRPr="003B1656">
        <w:rPr>
          <w:lang w:val="es-ES"/>
        </w:rPr>
        <w:t xml:space="preserve">) </w:t>
      </w:r>
      <w:r w:rsidR="006714F9" w:rsidRPr="003B1656">
        <w:rPr>
          <w:lang w:val="es-ES"/>
        </w:rPr>
        <w:t xml:space="preserve">y </w:t>
      </w:r>
      <w:r w:rsidR="00E3211C" w:rsidRPr="003B1656">
        <w:rPr>
          <w:lang w:val="es-ES"/>
        </w:rPr>
        <w:t xml:space="preserve">la construcción de </w:t>
      </w:r>
      <w:r w:rsidR="006714F9" w:rsidRPr="003B1656">
        <w:rPr>
          <w:lang w:val="es-ES"/>
        </w:rPr>
        <w:t xml:space="preserve">barreras internas asociadas </w:t>
      </w:r>
      <w:r w:rsidR="00E74FE9" w:rsidRPr="003B1656">
        <w:rPr>
          <w:lang w:val="es-ES"/>
        </w:rPr>
        <w:t>a la innovación de producto y la diferenciación por fidelización de clientes por marcas</w:t>
      </w:r>
      <w:r w:rsidRPr="003B1656">
        <w:rPr>
          <w:lang w:val="es-ES"/>
        </w:rPr>
        <w:t xml:space="preserve">. </w:t>
      </w:r>
      <w:r w:rsidR="00761734" w:rsidRPr="003B1656">
        <w:rPr>
          <w:lang w:val="es-ES"/>
        </w:rPr>
        <w:t>Una de las principales ventajas de las firmas que forman parte del oligopolio mundial</w:t>
      </w:r>
      <w:r w:rsidR="00F20957">
        <w:rPr>
          <w:lang w:val="es-ES"/>
        </w:rPr>
        <w:t xml:space="preserve"> </w:t>
      </w:r>
      <w:r w:rsidR="00761734" w:rsidRPr="003B1656">
        <w:rPr>
          <w:lang w:val="es-ES"/>
        </w:rPr>
        <w:t xml:space="preserve">es su organización </w:t>
      </w:r>
      <w:r w:rsidR="007608CF" w:rsidRPr="003B1656">
        <w:rPr>
          <w:lang w:val="es-ES"/>
        </w:rPr>
        <w:t>como Grupos (o Holdings) controlando diversas unidades de negocios a partir de participaciones en las sociedades</w:t>
      </w:r>
      <w:r w:rsidR="00F20957">
        <w:rPr>
          <w:lang w:val="es-ES"/>
        </w:rPr>
        <w:t>. Esto</w:t>
      </w:r>
      <w:r w:rsidR="00761734" w:rsidRPr="003B1656">
        <w:rPr>
          <w:lang w:val="es-ES"/>
        </w:rPr>
        <w:t xml:space="preserve"> permite acelerar el proceso de </w:t>
      </w:r>
      <w:r w:rsidR="007608CF" w:rsidRPr="003B1656">
        <w:rPr>
          <w:lang w:val="es-ES"/>
        </w:rPr>
        <w:t>concentración</w:t>
      </w:r>
      <w:r w:rsidR="00761734" w:rsidRPr="003B1656">
        <w:rPr>
          <w:lang w:val="es-ES"/>
        </w:rPr>
        <w:t xml:space="preserve"> mediante la centralización</w:t>
      </w:r>
      <w:r w:rsidR="007608CF" w:rsidRPr="003B1656">
        <w:rPr>
          <w:lang w:val="es-ES"/>
        </w:rPr>
        <w:t>, y en caso de reestructuraciones, desprenderse de líneas de productos que no consideren centrales a su estrategia</w:t>
      </w:r>
      <w:r w:rsidR="00761734" w:rsidRPr="003B1656">
        <w:rPr>
          <w:lang w:val="es-ES"/>
        </w:rPr>
        <w:t>.</w:t>
      </w:r>
      <w:r w:rsidR="00F20957">
        <w:rPr>
          <w:lang w:val="es-ES"/>
        </w:rPr>
        <w:t xml:space="preserve"> </w:t>
      </w:r>
      <w:r w:rsidR="006714F9" w:rsidRPr="003B1656">
        <w:rPr>
          <w:lang w:val="es-ES"/>
        </w:rPr>
        <w:t xml:space="preserve">Existen pocos trabajos que haya analizado la evolución de la industria de maquinaria agrícola a nivel global (Mentha, </w:t>
      </w:r>
      <w:r w:rsidR="00C92D40" w:rsidRPr="003B1656">
        <w:rPr>
          <w:lang w:val="es-ES"/>
        </w:rPr>
        <w:t>2009</w:t>
      </w:r>
      <w:r w:rsidR="006714F9" w:rsidRPr="003B1656">
        <w:rPr>
          <w:lang w:val="es-ES"/>
        </w:rPr>
        <w:t>; Lavarello</w:t>
      </w:r>
      <w:r w:rsidR="00C92D40" w:rsidRPr="003B1656">
        <w:rPr>
          <w:lang w:val="es-ES"/>
        </w:rPr>
        <w:t xml:space="preserve"> y Goldstein</w:t>
      </w:r>
      <w:r w:rsidR="006714F9" w:rsidRPr="003B1656">
        <w:rPr>
          <w:lang w:val="es-ES"/>
        </w:rPr>
        <w:t xml:space="preserve">, </w:t>
      </w:r>
      <w:r w:rsidR="00C92D40" w:rsidRPr="003B1656">
        <w:rPr>
          <w:lang w:val="es-ES"/>
        </w:rPr>
        <w:t>2011</w:t>
      </w:r>
      <w:r w:rsidR="006714F9" w:rsidRPr="003B1656">
        <w:rPr>
          <w:lang w:val="es-ES"/>
        </w:rPr>
        <w:t xml:space="preserve">). A fin de realizar una </w:t>
      </w:r>
      <w:r w:rsidR="004872F5" w:rsidRPr="003B1656">
        <w:rPr>
          <w:lang w:val="es-ES"/>
        </w:rPr>
        <w:t>caracterización de la evolución reciente de los niveles de concentración y centralización de los pri</w:t>
      </w:r>
      <w:r w:rsidR="00F20957">
        <w:rPr>
          <w:lang w:val="es-ES"/>
        </w:rPr>
        <w:t xml:space="preserve">ncipales grupos </w:t>
      </w:r>
      <w:r w:rsidR="004872F5" w:rsidRPr="003B1656">
        <w:rPr>
          <w:lang w:val="es-ES"/>
        </w:rPr>
        <w:t>se ha llevado adelante una búsqueda de fuentes primarias en los informes a inversores de las páginas web de las principales empresas y fuentes secundarias de los escasos informes sectoriales disponibles.</w:t>
      </w:r>
      <w:r w:rsidR="009F366F">
        <w:rPr>
          <w:lang w:val="es-ES"/>
        </w:rPr>
        <w:t xml:space="preserve"> </w:t>
      </w:r>
    </w:p>
    <w:p w:rsidR="00751E9B" w:rsidRPr="003B1656" w:rsidRDefault="00751E9B" w:rsidP="003B1656">
      <w:pPr>
        <w:spacing w:line="360" w:lineRule="auto"/>
        <w:jc w:val="both"/>
        <w:rPr>
          <w:lang w:val="es-ES"/>
        </w:rPr>
      </w:pPr>
      <w:r w:rsidRPr="003B1656">
        <w:rPr>
          <w:lang w:val="es-ES"/>
        </w:rPr>
        <w:t>Una de las características de esta estructura oligopólica es el carácter estratificado de la competencia, con pocas empresas con alcance global y muchas con alcance regional o local</w:t>
      </w:r>
      <w:r w:rsidR="00ED3A37" w:rsidRPr="003B1656">
        <w:rPr>
          <w:lang w:val="es-ES"/>
        </w:rPr>
        <w:t xml:space="preserve"> (Lavarello y Goldstein, 2011)</w:t>
      </w:r>
      <w:r w:rsidRPr="003B1656">
        <w:rPr>
          <w:lang w:val="es-ES"/>
        </w:rPr>
        <w:t>. Si bien hay más de 1</w:t>
      </w:r>
      <w:r w:rsidR="003002CE">
        <w:rPr>
          <w:lang w:val="es-ES"/>
        </w:rPr>
        <w:t>.</w:t>
      </w:r>
      <w:r w:rsidRPr="003B1656">
        <w:rPr>
          <w:lang w:val="es-ES"/>
        </w:rPr>
        <w:t>500 firmas que fabrican maquinaria agrícola</w:t>
      </w:r>
      <w:r w:rsidR="00AB115C" w:rsidRPr="003B1656">
        <w:rPr>
          <w:lang w:val="es-ES"/>
        </w:rPr>
        <w:t xml:space="preserve"> a nive</w:t>
      </w:r>
      <w:r w:rsidR="003002CE">
        <w:rPr>
          <w:lang w:val="es-ES"/>
        </w:rPr>
        <w:t>l</w:t>
      </w:r>
      <w:r w:rsidR="00AB115C" w:rsidRPr="003B1656">
        <w:rPr>
          <w:lang w:val="es-ES"/>
        </w:rPr>
        <w:t xml:space="preserve"> global (de las cuales 1</w:t>
      </w:r>
      <w:r w:rsidR="003002CE">
        <w:rPr>
          <w:lang w:val="es-ES"/>
        </w:rPr>
        <w:t>.</w:t>
      </w:r>
      <w:r w:rsidR="00AB115C" w:rsidRPr="003B1656">
        <w:rPr>
          <w:lang w:val="es-ES"/>
        </w:rPr>
        <w:t>100 se encuentran en EEUU)</w:t>
      </w:r>
      <w:r w:rsidRPr="003B1656">
        <w:rPr>
          <w:lang w:val="es-ES"/>
        </w:rPr>
        <w:t xml:space="preserve">, </w:t>
      </w:r>
      <w:r w:rsidR="00C63C26" w:rsidRPr="003B1656">
        <w:rPr>
          <w:lang w:val="es-ES"/>
        </w:rPr>
        <w:t>6</w:t>
      </w:r>
      <w:r w:rsidRPr="003B1656">
        <w:rPr>
          <w:lang w:val="es-ES"/>
        </w:rPr>
        <w:t xml:space="preserve"> empresas multinacionales tienen fuerte presencia a través de una expansión de sus capacidades de producción y distribución a escala global, representando más de </w:t>
      </w:r>
      <w:r w:rsidR="00C63C26" w:rsidRPr="003B1656">
        <w:rPr>
          <w:lang w:val="es-ES"/>
        </w:rPr>
        <w:t>40</w:t>
      </w:r>
      <w:r w:rsidRPr="003B1656">
        <w:rPr>
          <w:lang w:val="es-ES"/>
        </w:rPr>
        <w:t xml:space="preserve">% del mercado global. </w:t>
      </w:r>
    </w:p>
    <w:p w:rsidR="00C63C26" w:rsidRPr="003B1656" w:rsidRDefault="00C63C26" w:rsidP="003B1656">
      <w:pPr>
        <w:spacing w:line="360" w:lineRule="auto"/>
        <w:jc w:val="both"/>
        <w:rPr>
          <w:lang w:val="es-ES"/>
        </w:rPr>
      </w:pPr>
    </w:p>
    <w:p w:rsidR="009A0E13" w:rsidRPr="003002CE" w:rsidRDefault="00C63C26" w:rsidP="003B1656">
      <w:pPr>
        <w:spacing w:line="360" w:lineRule="auto"/>
        <w:jc w:val="both"/>
        <w:rPr>
          <w:b/>
          <w:sz w:val="22"/>
          <w:lang w:val="es-ES"/>
        </w:rPr>
      </w:pPr>
      <w:r w:rsidRPr="003002CE">
        <w:rPr>
          <w:b/>
          <w:sz w:val="22"/>
          <w:lang w:val="es-ES"/>
        </w:rPr>
        <w:t xml:space="preserve">Cuadro Nº1: Empresas seleccionadas </w:t>
      </w:r>
      <w:r w:rsidR="005720E9" w:rsidRPr="003002CE">
        <w:rPr>
          <w:b/>
          <w:sz w:val="22"/>
          <w:lang w:val="es-ES"/>
        </w:rPr>
        <w:t>de producción de maquinaria agrí</w:t>
      </w:r>
      <w:r w:rsidRPr="003002CE">
        <w:rPr>
          <w:b/>
          <w:sz w:val="22"/>
          <w:lang w:val="es-ES"/>
        </w:rPr>
        <w:t>cola (datos de ingresos).</w:t>
      </w:r>
    </w:p>
    <w:p w:rsidR="009A0E13" w:rsidRPr="003B1656" w:rsidRDefault="00A13833" w:rsidP="003B1656">
      <w:pPr>
        <w:spacing w:line="360" w:lineRule="auto"/>
        <w:jc w:val="both"/>
        <w:rPr>
          <w:lang w:val="es-ES"/>
        </w:rPr>
      </w:pPr>
      <w:r w:rsidRPr="003B1656">
        <w:rPr>
          <w:noProof/>
          <w:lang w:val="es-AR" w:eastAsia="es-AR"/>
        </w:rPr>
        <w:lastRenderedPageBreak/>
        <w:drawing>
          <wp:inline distT="0" distB="0" distL="0" distR="0">
            <wp:extent cx="5943600" cy="2238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007463" cy="2262426"/>
                    </a:xfrm>
                    <a:prstGeom prst="rect">
                      <a:avLst/>
                    </a:prstGeom>
                  </pic:spPr>
                </pic:pic>
              </a:graphicData>
            </a:graphic>
          </wp:inline>
        </w:drawing>
      </w:r>
    </w:p>
    <w:p w:rsidR="00751E9B" w:rsidRPr="00E5458B" w:rsidRDefault="00C63C26" w:rsidP="003002CE">
      <w:pPr>
        <w:jc w:val="both"/>
        <w:rPr>
          <w:sz w:val="20"/>
          <w:lang w:val="es-ES"/>
        </w:rPr>
      </w:pPr>
      <w:r w:rsidRPr="00E5458B">
        <w:rPr>
          <w:sz w:val="20"/>
        </w:rPr>
        <w:t xml:space="preserve">Fuente: Informes a inversores de las empresas, Freedonia Group; Mehta A. ,Gross A. "The global market for agricultural machinery and equipment" Business Economics. </w:t>
      </w:r>
      <w:r w:rsidRPr="00E5458B">
        <w:rPr>
          <w:sz w:val="20"/>
          <w:lang w:val="es-ES"/>
        </w:rPr>
        <w:t>Monday, October 1 2007; Donnosso (2007) "Situación del sector de maquinaria agrícola en América Latina" SRTAT.</w:t>
      </w:r>
    </w:p>
    <w:p w:rsidR="00C63C26" w:rsidRPr="003B1656" w:rsidRDefault="00C63C26" w:rsidP="003B1656">
      <w:pPr>
        <w:spacing w:line="360" w:lineRule="auto"/>
        <w:jc w:val="both"/>
        <w:rPr>
          <w:lang w:val="es-ES"/>
        </w:rPr>
      </w:pPr>
    </w:p>
    <w:p w:rsidR="00A24499" w:rsidRPr="003B1656" w:rsidRDefault="00C63C26" w:rsidP="003B1656">
      <w:pPr>
        <w:spacing w:line="360" w:lineRule="auto"/>
        <w:jc w:val="both"/>
        <w:rPr>
          <w:lang w:val="es-ES"/>
        </w:rPr>
      </w:pPr>
      <w:r w:rsidRPr="003B1656">
        <w:rPr>
          <w:lang w:val="es-ES"/>
        </w:rPr>
        <w:t>El primer grupo comprende a las tres grandes multinacionales con una gama completa de equipos (fullliners): John Deere&amp; Company, CNH Global</w:t>
      </w:r>
      <w:r w:rsidR="009F366F">
        <w:rPr>
          <w:lang w:val="es-ES"/>
        </w:rPr>
        <w:t xml:space="preserve"> </w:t>
      </w:r>
      <w:r w:rsidRPr="003B1656">
        <w:rPr>
          <w:lang w:val="es-ES"/>
        </w:rPr>
        <w:t xml:space="preserve">y AGCO. El siguiente grupo, de empresas que partiendo de una base regional ya disputan los mercados globales: Kubota, CLAAS y Yanmar. En el grupo restante es posible identificar diversas empresas especializadas y/o de alcance regional como Deutz-Fahr, Mahindra&amp;Mahindra, Caterpillar Iseki, Bucher Industries y Kverneland. Es de destacar que en el segundo y tercer grupo aparecen multinacionales japonesas </w:t>
      </w:r>
      <w:r w:rsidR="00A0242B">
        <w:rPr>
          <w:lang w:val="es-ES"/>
        </w:rPr>
        <w:t>e indias</w:t>
      </w:r>
      <w:r w:rsidRPr="003B1656">
        <w:rPr>
          <w:lang w:val="es-ES"/>
        </w:rPr>
        <w:t xml:space="preserve"> que compiten con las grandes empresas dominantes. De hecho, </w:t>
      </w:r>
      <w:r w:rsidR="00001E5A" w:rsidRPr="003B1656">
        <w:rPr>
          <w:lang w:val="es-ES"/>
        </w:rPr>
        <w:t xml:space="preserve">Kubota en el año 2017 ya alcanzó el tercer puesto en el ranking, consolidando esta tendencia y </w:t>
      </w:r>
      <w:r w:rsidRPr="003B1656">
        <w:rPr>
          <w:lang w:val="es-ES"/>
        </w:rPr>
        <w:t>la empresa india Mahindra increment</w:t>
      </w:r>
      <w:r w:rsidR="00A0242B">
        <w:rPr>
          <w:lang w:val="es-ES"/>
        </w:rPr>
        <w:t>ó</w:t>
      </w:r>
      <w:r w:rsidRPr="003B1656">
        <w:rPr>
          <w:lang w:val="es-ES"/>
        </w:rPr>
        <w:t xml:space="preserve"> su parte de mercado, apoyada en una importante expansión de sus ventas locales, que la colocan en una situación de fuerte competencia frente a las empresas líderes. </w:t>
      </w:r>
      <w:r w:rsidR="00DB0EC5" w:rsidRPr="003B1656">
        <w:rPr>
          <w:lang w:val="es-ES"/>
        </w:rPr>
        <w:t>A</w:t>
      </w:r>
      <w:r w:rsidRPr="003B1656">
        <w:rPr>
          <w:lang w:val="es-ES"/>
        </w:rPr>
        <w:t>tendiendo a la gran potencialidad de</w:t>
      </w:r>
      <w:r w:rsidR="00A0242B">
        <w:rPr>
          <w:lang w:val="es-ES"/>
        </w:rPr>
        <w:t xml:space="preserve"> ese</w:t>
      </w:r>
      <w:r w:rsidRPr="003B1656">
        <w:rPr>
          <w:lang w:val="es-ES"/>
        </w:rPr>
        <w:t xml:space="preserve"> mercado </w:t>
      </w:r>
      <w:r w:rsidR="00A0242B">
        <w:rPr>
          <w:lang w:val="es-ES"/>
        </w:rPr>
        <w:t xml:space="preserve">sostienen, </w:t>
      </w:r>
      <w:r w:rsidRPr="003B1656">
        <w:rPr>
          <w:lang w:val="es-ES"/>
        </w:rPr>
        <w:t xml:space="preserve">esta empresa </w:t>
      </w:r>
      <w:r w:rsidR="00A0242B">
        <w:rPr>
          <w:lang w:val="es-ES"/>
        </w:rPr>
        <w:t>podría ocupar</w:t>
      </w:r>
      <w:r w:rsidRPr="003B1656">
        <w:rPr>
          <w:lang w:val="es-ES"/>
        </w:rPr>
        <w:t xml:space="preserve"> en los años próximos una importante parte de las ventas mundiales de tractores a nivel mundial, incluso llegando a liderar este segmento.</w:t>
      </w:r>
    </w:p>
    <w:p w:rsidR="00A24499" w:rsidRPr="003B1656" w:rsidRDefault="00A24499" w:rsidP="003B1656">
      <w:pPr>
        <w:spacing w:line="360" w:lineRule="auto"/>
        <w:jc w:val="both"/>
        <w:rPr>
          <w:lang w:val="es-ES"/>
        </w:rPr>
      </w:pPr>
    </w:p>
    <w:p w:rsidR="00AD0319" w:rsidRPr="003B1656" w:rsidRDefault="00755099" w:rsidP="00E5458B">
      <w:pPr>
        <w:spacing w:line="360" w:lineRule="auto"/>
        <w:rPr>
          <w:b/>
          <w:i/>
          <w:lang w:val="es-ES"/>
        </w:rPr>
      </w:pPr>
      <w:r w:rsidRPr="003B1656">
        <w:rPr>
          <w:b/>
          <w:i/>
          <w:lang w:val="es-ES"/>
        </w:rPr>
        <w:t>3.2 Dinámica de los mercados agrícolas post-crisis</w:t>
      </w:r>
    </w:p>
    <w:p w:rsidR="008850E1" w:rsidRPr="00413258" w:rsidRDefault="00E119AD" w:rsidP="003B1656">
      <w:pPr>
        <w:spacing w:line="360" w:lineRule="auto"/>
        <w:jc w:val="both"/>
        <w:rPr>
          <w:lang w:val="es-ES"/>
        </w:rPr>
      </w:pPr>
      <w:r w:rsidRPr="003B1656">
        <w:rPr>
          <w:lang w:val="es-ES"/>
        </w:rPr>
        <w:t>La industria de maquinaria agrícola depende en gran medida</w:t>
      </w:r>
      <w:r w:rsidR="00413258">
        <w:rPr>
          <w:lang w:val="es-ES"/>
        </w:rPr>
        <w:t xml:space="preserve"> </w:t>
      </w:r>
      <w:r w:rsidRPr="003B1656">
        <w:rPr>
          <w:lang w:val="es-ES"/>
        </w:rPr>
        <w:t xml:space="preserve">de la performance del negocio agropecuario. </w:t>
      </w:r>
      <w:r w:rsidR="008850E1" w:rsidRPr="003B1656">
        <w:rPr>
          <w:lang w:val="es-ES"/>
        </w:rPr>
        <w:t>U</w:t>
      </w:r>
      <w:r w:rsidRPr="003B1656">
        <w:rPr>
          <w:lang w:val="es-ES"/>
        </w:rPr>
        <w:t xml:space="preserve">n impulso en el precio de los commodities provocará la expansión de cultivos sobre nuevas áreas (antes dedicadas a otras explotaciones o vírgenes) e incrementará en las campañas subsiguientes la demanda de equipos. </w:t>
      </w:r>
      <w:r w:rsidR="00413258">
        <w:rPr>
          <w:lang w:val="es-ES"/>
        </w:rPr>
        <w:t xml:space="preserve">El fenómeno inverso </w:t>
      </w:r>
      <w:r w:rsidR="004157D8" w:rsidRPr="003B1656">
        <w:rPr>
          <w:lang w:val="es-ES"/>
        </w:rPr>
        <w:t>posiblemente tenga el efecto de deprimir el mercado de equipamiento; aunque en renglones específicos la exacerbación de la competencia entre</w:t>
      </w:r>
      <w:r w:rsidR="00413258">
        <w:rPr>
          <w:lang w:val="es-ES"/>
        </w:rPr>
        <w:t xml:space="preserve"> </w:t>
      </w:r>
      <w:r w:rsidR="004157D8" w:rsidRPr="003B1656">
        <w:rPr>
          <w:lang w:val="es-ES"/>
        </w:rPr>
        <w:t xml:space="preserve">las firmas de maquinaria, debido a la crisis, puede fomentar la búsqueda de nuevas tecnologías que reduzcan costos o amplíen mercados. </w:t>
      </w:r>
      <w:r w:rsidR="00C34ADF" w:rsidRPr="003B1656">
        <w:rPr>
          <w:lang w:val="es-ES"/>
        </w:rPr>
        <w:t>Veremos que esto último ocurre en cierta medida</w:t>
      </w:r>
      <w:r w:rsidR="008850E1" w:rsidRPr="003B1656">
        <w:rPr>
          <w:lang w:val="es-ES"/>
        </w:rPr>
        <w:t>, sobre todo</w:t>
      </w:r>
      <w:r w:rsidR="00C34ADF" w:rsidRPr="003B1656">
        <w:rPr>
          <w:lang w:val="es-ES"/>
        </w:rPr>
        <w:t xml:space="preserve"> a partir de 2014. </w:t>
      </w:r>
      <w:r w:rsidR="00CC2903" w:rsidRPr="003B1656">
        <w:rPr>
          <w:lang w:val="es-ES"/>
        </w:rPr>
        <w:t xml:space="preserve">En ese sentido, </w:t>
      </w:r>
      <w:r w:rsidR="00C34ADF" w:rsidRPr="003B1656">
        <w:rPr>
          <w:lang w:val="es-ES"/>
        </w:rPr>
        <w:t>podemos distinguir al menos dos ciclos luego de la crisis de 2001 en relación a los precios de los bienes agrarios</w:t>
      </w:r>
      <w:r w:rsidR="00E5458B">
        <w:rPr>
          <w:lang w:val="es-ES"/>
        </w:rPr>
        <w:t xml:space="preserve">. </w:t>
      </w:r>
      <w:r w:rsidR="004819CB" w:rsidRPr="003B1656">
        <w:rPr>
          <w:lang w:val="es-ES"/>
        </w:rPr>
        <w:t xml:space="preserve">Desde los ’70 hasta la </w:t>
      </w:r>
      <w:r w:rsidR="004819CB" w:rsidRPr="003B1656">
        <w:rPr>
          <w:lang w:val="es-ES"/>
        </w:rPr>
        <w:lastRenderedPageBreak/>
        <w:t xml:space="preserve">crisis de 2001, evolucionan con oscilaciones relativamente moderadas. Desde fines de los ’90 a 2003 experimentan un ciclo descendente pronunciado, pero a partir de ahí y hasta 2012 crecen de forma drástica. Esto tiene varios motivos. Entre los más relevantes, la creciente demanda de China y la política monetaria en los EEUU. </w:t>
      </w:r>
      <w:r w:rsidR="00C34ADF" w:rsidRPr="003B1656">
        <w:rPr>
          <w:color w:val="000000" w:themeColor="text1"/>
          <w:lang w:val="es-ES"/>
        </w:rPr>
        <w:t xml:space="preserve">Luego de la crisis de 2001, la FED </w:t>
      </w:r>
      <w:r w:rsidR="004819CB" w:rsidRPr="003B1656">
        <w:rPr>
          <w:color w:val="000000" w:themeColor="text1"/>
          <w:lang w:val="es-ES"/>
        </w:rPr>
        <w:t xml:space="preserve">se embarcó en una política </w:t>
      </w:r>
      <w:r w:rsidR="00C34ADF" w:rsidRPr="003B1656">
        <w:rPr>
          <w:color w:val="000000" w:themeColor="text1"/>
          <w:lang w:val="es-ES"/>
        </w:rPr>
        <w:t>de emisión y devaluación del dólar</w:t>
      </w:r>
      <w:r w:rsidR="004819CB" w:rsidRPr="003B1656">
        <w:rPr>
          <w:color w:val="000000" w:themeColor="text1"/>
          <w:lang w:val="es-ES"/>
        </w:rPr>
        <w:t>, que</w:t>
      </w:r>
      <w:r w:rsidR="00C34ADF" w:rsidRPr="003B1656">
        <w:rPr>
          <w:color w:val="000000" w:themeColor="text1"/>
          <w:lang w:val="es-ES"/>
        </w:rPr>
        <w:t xml:space="preserve"> generó a nivel mundial la búsqueda de refugio en activos como las commodities. Esto provocó un aumento de</w:t>
      </w:r>
      <w:r w:rsidR="00413258">
        <w:rPr>
          <w:color w:val="000000" w:themeColor="text1"/>
          <w:lang w:val="es-ES"/>
        </w:rPr>
        <w:t xml:space="preserve"> precios de las materias primas,</w:t>
      </w:r>
      <w:r w:rsidR="00C34ADF" w:rsidRPr="003B1656">
        <w:rPr>
          <w:color w:val="000000" w:themeColor="text1"/>
          <w:lang w:val="es-ES"/>
        </w:rPr>
        <w:t xml:space="preserve"> fenómeno que se intensificó desde 2006 (Lewinger et al, 2013).</w:t>
      </w:r>
      <w:r w:rsidR="00E5458B">
        <w:rPr>
          <w:color w:val="000000" w:themeColor="text1"/>
          <w:lang w:val="es-ES"/>
        </w:rPr>
        <w:t xml:space="preserve"> </w:t>
      </w:r>
      <w:r w:rsidR="004819CB" w:rsidRPr="003B1656">
        <w:rPr>
          <w:color w:val="000000" w:themeColor="text1"/>
          <w:lang w:val="es-ES"/>
        </w:rPr>
        <w:t xml:space="preserve">La bonanza de precios motivó </w:t>
      </w:r>
      <w:r w:rsidR="008850E1" w:rsidRPr="003B1656">
        <w:rPr>
          <w:color w:val="000000" w:themeColor="text1"/>
          <w:lang w:val="es-ES"/>
        </w:rPr>
        <w:t>a su vez una aceleración en la expansión del área sembrada</w:t>
      </w:r>
      <w:r w:rsidR="00E5458B">
        <w:rPr>
          <w:color w:val="000000" w:themeColor="text1"/>
          <w:lang w:val="es-ES"/>
        </w:rPr>
        <w:t xml:space="preserve">. </w:t>
      </w:r>
      <w:r w:rsidR="008850E1" w:rsidRPr="003B1656">
        <w:rPr>
          <w:color w:val="000000" w:themeColor="text1"/>
          <w:lang w:val="es-ES"/>
        </w:rPr>
        <w:t xml:space="preserve">A partir de 2012-13, se inicia un ciclo descendente, que repercutirá en el negocio del equipo agropecuario, provocando reconfiguraciones del oligopolio mundial a partir de la búsqueda de las firmas líderes de nuevos productos y tecnologías para sostener su participación de mercado, la aparición con fuerza de jugadores de otros sectores, absorciones, nuevas joint-ventures, etc. </w:t>
      </w:r>
    </w:p>
    <w:p w:rsidR="004819CB" w:rsidRPr="003B1656" w:rsidRDefault="004819CB" w:rsidP="003B1656">
      <w:pPr>
        <w:spacing w:line="360" w:lineRule="auto"/>
        <w:jc w:val="both"/>
        <w:rPr>
          <w:color w:val="FF0000"/>
          <w:lang w:val="es-ES"/>
        </w:rPr>
      </w:pPr>
    </w:p>
    <w:p w:rsidR="00AD0319" w:rsidRPr="003B1656" w:rsidRDefault="008850E1" w:rsidP="003B1656">
      <w:pPr>
        <w:spacing w:line="360" w:lineRule="auto"/>
        <w:ind w:firstLine="708"/>
        <w:jc w:val="both"/>
        <w:rPr>
          <w:lang w:val="es-ES"/>
        </w:rPr>
      </w:pPr>
      <w:r w:rsidRPr="003B1656">
        <w:rPr>
          <w:b/>
          <w:i/>
          <w:lang w:val="es-ES"/>
        </w:rPr>
        <w:t>3.3Recomposición del oligopolio mundial: centralización y alianzas frente a la agricultura digital</w:t>
      </w:r>
    </w:p>
    <w:p w:rsidR="007411E7" w:rsidRPr="003B1656" w:rsidRDefault="00AD0319" w:rsidP="003B1656">
      <w:pPr>
        <w:spacing w:line="360" w:lineRule="auto"/>
        <w:jc w:val="both"/>
        <w:rPr>
          <w:lang w:val="es-ES"/>
        </w:rPr>
      </w:pPr>
      <w:r w:rsidRPr="003B1656">
        <w:rPr>
          <w:lang w:val="es-ES"/>
        </w:rPr>
        <w:t>Frente a</w:t>
      </w:r>
      <w:r w:rsidR="00CF2738" w:rsidRPr="003B1656">
        <w:rPr>
          <w:lang w:val="es-ES"/>
        </w:rPr>
        <w:t xml:space="preserve"> la caída de los precios agropecuarios, las firmas del sector adoptarán diversas estrategias. No solo las líderes, sino también otros competidores que apuntan a nichos particulares. Eso explica la dinámica particular que tuvo el sector durante los últimos años, con una sucesión de cambios en el mapa de participantes. Aún así, cabe señalar que las firmas tradicionales continúan liderando esta industria: </w:t>
      </w:r>
    </w:p>
    <w:p w:rsidR="00ED3A37" w:rsidRPr="003B1656" w:rsidRDefault="00ED3A37" w:rsidP="003B1656">
      <w:pPr>
        <w:spacing w:line="360" w:lineRule="auto"/>
        <w:rPr>
          <w:lang w:val="es-ES"/>
        </w:rPr>
      </w:pPr>
    </w:p>
    <w:p w:rsidR="00CF2738" w:rsidRPr="00EE4E77" w:rsidRDefault="007411E7" w:rsidP="003B1656">
      <w:pPr>
        <w:spacing w:line="360" w:lineRule="auto"/>
        <w:rPr>
          <w:b/>
          <w:bCs/>
          <w:color w:val="000000" w:themeColor="text1"/>
          <w:sz w:val="22"/>
          <w:lang w:val="es-ES"/>
        </w:rPr>
      </w:pPr>
      <w:r w:rsidRPr="00EE4E77">
        <w:rPr>
          <w:b/>
          <w:bCs/>
          <w:color w:val="000000" w:themeColor="text1"/>
          <w:sz w:val="22"/>
          <w:lang w:val="es-ES"/>
        </w:rPr>
        <w:t>Gráfico Nº</w:t>
      </w:r>
      <w:r w:rsidR="00E5458B" w:rsidRPr="00EE4E77">
        <w:rPr>
          <w:b/>
          <w:bCs/>
          <w:color w:val="000000" w:themeColor="text1"/>
          <w:sz w:val="22"/>
          <w:lang w:val="es-ES"/>
        </w:rPr>
        <w:t>2</w:t>
      </w:r>
      <w:r w:rsidRPr="00EE4E77">
        <w:rPr>
          <w:b/>
          <w:bCs/>
          <w:color w:val="000000" w:themeColor="text1"/>
          <w:sz w:val="22"/>
          <w:lang w:val="es-ES"/>
        </w:rPr>
        <w:t xml:space="preserve">. </w:t>
      </w:r>
      <w:r w:rsidR="00CF2738" w:rsidRPr="00EE4E77">
        <w:rPr>
          <w:b/>
          <w:bCs/>
          <w:color w:val="000000" w:themeColor="text1"/>
          <w:sz w:val="22"/>
          <w:lang w:val="es-ES"/>
        </w:rPr>
        <w:t>Principales firmas por nivel de ventas en mercado mundial MA, 2007, 2013 y 2017 (% ventas totales)</w:t>
      </w:r>
    </w:p>
    <w:p w:rsidR="00CF2738" w:rsidRPr="003B1656" w:rsidRDefault="00CF2738" w:rsidP="003B1656">
      <w:pPr>
        <w:spacing w:line="360" w:lineRule="auto"/>
        <w:jc w:val="center"/>
        <w:rPr>
          <w:color w:val="FF0000"/>
          <w:lang w:val="es-ES"/>
        </w:rPr>
      </w:pPr>
      <w:r w:rsidRPr="003B1656">
        <w:rPr>
          <w:noProof/>
          <w:color w:val="FF0000"/>
          <w:lang w:val="es-AR" w:eastAsia="es-AR"/>
        </w:rPr>
        <w:drawing>
          <wp:inline distT="0" distB="0" distL="0" distR="0">
            <wp:extent cx="5238750" cy="2314575"/>
            <wp:effectExtent l="0" t="0" r="0" b="0"/>
            <wp:docPr id="9"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F2738" w:rsidRPr="00BC64D9" w:rsidRDefault="00CF2738" w:rsidP="003B1656">
      <w:pPr>
        <w:spacing w:line="360" w:lineRule="auto"/>
        <w:jc w:val="center"/>
        <w:rPr>
          <w:sz w:val="20"/>
          <w:lang w:val="es-ES"/>
        </w:rPr>
      </w:pPr>
      <w:r w:rsidRPr="00BC64D9">
        <w:rPr>
          <w:sz w:val="20"/>
          <w:lang w:val="es-ES"/>
        </w:rPr>
        <w:t>Fuente: en base a Cuadro n° 1</w:t>
      </w:r>
    </w:p>
    <w:p w:rsidR="00CF2738" w:rsidRPr="003B1656" w:rsidRDefault="00CF2738" w:rsidP="003B1656">
      <w:pPr>
        <w:spacing w:line="360" w:lineRule="auto"/>
        <w:jc w:val="both"/>
        <w:rPr>
          <w:lang w:val="es-ES"/>
        </w:rPr>
      </w:pPr>
    </w:p>
    <w:p w:rsidR="00ED3A37" w:rsidRDefault="00EE4E77" w:rsidP="003B1656">
      <w:pPr>
        <w:spacing w:line="360" w:lineRule="auto"/>
        <w:jc w:val="both"/>
        <w:rPr>
          <w:color w:val="000000" w:themeColor="text1"/>
          <w:lang w:val="es-ES"/>
        </w:rPr>
      </w:pPr>
      <w:r>
        <w:rPr>
          <w:lang w:val="es-ES"/>
        </w:rPr>
        <w:lastRenderedPageBreak/>
        <w:t>L</w:t>
      </w:r>
      <w:r w:rsidR="00CF2738" w:rsidRPr="003B1656">
        <w:rPr>
          <w:lang w:val="es-ES"/>
        </w:rPr>
        <w:t>o relevante es atender los cambios de posiciones relativos. En los últimos diez años, Kubota gana una participación relevante, en detrimento de firmas como Claas o incluso CNH. En este punto, f</w:t>
      </w:r>
      <w:r w:rsidR="00A24499" w:rsidRPr="003B1656">
        <w:rPr>
          <w:lang w:val="es-ES"/>
        </w:rPr>
        <w:t>rente al recrudecimiento de la rivalidad</w:t>
      </w:r>
      <w:r w:rsidR="00CF2738" w:rsidRPr="003B1656">
        <w:rPr>
          <w:lang w:val="es-ES"/>
        </w:rPr>
        <w:t xml:space="preserve">, la tecnología se ha transformado en un arma competitiva central para estas empresas. Algunas que perdieron participación, como la alemana Claas, decidieron reforzar la “batalla tecnológica”: en 2014, </w:t>
      </w:r>
      <w:r w:rsidR="00ED3A37" w:rsidRPr="003B1656">
        <w:rPr>
          <w:lang w:val="es-ES"/>
        </w:rPr>
        <w:t xml:space="preserve">abrió </w:t>
      </w:r>
      <w:r w:rsidR="00CF2738" w:rsidRPr="003B1656">
        <w:rPr>
          <w:lang w:val="es-ES"/>
        </w:rPr>
        <w:t>una subsidiaria con 200 empleados, Claas E-Systems, para el desarrollo de software y hardware electrónico (entre ellos, sistemas de optimización, dirección automática</w:t>
      </w:r>
      <w:r w:rsidR="00BD0AD7" w:rsidRPr="003B1656">
        <w:rPr>
          <w:lang w:val="es-ES"/>
        </w:rPr>
        <w:t xml:space="preserve"> por satélite</w:t>
      </w:r>
      <w:r w:rsidR="00CF2738" w:rsidRPr="003B1656">
        <w:rPr>
          <w:lang w:val="es-ES"/>
        </w:rPr>
        <w:t>, paneles especiales para operadores de máquinas, etc.)</w:t>
      </w:r>
      <w:r w:rsidR="00BD0AD7" w:rsidRPr="003B1656">
        <w:rPr>
          <w:lang w:val="es-ES"/>
        </w:rPr>
        <w:t xml:space="preserve"> (Claas, 2017)</w:t>
      </w:r>
      <w:r w:rsidR="00CF2738" w:rsidRPr="003B1656">
        <w:rPr>
          <w:lang w:val="es-ES"/>
        </w:rPr>
        <w:t>.</w:t>
      </w:r>
      <w:r>
        <w:rPr>
          <w:lang w:val="es-ES"/>
        </w:rPr>
        <w:t xml:space="preserve"> </w:t>
      </w:r>
      <w:r w:rsidR="00BD0AD7" w:rsidRPr="003B1656">
        <w:rPr>
          <w:color w:val="000000" w:themeColor="text1"/>
          <w:lang w:val="es-ES"/>
        </w:rPr>
        <w:t xml:space="preserve">Esto evidencia la creciente importancia de las tecnologías de agricultura de precisión y </w:t>
      </w:r>
      <w:r w:rsidR="001720E5" w:rsidRPr="003B1656">
        <w:rPr>
          <w:color w:val="000000" w:themeColor="text1"/>
          <w:lang w:val="es-ES"/>
        </w:rPr>
        <w:t xml:space="preserve">la búsqueda por controlar </w:t>
      </w:r>
      <w:r w:rsidR="00BD0AD7" w:rsidRPr="003B1656">
        <w:rPr>
          <w:color w:val="000000" w:themeColor="text1"/>
          <w:lang w:val="es-ES"/>
        </w:rPr>
        <w:t xml:space="preserve">plataformas digitales en el negocio. De ahí la participación cada vez con mayor peso propio de compañías proveedoras de </w:t>
      </w:r>
      <w:r w:rsidR="001720E5" w:rsidRPr="003B1656">
        <w:rPr>
          <w:color w:val="000000" w:themeColor="text1"/>
          <w:lang w:val="es-ES"/>
        </w:rPr>
        <w:t>tecnologías asociadas a la recolección, procesamiento y aplicación de datos</w:t>
      </w:r>
      <w:r w:rsidR="00BD0AD7" w:rsidRPr="003B1656">
        <w:rPr>
          <w:color w:val="000000" w:themeColor="text1"/>
          <w:lang w:val="es-ES"/>
        </w:rPr>
        <w:t>. En ese sentido, e</w:t>
      </w:r>
      <w:r w:rsidR="00DD655C" w:rsidRPr="003B1656">
        <w:rPr>
          <w:color w:val="000000" w:themeColor="text1"/>
          <w:lang w:val="es-ES"/>
        </w:rPr>
        <w:t xml:space="preserve">s posible apreciar en el cuadro Nº2 cómo </w:t>
      </w:r>
      <w:r w:rsidR="00BD0AD7" w:rsidRPr="003B1656">
        <w:rPr>
          <w:color w:val="000000" w:themeColor="text1"/>
          <w:lang w:val="es-ES"/>
        </w:rPr>
        <w:t xml:space="preserve">las firmas de equipamiento agrícola </w:t>
      </w:r>
      <w:r w:rsidR="00DD655C" w:rsidRPr="003B1656">
        <w:rPr>
          <w:color w:val="000000" w:themeColor="text1"/>
          <w:lang w:val="es-ES"/>
        </w:rPr>
        <w:t>han adquirido o realizado alianzas con empresas de agricultura de precisión.</w:t>
      </w:r>
      <w:r>
        <w:rPr>
          <w:color w:val="000000" w:themeColor="text1"/>
          <w:lang w:val="es-ES"/>
        </w:rPr>
        <w:t xml:space="preserve"> </w:t>
      </w:r>
      <w:r w:rsidR="00ED3A37" w:rsidRPr="003B1656">
        <w:rPr>
          <w:color w:val="000000" w:themeColor="text1"/>
          <w:lang w:val="es-ES"/>
        </w:rPr>
        <w:t xml:space="preserve">Estas operaciones de adquisición-fusión y alianzas reflejan las relaciones de rivalidad y cooperación propias de los “oligopolios mundiales” (Chesnais, 1994). Como ciertos informes bien fundamentados de agrupaciones ecologistas han señalado, las ramas industriales de la maquinaria industrial agrícola, las semillas, los fertilizantes y agroquímicos están hoy vinculados como nunca antes: Monsanto colabora con las tres principales empresas globales de maquinaria agrícola (Deere&amp; CO., CNH Industrial y AGCO) (Grupo ETC, 2015:3). </w:t>
      </w:r>
    </w:p>
    <w:p w:rsidR="00BC64D9" w:rsidRPr="003B1656" w:rsidRDefault="00BC64D9" w:rsidP="003B1656">
      <w:pPr>
        <w:spacing w:line="360" w:lineRule="auto"/>
        <w:jc w:val="both"/>
        <w:rPr>
          <w:color w:val="000000" w:themeColor="text1"/>
          <w:lang w:val="es-ES"/>
        </w:rPr>
      </w:pPr>
    </w:p>
    <w:p w:rsidR="00DB0EC5" w:rsidRPr="003B1656" w:rsidRDefault="00A24499" w:rsidP="00EE4E77">
      <w:pPr>
        <w:spacing w:line="360" w:lineRule="auto"/>
        <w:jc w:val="center"/>
        <w:rPr>
          <w:b/>
          <w:lang w:val="es-ES"/>
        </w:rPr>
      </w:pPr>
      <w:r w:rsidRPr="00EE4E77">
        <w:rPr>
          <w:b/>
          <w:sz w:val="22"/>
          <w:lang w:val="es-ES"/>
        </w:rPr>
        <w:t>Cuadro Nº2</w:t>
      </w:r>
      <w:r w:rsidR="00DD655C" w:rsidRPr="00EE4E77">
        <w:rPr>
          <w:b/>
          <w:sz w:val="22"/>
          <w:lang w:val="es-ES"/>
        </w:rPr>
        <w:t>. Industria de Maquinaria agrícola mundial: F&amp;A y alianzas desde el año 2014</w:t>
      </w:r>
    </w:p>
    <w:p w:rsidR="00DB0EC5" w:rsidRPr="003B1656" w:rsidRDefault="00A24499" w:rsidP="003B1656">
      <w:pPr>
        <w:spacing w:line="360" w:lineRule="auto"/>
        <w:jc w:val="both"/>
        <w:rPr>
          <w:lang w:val="es-ES"/>
        </w:rPr>
      </w:pPr>
      <w:r w:rsidRPr="003B1656">
        <w:rPr>
          <w:noProof/>
          <w:lang w:val="es-AR" w:eastAsia="es-AR"/>
        </w:rPr>
        <w:drawing>
          <wp:inline distT="0" distB="0" distL="0" distR="0">
            <wp:extent cx="6131117" cy="4010025"/>
            <wp:effectExtent l="19050" t="0" r="2983"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33468" cy="4011563"/>
                    </a:xfrm>
                    <a:prstGeom prst="rect">
                      <a:avLst/>
                    </a:prstGeom>
                  </pic:spPr>
                </pic:pic>
              </a:graphicData>
            </a:graphic>
          </wp:inline>
        </w:drawing>
      </w:r>
    </w:p>
    <w:p w:rsidR="00C63C26" w:rsidRPr="00BC64D9" w:rsidRDefault="00BD0AD7" w:rsidP="00BC64D9">
      <w:pPr>
        <w:jc w:val="center"/>
        <w:rPr>
          <w:sz w:val="20"/>
          <w:lang w:val="es-ES"/>
        </w:rPr>
      </w:pPr>
      <w:r w:rsidRPr="00BC64D9">
        <w:rPr>
          <w:sz w:val="20"/>
          <w:lang w:val="es-ES"/>
        </w:rPr>
        <w:lastRenderedPageBreak/>
        <w:t xml:space="preserve">Fuente: elaboración propia en base a </w:t>
      </w:r>
      <w:r w:rsidRPr="00BC64D9">
        <w:rPr>
          <w:i/>
          <w:sz w:val="20"/>
          <w:lang w:val="es-ES"/>
        </w:rPr>
        <w:t>Crunchbase</w:t>
      </w:r>
      <w:r w:rsidRPr="00BC64D9">
        <w:rPr>
          <w:sz w:val="20"/>
          <w:lang w:val="es-ES"/>
        </w:rPr>
        <w:t xml:space="preserve"> y a Maquinac</w:t>
      </w:r>
    </w:p>
    <w:p w:rsidR="00BD0AD7" w:rsidRPr="003B1656" w:rsidRDefault="00BD0AD7" w:rsidP="003B1656">
      <w:pPr>
        <w:spacing w:line="360" w:lineRule="auto"/>
        <w:jc w:val="both"/>
        <w:rPr>
          <w:lang w:val="es-ES"/>
        </w:rPr>
      </w:pPr>
    </w:p>
    <w:p w:rsidR="00195BC4" w:rsidRPr="003B1656" w:rsidRDefault="007411E7" w:rsidP="003B1656">
      <w:pPr>
        <w:spacing w:line="360" w:lineRule="auto"/>
        <w:jc w:val="both"/>
        <w:rPr>
          <w:color w:val="000000" w:themeColor="text1"/>
          <w:lang w:val="es-ES"/>
        </w:rPr>
      </w:pPr>
      <w:r w:rsidRPr="003B1656">
        <w:rPr>
          <w:color w:val="000000" w:themeColor="text1"/>
          <w:lang w:val="es-ES"/>
        </w:rPr>
        <w:t>La empresa John</w:t>
      </w:r>
      <w:r w:rsidR="000F0A49">
        <w:rPr>
          <w:color w:val="000000" w:themeColor="text1"/>
          <w:lang w:val="es-ES"/>
        </w:rPr>
        <w:t xml:space="preserve"> </w:t>
      </w:r>
      <w:r w:rsidR="00195BC4" w:rsidRPr="003B1656">
        <w:rPr>
          <w:color w:val="000000" w:themeColor="text1"/>
          <w:lang w:val="es-ES"/>
        </w:rPr>
        <w:t xml:space="preserve">Deere mantiene alianzas estratégicas con </w:t>
      </w:r>
      <w:r w:rsidR="000F0A49">
        <w:rPr>
          <w:color w:val="000000" w:themeColor="text1"/>
          <w:lang w:val="es-ES"/>
        </w:rPr>
        <w:t>l</w:t>
      </w:r>
      <w:r w:rsidR="00195BC4" w:rsidRPr="003B1656">
        <w:rPr>
          <w:color w:val="000000" w:themeColor="text1"/>
          <w:lang w:val="es-ES"/>
        </w:rPr>
        <w:t xml:space="preserve">as </w:t>
      </w:r>
      <w:r w:rsidR="000F0A49">
        <w:rPr>
          <w:color w:val="000000" w:themeColor="text1"/>
          <w:lang w:val="es-ES"/>
        </w:rPr>
        <w:t>g</w:t>
      </w:r>
      <w:r w:rsidR="00195BC4" w:rsidRPr="003B1656">
        <w:rPr>
          <w:color w:val="000000" w:themeColor="text1"/>
          <w:lang w:val="es-ES"/>
        </w:rPr>
        <w:t>randes de Plaguicidas y semillas.</w:t>
      </w:r>
      <w:r w:rsidR="009F366F">
        <w:rPr>
          <w:color w:val="000000" w:themeColor="text1"/>
          <w:lang w:val="es-ES"/>
        </w:rPr>
        <w:t xml:space="preserve"> </w:t>
      </w:r>
      <w:r w:rsidR="00195BC4" w:rsidRPr="003B1656">
        <w:rPr>
          <w:color w:val="000000" w:themeColor="text1"/>
          <w:lang w:val="es-ES"/>
        </w:rPr>
        <w:t>Por su parte, AGCO cuenta con alianzas con tres y CNH con una.</w:t>
      </w:r>
      <w:r w:rsidR="009F366F">
        <w:rPr>
          <w:color w:val="000000" w:themeColor="text1"/>
          <w:lang w:val="es-ES"/>
        </w:rPr>
        <w:t xml:space="preserve"> </w:t>
      </w:r>
      <w:r w:rsidR="00195BC4" w:rsidRPr="003B1656">
        <w:rPr>
          <w:color w:val="000000" w:themeColor="text1"/>
          <w:lang w:val="es-ES"/>
        </w:rPr>
        <w:t>El móvil de las alianzas es compartir datos extraídos de distintas fuentes y establecer plataformas comunes para su captación y procesamiento.</w:t>
      </w:r>
      <w:r w:rsidR="009F366F">
        <w:rPr>
          <w:color w:val="000000" w:themeColor="text1"/>
          <w:lang w:val="es-ES"/>
        </w:rPr>
        <w:t xml:space="preserve"> </w:t>
      </w:r>
      <w:r w:rsidR="00195BC4" w:rsidRPr="003B1656">
        <w:rPr>
          <w:color w:val="000000" w:themeColor="text1"/>
          <w:lang w:val="es-ES"/>
        </w:rPr>
        <w:t xml:space="preserve">La rivalidad por el momento parece manifestarse con más crudeza entre las grandes multinacionales de maquinaria agrícola, evidenciado en la pelea entre John Deere y Agco por la adquisición </w:t>
      </w:r>
      <w:r w:rsidR="009859C7">
        <w:rPr>
          <w:color w:val="000000" w:themeColor="text1"/>
          <w:lang w:val="es-ES"/>
        </w:rPr>
        <w:t>a</w:t>
      </w:r>
      <w:r w:rsidR="00195BC4" w:rsidRPr="003B1656">
        <w:rPr>
          <w:color w:val="000000" w:themeColor="text1"/>
          <w:lang w:val="es-ES"/>
        </w:rPr>
        <w:t xml:space="preserve"> Monsanto (previo a quedar controlada por Bayer) de la empresa de agricultura de precisión PrecisionPlaning LLC. Pareciera revelarse por el momento una rivalidad entre los grandes grupos de maquinaria por el control </w:t>
      </w:r>
      <w:r w:rsidR="009859C7">
        <w:rPr>
          <w:color w:val="000000" w:themeColor="text1"/>
          <w:lang w:val="es-ES"/>
        </w:rPr>
        <w:t xml:space="preserve">de </w:t>
      </w:r>
      <w:r w:rsidR="00195BC4" w:rsidRPr="003B1656">
        <w:rPr>
          <w:color w:val="000000" w:themeColor="text1"/>
          <w:lang w:val="es-ES"/>
        </w:rPr>
        <w:t>empresas de agricultura de precisión, robótica y servicios big data y computación en la nube.</w:t>
      </w:r>
      <w:r w:rsidR="009F366F">
        <w:rPr>
          <w:color w:val="000000" w:themeColor="text1"/>
          <w:lang w:val="es-ES"/>
        </w:rPr>
        <w:t xml:space="preserve"> </w:t>
      </w:r>
      <w:r w:rsidR="00195BC4" w:rsidRPr="003B1656">
        <w:rPr>
          <w:color w:val="000000" w:themeColor="text1"/>
          <w:lang w:val="es-ES"/>
        </w:rPr>
        <w:t>En este punto, es apresurado señalar que la disputa entre capitales se estaría dando en torno a qué sector (bio o metalmecánica) logra controlar la información sobre la calidad de suelos, los patrones históricos del clima y los rendimientos de los cultivos, así como de las tecnológicas robóticas para el dep</w:t>
      </w:r>
      <w:r w:rsidR="009859C7">
        <w:rPr>
          <w:color w:val="000000" w:themeColor="text1"/>
          <w:lang w:val="es-ES"/>
        </w:rPr>
        <w:t>ó</w:t>
      </w:r>
      <w:r w:rsidR="00195BC4" w:rsidRPr="003B1656">
        <w:rPr>
          <w:color w:val="000000" w:themeColor="text1"/>
          <w:lang w:val="es-ES"/>
        </w:rPr>
        <w:t>sito de semillas, plaguicidas y fertilizantes (Grupo ETC, 2015:3). Por el contrario predominan las alianzas intersectoriales, entre distintas industrias que operan a partir de la economía digital, la de maquinaria y la biológica.</w:t>
      </w:r>
    </w:p>
    <w:p w:rsidR="00195BC4" w:rsidRPr="003B1656" w:rsidRDefault="00195BC4" w:rsidP="003B1656">
      <w:pPr>
        <w:spacing w:line="360" w:lineRule="auto"/>
        <w:jc w:val="both"/>
        <w:rPr>
          <w:color w:val="000000" w:themeColor="text1"/>
          <w:lang w:val="es-ES"/>
        </w:rPr>
      </w:pPr>
    </w:p>
    <w:p w:rsidR="00195BC4" w:rsidRPr="003B1656" w:rsidRDefault="000E4FFD" w:rsidP="003B1656">
      <w:pPr>
        <w:spacing w:line="360" w:lineRule="auto"/>
        <w:jc w:val="center"/>
        <w:rPr>
          <w:b/>
          <w:color w:val="000000" w:themeColor="text1"/>
          <w:lang w:val="es-ES"/>
        </w:rPr>
      </w:pPr>
      <w:r w:rsidRPr="009859C7">
        <w:rPr>
          <w:b/>
          <w:color w:val="000000" w:themeColor="text1"/>
          <w:sz w:val="22"/>
          <w:lang w:val="es-ES"/>
        </w:rPr>
        <w:t>Gráfico Nº</w:t>
      </w:r>
      <w:r w:rsidR="00BC64D9" w:rsidRPr="009859C7">
        <w:rPr>
          <w:b/>
          <w:color w:val="000000" w:themeColor="text1"/>
          <w:sz w:val="22"/>
          <w:lang w:val="es-ES"/>
        </w:rPr>
        <w:t>3</w:t>
      </w:r>
      <w:r w:rsidR="00195BC4" w:rsidRPr="009859C7">
        <w:rPr>
          <w:b/>
          <w:color w:val="000000" w:themeColor="text1"/>
          <w:sz w:val="22"/>
          <w:lang w:val="es-ES"/>
        </w:rPr>
        <w:t>: Convergencia tecnológica en el oligopolio: alianzas y adquisiciones</w:t>
      </w:r>
    </w:p>
    <w:p w:rsidR="00195BC4" w:rsidRPr="003B1656" w:rsidRDefault="00195BC4" w:rsidP="003B1656">
      <w:pPr>
        <w:spacing w:line="360" w:lineRule="auto"/>
        <w:jc w:val="both"/>
        <w:rPr>
          <w:color w:val="FF0000"/>
          <w:lang w:val="es-ES"/>
        </w:rPr>
      </w:pPr>
      <w:r w:rsidRPr="003B1656">
        <w:rPr>
          <w:noProof/>
          <w:color w:val="FF0000"/>
          <w:lang w:val="es-AR" w:eastAsia="es-AR"/>
        </w:rPr>
        <w:drawing>
          <wp:inline distT="0" distB="0" distL="0" distR="0">
            <wp:extent cx="6057900" cy="21050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9060" cy="2129752"/>
                    </a:xfrm>
                    <a:prstGeom prst="rect">
                      <a:avLst/>
                    </a:prstGeom>
                    <a:noFill/>
                    <a:ln>
                      <a:noFill/>
                    </a:ln>
                  </pic:spPr>
                </pic:pic>
              </a:graphicData>
            </a:graphic>
          </wp:inline>
        </w:drawing>
      </w:r>
    </w:p>
    <w:p w:rsidR="009F6B3E" w:rsidRPr="00BC64D9" w:rsidRDefault="00195BC4" w:rsidP="00BC64D9">
      <w:pPr>
        <w:jc w:val="center"/>
        <w:rPr>
          <w:color w:val="000000" w:themeColor="text1"/>
          <w:sz w:val="20"/>
          <w:lang w:val="es-ES"/>
        </w:rPr>
      </w:pPr>
      <w:r w:rsidRPr="00BC64D9">
        <w:rPr>
          <w:color w:val="000000" w:themeColor="text1"/>
          <w:sz w:val="20"/>
          <w:lang w:val="es-ES"/>
        </w:rPr>
        <w:t>Fuente: Base de datos PUE-CEUR en base a ETC (2015) y Crunchbase.</w:t>
      </w:r>
    </w:p>
    <w:p w:rsidR="009F6B3E" w:rsidRPr="00BC64D9" w:rsidRDefault="009F6B3E" w:rsidP="00BC64D9">
      <w:pPr>
        <w:rPr>
          <w:sz w:val="20"/>
          <w:lang w:val="es-ES"/>
        </w:rPr>
      </w:pPr>
    </w:p>
    <w:p w:rsidR="00DD655C" w:rsidRPr="003B1656" w:rsidRDefault="00DD655C" w:rsidP="003B1656">
      <w:pPr>
        <w:spacing w:line="360" w:lineRule="auto"/>
        <w:rPr>
          <w:lang w:val="es-ES"/>
        </w:rPr>
      </w:pPr>
    </w:p>
    <w:p w:rsidR="004A2959" w:rsidRPr="003B1656" w:rsidRDefault="002907CF" w:rsidP="003B1656">
      <w:pPr>
        <w:spacing w:line="360" w:lineRule="auto"/>
        <w:rPr>
          <w:b/>
          <w:lang w:val="es-ES"/>
        </w:rPr>
      </w:pPr>
      <w:r w:rsidRPr="003B1656">
        <w:rPr>
          <w:b/>
          <w:lang w:val="es-ES"/>
        </w:rPr>
        <w:t>4.- Trayectoria de la industria de MA</w:t>
      </w:r>
      <w:r w:rsidR="00682E03" w:rsidRPr="003B1656">
        <w:rPr>
          <w:b/>
          <w:lang w:val="es-ES"/>
        </w:rPr>
        <w:t xml:space="preserve"> en Argentina</w:t>
      </w:r>
      <w:r w:rsidR="007411E7" w:rsidRPr="003B1656">
        <w:rPr>
          <w:b/>
          <w:lang w:val="es-ES"/>
        </w:rPr>
        <w:t>. Evolución reciente.</w:t>
      </w:r>
    </w:p>
    <w:p w:rsidR="00EC7C96" w:rsidRPr="003B1656" w:rsidRDefault="002B20EB" w:rsidP="003B1656">
      <w:pPr>
        <w:spacing w:line="360" w:lineRule="auto"/>
        <w:jc w:val="both"/>
        <w:rPr>
          <w:color w:val="000000" w:themeColor="text1"/>
          <w:lang w:val="es-ES"/>
        </w:rPr>
      </w:pPr>
      <w:r w:rsidRPr="003B1656">
        <w:rPr>
          <w:color w:val="000000" w:themeColor="text1"/>
          <w:lang w:val="es-ES"/>
        </w:rPr>
        <w:t xml:space="preserve">El sector </w:t>
      </w:r>
      <w:r w:rsidR="00FB0D81" w:rsidRPr="003B1656">
        <w:rPr>
          <w:color w:val="000000" w:themeColor="text1"/>
          <w:lang w:val="es-ES"/>
        </w:rPr>
        <w:t xml:space="preserve">de maquinaria agrícola </w:t>
      </w:r>
      <w:r w:rsidRPr="003B1656">
        <w:rPr>
          <w:color w:val="000000" w:themeColor="text1"/>
          <w:lang w:val="es-ES"/>
        </w:rPr>
        <w:t>en la Argentina tiene un temprano origen, al calor de la expansión de la frontera agrícola</w:t>
      </w:r>
      <w:r w:rsidR="00875843">
        <w:rPr>
          <w:color w:val="000000" w:themeColor="text1"/>
          <w:lang w:val="es-ES"/>
        </w:rPr>
        <w:t xml:space="preserve"> </w:t>
      </w:r>
      <w:r w:rsidRPr="003B1656">
        <w:rPr>
          <w:color w:val="000000" w:themeColor="text1"/>
          <w:lang w:val="es-ES"/>
        </w:rPr>
        <w:t>en las</w:t>
      </w:r>
      <w:r w:rsidR="00FB0D81" w:rsidRPr="003B1656">
        <w:rPr>
          <w:color w:val="000000" w:themeColor="text1"/>
          <w:lang w:val="es-ES"/>
        </w:rPr>
        <w:t xml:space="preserve"> colonias de Santa Fe y luego en la zona triguera de Buenos Aires. </w:t>
      </w:r>
      <w:r w:rsidR="00A7580B" w:rsidRPr="003B1656">
        <w:rPr>
          <w:color w:val="000000" w:themeColor="text1"/>
          <w:lang w:val="es-ES"/>
        </w:rPr>
        <w:t xml:space="preserve">Durante el último cuarto del siglo XIX, herreros rurales comenzaron a construir los primeros implementos de origen local, </w:t>
      </w:r>
      <w:r w:rsidR="00875843">
        <w:rPr>
          <w:color w:val="000000" w:themeColor="text1"/>
          <w:lang w:val="es-ES"/>
        </w:rPr>
        <w:t xml:space="preserve">en localidades como Esperanza (Santa Fe) o </w:t>
      </w:r>
      <w:r w:rsidR="00A7580B" w:rsidRPr="003B1656">
        <w:rPr>
          <w:color w:val="000000" w:themeColor="text1"/>
          <w:lang w:val="es-ES"/>
        </w:rPr>
        <w:t xml:space="preserve">Tres Arroyos (Buenos </w:t>
      </w:r>
      <w:r w:rsidR="00A7580B" w:rsidRPr="003B1656">
        <w:rPr>
          <w:color w:val="000000" w:themeColor="text1"/>
          <w:lang w:val="es-ES"/>
        </w:rPr>
        <w:lastRenderedPageBreak/>
        <w:t>Aires).</w:t>
      </w:r>
      <w:r w:rsidR="00A7580B" w:rsidRPr="003B1656">
        <w:rPr>
          <w:rStyle w:val="Refdenotaalpie"/>
          <w:color w:val="000000" w:themeColor="text1"/>
          <w:lang w:val="es-ES"/>
        </w:rPr>
        <w:footnoteReference w:id="3"/>
      </w:r>
      <w:r w:rsidR="009F366F">
        <w:rPr>
          <w:color w:val="000000" w:themeColor="text1"/>
          <w:lang w:val="es-ES"/>
        </w:rPr>
        <w:t xml:space="preserve"> </w:t>
      </w:r>
      <w:r w:rsidR="00A7580B" w:rsidRPr="003B1656">
        <w:rPr>
          <w:color w:val="000000" w:themeColor="text1"/>
          <w:lang w:val="es-ES"/>
        </w:rPr>
        <w:t xml:space="preserve">Hacia finales de la década de 1910, aparecieron constructores de equipos más complejos, como las novedosas cosechadoras. </w:t>
      </w:r>
      <w:r w:rsidR="00E66AEF">
        <w:rPr>
          <w:color w:val="000000" w:themeColor="text1"/>
          <w:lang w:val="es-ES"/>
        </w:rPr>
        <w:t xml:space="preserve">Para finales de los ’20, existían varias marcas, como </w:t>
      </w:r>
      <w:r w:rsidR="004313F7" w:rsidRPr="003B1656">
        <w:rPr>
          <w:color w:val="000000" w:themeColor="text1"/>
          <w:lang w:val="es-ES"/>
        </w:rPr>
        <w:t>Juan y Emilio Senor, Bernardín, Hnos. Flamini (San Vicente), Rotania y Alasia (Sunchales), Gardiol (Susana), Puzzi (Clucellas), Guasch (Bigand), Daniele y Cía (Porteña), Druetta (Buenos Aires)</w:t>
      </w:r>
      <w:r w:rsidR="00F43B08" w:rsidRPr="003B1656">
        <w:rPr>
          <w:color w:val="000000" w:themeColor="text1"/>
          <w:lang w:val="es-ES"/>
        </w:rPr>
        <w:t xml:space="preserve">, </w:t>
      </w:r>
      <w:r w:rsidR="00BD0AD7" w:rsidRPr="003B1656">
        <w:rPr>
          <w:color w:val="000000" w:themeColor="text1"/>
          <w:lang w:val="es-ES"/>
        </w:rPr>
        <w:t>entre</w:t>
      </w:r>
      <w:r w:rsidR="00F43B08" w:rsidRPr="003B1656">
        <w:rPr>
          <w:color w:val="000000" w:themeColor="text1"/>
          <w:lang w:val="es-ES"/>
        </w:rPr>
        <w:t xml:space="preserve"> </w:t>
      </w:r>
      <w:r w:rsidR="00803587">
        <w:rPr>
          <w:color w:val="000000" w:themeColor="text1"/>
          <w:lang w:val="es-ES"/>
        </w:rPr>
        <w:t>otros</w:t>
      </w:r>
      <w:r w:rsidR="00F43B08" w:rsidRPr="003B1656">
        <w:rPr>
          <w:color w:val="000000" w:themeColor="text1"/>
          <w:lang w:val="es-ES"/>
        </w:rPr>
        <w:t xml:space="preserve"> (Barrale, 2007)</w:t>
      </w:r>
      <w:r w:rsidR="004313F7" w:rsidRPr="003B1656">
        <w:rPr>
          <w:color w:val="000000" w:themeColor="text1"/>
          <w:lang w:val="es-ES"/>
        </w:rPr>
        <w:t>. Por lo general, estos agentes reparaban y m</w:t>
      </w:r>
      <w:r w:rsidR="00BD0AD7" w:rsidRPr="003B1656">
        <w:rPr>
          <w:color w:val="000000" w:themeColor="text1"/>
          <w:lang w:val="es-ES"/>
        </w:rPr>
        <w:t>antenían maquinaria importada. L</w:t>
      </w:r>
      <w:r w:rsidR="004313F7" w:rsidRPr="003B1656">
        <w:rPr>
          <w:color w:val="000000" w:themeColor="text1"/>
          <w:lang w:val="es-ES"/>
        </w:rPr>
        <w:t>uego</w:t>
      </w:r>
      <w:r w:rsidR="00BD0AD7" w:rsidRPr="003B1656">
        <w:rPr>
          <w:color w:val="000000" w:themeColor="text1"/>
          <w:lang w:val="es-ES"/>
        </w:rPr>
        <w:t>,</w:t>
      </w:r>
      <w:r w:rsidR="004313F7" w:rsidRPr="003B1656">
        <w:rPr>
          <w:color w:val="000000" w:themeColor="text1"/>
          <w:lang w:val="es-ES"/>
        </w:rPr>
        <w:t xml:space="preserve"> comenzaron a diseñar y armar sus propios eq</w:t>
      </w:r>
      <w:r w:rsidR="00F43B08" w:rsidRPr="003B1656">
        <w:rPr>
          <w:color w:val="000000" w:themeColor="text1"/>
          <w:lang w:val="es-ES"/>
        </w:rPr>
        <w:t xml:space="preserve">uipos, con los materiales disponibles en plaza. </w:t>
      </w:r>
      <w:r w:rsidR="009F6B3E" w:rsidRPr="003B1656">
        <w:rPr>
          <w:color w:val="000000" w:themeColor="text1"/>
          <w:lang w:val="es-ES"/>
        </w:rPr>
        <w:t xml:space="preserve">Así, fueron agregando mejores sistemas de limpieza (segunda zaranda, cernidores especiales) y otras </w:t>
      </w:r>
      <w:r w:rsidR="00731CE4">
        <w:rPr>
          <w:color w:val="000000" w:themeColor="text1"/>
          <w:lang w:val="es-ES"/>
        </w:rPr>
        <w:t>adaptaciones</w:t>
      </w:r>
      <w:r w:rsidR="00BD0AD7" w:rsidRPr="003B1656">
        <w:rPr>
          <w:color w:val="000000" w:themeColor="text1"/>
          <w:lang w:val="es-ES"/>
        </w:rPr>
        <w:t>. El punto máximo de ese impulso se dio en 1929, cuando Rotania fabricó la primera cosechadora autopropulsada del mundo</w:t>
      </w:r>
      <w:r w:rsidR="009F6B3E" w:rsidRPr="003B1656">
        <w:rPr>
          <w:color w:val="000000" w:themeColor="text1"/>
          <w:lang w:val="es-ES"/>
        </w:rPr>
        <w:t xml:space="preserve">. </w:t>
      </w:r>
      <w:r w:rsidR="00EC7C96" w:rsidRPr="003B1656">
        <w:rPr>
          <w:color w:val="000000" w:themeColor="text1"/>
          <w:lang w:val="es-ES"/>
        </w:rPr>
        <w:t xml:space="preserve">Como señala Hybel, la diversidad y localización geográfica </w:t>
      </w:r>
      <w:r w:rsidR="002957E1" w:rsidRPr="003B1656">
        <w:rPr>
          <w:color w:val="000000" w:themeColor="text1"/>
          <w:lang w:val="es-ES"/>
        </w:rPr>
        <w:t>de la producción agropecuaria generó un sector de fabricantes de maquinaria agrícola de tipo artesanal – familiar, que fue incorporando mano de obra asalariada, dividiendo el trabajo y convirtiéndose en pequeñas o medianas empresas con alcance local e incluso nacional (como el caso de la firma Senor)</w:t>
      </w:r>
      <w:r w:rsidR="00907BBB" w:rsidRPr="003B1656">
        <w:rPr>
          <w:color w:val="000000" w:themeColor="text1"/>
          <w:lang w:val="es-ES"/>
        </w:rPr>
        <w:t xml:space="preserve"> para la década de 1930</w:t>
      </w:r>
      <w:r w:rsidR="002957E1" w:rsidRPr="003B1656">
        <w:rPr>
          <w:color w:val="000000" w:themeColor="text1"/>
          <w:lang w:val="es-ES"/>
        </w:rPr>
        <w:t>. Esto se produjo gracias a la demanda de la agricultura extensiva, con utilización de equipos con capacidades similares a los de EE.UU. o Canadá (Hybel, 2006: 27). Aún así</w:t>
      </w:r>
      <w:r w:rsidR="00907BBB" w:rsidRPr="003B1656">
        <w:rPr>
          <w:color w:val="000000" w:themeColor="text1"/>
          <w:lang w:val="es-ES"/>
        </w:rPr>
        <w:t xml:space="preserve">, según nuestros cálculos, </w:t>
      </w:r>
      <w:r w:rsidR="002957E1" w:rsidRPr="003B1656">
        <w:rPr>
          <w:color w:val="000000" w:themeColor="text1"/>
          <w:lang w:val="es-ES"/>
        </w:rPr>
        <w:t>la</w:t>
      </w:r>
      <w:r w:rsidR="00907BBB" w:rsidRPr="003B1656">
        <w:rPr>
          <w:color w:val="000000" w:themeColor="text1"/>
          <w:lang w:val="es-ES"/>
        </w:rPr>
        <w:t xml:space="preserve"> producción nacional proveía poco más del 2% del mercado interno durante los años ’20, y alrededor del 10% en la década posterior. Es decir, un </w:t>
      </w:r>
      <w:r w:rsidR="001E4870" w:rsidRPr="003B1656">
        <w:rPr>
          <w:color w:val="000000" w:themeColor="text1"/>
          <w:lang w:val="es-ES"/>
        </w:rPr>
        <w:t>porcentaje más bien reducido de la demanda, que era cubierta con equipos de origen estadounide</w:t>
      </w:r>
      <w:r w:rsidR="00BD0AD7" w:rsidRPr="003B1656">
        <w:rPr>
          <w:color w:val="000000" w:themeColor="text1"/>
          <w:lang w:val="es-ES"/>
        </w:rPr>
        <w:t>nse y canadiense</w:t>
      </w:r>
      <w:r w:rsidR="001E4870" w:rsidRPr="003B1656">
        <w:rPr>
          <w:color w:val="000000" w:themeColor="text1"/>
          <w:lang w:val="es-ES"/>
        </w:rPr>
        <w:t xml:space="preserve">. </w:t>
      </w:r>
    </w:p>
    <w:p w:rsidR="00F04A6D" w:rsidRPr="003B1656" w:rsidRDefault="002064DD" w:rsidP="003B1656">
      <w:pPr>
        <w:spacing w:line="360" w:lineRule="auto"/>
        <w:jc w:val="both"/>
        <w:rPr>
          <w:color w:val="000000" w:themeColor="text1"/>
          <w:lang w:val="es-ES"/>
        </w:rPr>
      </w:pPr>
      <w:r w:rsidRPr="003B1656">
        <w:rPr>
          <w:color w:val="000000" w:themeColor="text1"/>
          <w:lang w:val="es-ES"/>
        </w:rPr>
        <w:t>Los efectos combinados de la crisis de 1930, la Segunda Guerra Mundial y la crisis de de 1949-52 provocaron una interrupción del flujo de maquinaria.</w:t>
      </w:r>
      <w:r w:rsidR="00AE7892" w:rsidRPr="003B1656">
        <w:rPr>
          <w:color w:val="000000" w:themeColor="text1"/>
          <w:lang w:val="es-ES"/>
        </w:rPr>
        <w:t xml:space="preserve"> Ello provocó que el parque envejeciera, superando en un buen porcentaje el límite de edad de obsolescencia </w:t>
      </w:r>
      <w:r w:rsidR="00151870" w:rsidRPr="003B1656">
        <w:rPr>
          <w:color w:val="000000" w:themeColor="text1"/>
          <w:lang w:val="es-ES"/>
        </w:rPr>
        <w:t>(cerca de 15 años)</w:t>
      </w:r>
      <w:r w:rsidR="00AE7892" w:rsidRPr="003B1656">
        <w:rPr>
          <w:color w:val="000000" w:themeColor="text1"/>
          <w:lang w:val="es-ES"/>
        </w:rPr>
        <w:t xml:space="preserve">. </w:t>
      </w:r>
      <w:r w:rsidR="00151870" w:rsidRPr="003B1656">
        <w:rPr>
          <w:color w:val="000000" w:themeColor="text1"/>
          <w:lang w:val="es-ES"/>
        </w:rPr>
        <w:t xml:space="preserve">Para </w:t>
      </w:r>
      <w:r w:rsidR="00AE7892" w:rsidRPr="003B1656">
        <w:rPr>
          <w:color w:val="000000" w:themeColor="text1"/>
          <w:lang w:val="es-ES"/>
        </w:rPr>
        <w:t>195</w:t>
      </w:r>
      <w:r w:rsidR="00151870" w:rsidRPr="003B1656">
        <w:rPr>
          <w:color w:val="000000" w:themeColor="text1"/>
          <w:lang w:val="es-ES"/>
        </w:rPr>
        <w:t>0</w:t>
      </w:r>
      <w:r w:rsidR="00AE7892" w:rsidRPr="003B1656">
        <w:rPr>
          <w:color w:val="000000" w:themeColor="text1"/>
          <w:lang w:val="es-ES"/>
        </w:rPr>
        <w:t>, el ingeniero Giberti calculaba que al menos un 65% de las 40.000 cosechadoras que existían superaba los 15 años de uso</w:t>
      </w:r>
      <w:r w:rsidR="00151870" w:rsidRPr="003B1656">
        <w:rPr>
          <w:color w:val="000000" w:themeColor="text1"/>
          <w:lang w:val="es-ES"/>
        </w:rPr>
        <w:t xml:space="preserve"> (Giberti, 1951)</w:t>
      </w:r>
      <w:r w:rsidR="00AE7892" w:rsidRPr="003B1656">
        <w:rPr>
          <w:color w:val="000000" w:themeColor="text1"/>
          <w:lang w:val="es-ES"/>
        </w:rPr>
        <w:t xml:space="preserve">. </w:t>
      </w:r>
      <w:r w:rsidR="00BD0AD7" w:rsidRPr="003B1656">
        <w:rPr>
          <w:color w:val="000000" w:themeColor="text1"/>
          <w:lang w:val="es-ES"/>
        </w:rPr>
        <w:t>Para</w:t>
      </w:r>
      <w:r w:rsidR="00151870" w:rsidRPr="003B1656">
        <w:rPr>
          <w:color w:val="000000" w:themeColor="text1"/>
          <w:lang w:val="es-ES"/>
        </w:rPr>
        <w:t xml:space="preserve"> 1952, otro estudio señalaba que casi un tercio de los tractores existentes deberían estar fuera de uso (Llosa, 1963). </w:t>
      </w:r>
      <w:r w:rsidR="00AB6773" w:rsidRPr="003B1656">
        <w:rPr>
          <w:color w:val="000000" w:themeColor="text1"/>
          <w:lang w:val="es-ES"/>
        </w:rPr>
        <w:t xml:space="preserve">En ese contexto, el gobierno decidió declarar de interés nacional varios sectores de la metalmecánica, entre ellos la maquinaria agrícola. </w:t>
      </w:r>
      <w:r w:rsidR="00E424AD" w:rsidRPr="003B1656">
        <w:rPr>
          <w:color w:val="000000" w:themeColor="text1"/>
          <w:lang w:val="es-ES"/>
        </w:rPr>
        <w:t xml:space="preserve">Se dispuso una estructura arancelaria que protegió de hecho el mercado interno para las firmas locales. Así, </w:t>
      </w:r>
      <w:r w:rsidR="00530871" w:rsidRPr="003B1656">
        <w:rPr>
          <w:color w:val="000000" w:themeColor="text1"/>
          <w:lang w:val="es-ES"/>
        </w:rPr>
        <w:t xml:space="preserve">para el caso de cosechadoras, varias empresas </w:t>
      </w:r>
      <w:r w:rsidR="00731CE4">
        <w:rPr>
          <w:color w:val="000000" w:themeColor="text1"/>
          <w:lang w:val="es-ES"/>
        </w:rPr>
        <w:t>locales dominaron el mercado doméstico. H</w:t>
      </w:r>
      <w:r w:rsidR="008C595D" w:rsidRPr="003B1656">
        <w:rPr>
          <w:color w:val="000000" w:themeColor="text1"/>
          <w:lang w:val="es-ES"/>
        </w:rPr>
        <w:t xml:space="preserve">asta la segunda mitad de los ’70, </w:t>
      </w:r>
      <w:r w:rsidR="00731CE4">
        <w:rPr>
          <w:color w:val="000000" w:themeColor="text1"/>
          <w:lang w:val="es-ES"/>
        </w:rPr>
        <w:t>proveían las</w:t>
      </w:r>
      <w:r w:rsidR="008C595D" w:rsidRPr="003B1656">
        <w:rPr>
          <w:color w:val="000000" w:themeColor="text1"/>
          <w:lang w:val="es-ES"/>
        </w:rPr>
        <w:t xml:space="preserve"> poco más de 1.800 unidades promedio que se vendieron anualmente en </w:t>
      </w:r>
      <w:r w:rsidR="00731CE4">
        <w:rPr>
          <w:color w:val="000000" w:themeColor="text1"/>
          <w:lang w:val="es-ES"/>
        </w:rPr>
        <w:t>el</w:t>
      </w:r>
      <w:r w:rsidR="008C595D" w:rsidRPr="003B1656">
        <w:rPr>
          <w:color w:val="000000" w:themeColor="text1"/>
          <w:lang w:val="es-ES"/>
        </w:rPr>
        <w:t xml:space="preserve"> período. Entre las nuevas firmas, aparecieron GEMA (Rosario), Vassalli (Firmat), Giubergia (Venado Tuerto), Boffelli (San Vicente), Marani (Casilda), Aumec (Arequito), Araus (Noetinger, Córdoba), Magnano (San Francisco, Córdoba), Aipridec (Laguna Larga, Córdoba), RyCSA – Rosati y Cristófaro (Buenos </w:t>
      </w:r>
      <w:r w:rsidR="00731CE4">
        <w:rPr>
          <w:color w:val="000000" w:themeColor="text1"/>
          <w:lang w:val="es-ES"/>
        </w:rPr>
        <w:t>Aires)</w:t>
      </w:r>
      <w:r w:rsidR="008C595D" w:rsidRPr="003B1656">
        <w:rPr>
          <w:color w:val="000000" w:themeColor="text1"/>
          <w:lang w:val="es-ES"/>
        </w:rPr>
        <w:t xml:space="preserve">. Algunas de ellas, como Vassalli y Senor, llegaron a exportar unidades a otros mercados. </w:t>
      </w:r>
      <w:r w:rsidR="00F04A6D" w:rsidRPr="003B1656">
        <w:rPr>
          <w:color w:val="000000" w:themeColor="text1"/>
          <w:lang w:val="es-ES"/>
        </w:rPr>
        <w:t xml:space="preserve">También se inició la producción local de </w:t>
      </w:r>
      <w:r w:rsidR="00F04A6D" w:rsidRPr="003B1656">
        <w:rPr>
          <w:color w:val="000000" w:themeColor="text1"/>
          <w:lang w:val="es-ES"/>
        </w:rPr>
        <w:lastRenderedPageBreak/>
        <w:t>tractores, p</w:t>
      </w:r>
      <w:r w:rsidR="00731CE4">
        <w:rPr>
          <w:color w:val="000000" w:themeColor="text1"/>
          <w:lang w:val="es-ES"/>
        </w:rPr>
        <w:t xml:space="preserve">rimero a cargo del estado con </w:t>
      </w:r>
      <w:r w:rsidR="00F04A6D" w:rsidRPr="003B1656">
        <w:rPr>
          <w:color w:val="000000" w:themeColor="text1"/>
          <w:lang w:val="es-ES"/>
        </w:rPr>
        <w:t>IAME, con el lanzamiento del Pampa (un modelo basado en el Lanz Bulldog alemán de los años ’30, ya obsoleto para ese entonces) y luego con la apertura a la iniciativa privada. En esos años se instalaron multinacionales como Fiat, John Deere, Fahr, Hanomag y Deutz; y Massey</w:t>
      </w:r>
      <w:r w:rsidR="00731CE4">
        <w:rPr>
          <w:color w:val="000000" w:themeColor="text1"/>
          <w:lang w:val="es-ES"/>
        </w:rPr>
        <w:t xml:space="preserve"> </w:t>
      </w:r>
      <w:r w:rsidR="00F04A6D" w:rsidRPr="003B1656">
        <w:rPr>
          <w:color w:val="000000" w:themeColor="text1"/>
          <w:lang w:val="es-ES"/>
        </w:rPr>
        <w:t>Ferguson.</w:t>
      </w:r>
    </w:p>
    <w:p w:rsidR="0020460D" w:rsidRPr="003B1656" w:rsidRDefault="008C595D" w:rsidP="003B1656">
      <w:pPr>
        <w:spacing w:line="360" w:lineRule="auto"/>
        <w:jc w:val="both"/>
        <w:rPr>
          <w:color w:val="000000" w:themeColor="text1"/>
          <w:lang w:val="es-ES"/>
        </w:rPr>
      </w:pPr>
      <w:r w:rsidRPr="003B1656">
        <w:rPr>
          <w:color w:val="000000" w:themeColor="text1"/>
          <w:lang w:val="es-ES"/>
        </w:rPr>
        <w:t xml:space="preserve">Cabe señalar que aún para un período muy complicado para las importaciones de insumos y materias primas, como los primeros años de la posguerra y en plena crisis económica, </w:t>
      </w:r>
      <w:r w:rsidR="00C14945" w:rsidRPr="003B1656">
        <w:rPr>
          <w:color w:val="000000" w:themeColor="text1"/>
          <w:lang w:val="es-ES"/>
        </w:rPr>
        <w:t xml:space="preserve">el impulso innovador en el sector no se detuvo. Tal es así que, por ejemplo, en 1949 se inventó la plataforma maicera, que permitió la mecanización definitiva de la cosecha del maíz. </w:t>
      </w:r>
      <w:r w:rsidR="0020460D" w:rsidRPr="003B1656">
        <w:rPr>
          <w:color w:val="000000" w:themeColor="text1"/>
          <w:lang w:val="es-ES"/>
        </w:rPr>
        <w:t xml:space="preserve">La originalidad de este invento fue reclamada por dos empresas: Vassalli (Firmat) y Giubergia (Venado Tuerto), ambos de la zona sur de la provincia de Santa Fe. </w:t>
      </w:r>
    </w:p>
    <w:p w:rsidR="009651D6" w:rsidRPr="003B1656" w:rsidRDefault="00CE7E4D" w:rsidP="003B1656">
      <w:pPr>
        <w:spacing w:line="360" w:lineRule="auto"/>
        <w:jc w:val="both"/>
        <w:rPr>
          <w:color w:val="000000" w:themeColor="text1"/>
          <w:lang w:val="es-ES"/>
        </w:rPr>
      </w:pPr>
      <w:r w:rsidRPr="003B1656">
        <w:rPr>
          <w:color w:val="000000" w:themeColor="text1"/>
          <w:lang w:val="es-ES"/>
        </w:rPr>
        <w:t>La apertura económica de 1976 provocó una caída de la producción interna y un aumento en el ingreso de equipos importados. La crisis que se desató en la economía mundial en general y la argentina en particular, condicionó el desenvolvimiento económico</w:t>
      </w:r>
      <w:r w:rsidR="00C57542" w:rsidRPr="003B1656">
        <w:rPr>
          <w:color w:val="000000" w:themeColor="text1"/>
          <w:lang w:val="es-ES"/>
        </w:rPr>
        <w:t xml:space="preserve"> (Langard, 2014)</w:t>
      </w:r>
      <w:r w:rsidRPr="003B1656">
        <w:rPr>
          <w:color w:val="000000" w:themeColor="text1"/>
          <w:lang w:val="es-ES"/>
        </w:rPr>
        <w:t>. Aún así, el sector agrícola tuvo, en la primera mitad de la década de 1980, un período de aumento de producción con subas moderadas en los precios internacionales de los cereales</w:t>
      </w:r>
      <w:r w:rsidR="00BD0AD7" w:rsidRPr="003B1656">
        <w:rPr>
          <w:color w:val="000000" w:themeColor="text1"/>
          <w:lang w:val="es-ES"/>
        </w:rPr>
        <w:t>, al punto que se alcanzó un</w:t>
      </w:r>
      <w:r w:rsidRPr="003B1656">
        <w:rPr>
          <w:color w:val="000000" w:themeColor="text1"/>
          <w:lang w:val="es-ES"/>
        </w:rPr>
        <w:t xml:space="preserve"> récord de producción de 44 millones de toneladas de granos en la campaña 1984/85. Esto fue consecuencia de cambios tecnológicos importantes en las formas de producción (Obstchako, 1988; Pereira, 1988). En ese contexto, la industria de maquinaria agrícola tuvo luces y sombras en su devenir. </w:t>
      </w:r>
      <w:r w:rsidR="00AC7B33" w:rsidRPr="003B1656">
        <w:rPr>
          <w:color w:val="000000" w:themeColor="text1"/>
          <w:lang w:val="es-ES"/>
        </w:rPr>
        <w:t>A pesar</w:t>
      </w:r>
      <w:r w:rsidR="00731CE4">
        <w:rPr>
          <w:color w:val="000000" w:themeColor="text1"/>
          <w:lang w:val="es-ES"/>
        </w:rPr>
        <w:t xml:space="preserve"> de las dificultades</w:t>
      </w:r>
      <w:r w:rsidR="00AC7B33" w:rsidRPr="003B1656">
        <w:rPr>
          <w:color w:val="000000" w:themeColor="text1"/>
          <w:lang w:val="es-ES"/>
        </w:rPr>
        <w:t xml:space="preserve">, hasta mediados de los ’80 la producción y venta de maquinaria aumentó. </w:t>
      </w:r>
      <w:r w:rsidR="00731CE4">
        <w:rPr>
          <w:color w:val="000000" w:themeColor="text1"/>
          <w:lang w:val="es-ES"/>
        </w:rPr>
        <w:t>Luego</w:t>
      </w:r>
      <w:r w:rsidR="009651D6" w:rsidRPr="003B1656">
        <w:rPr>
          <w:color w:val="000000" w:themeColor="text1"/>
          <w:lang w:val="es-ES"/>
        </w:rPr>
        <w:t xml:space="preserve">, la producción se contrajo por </w:t>
      </w:r>
      <w:r w:rsidRPr="003B1656">
        <w:rPr>
          <w:color w:val="000000" w:themeColor="text1"/>
          <w:lang w:val="es-ES"/>
        </w:rPr>
        <w:t>la caída de los precios internacional</w:t>
      </w:r>
      <w:r w:rsidR="009651D6" w:rsidRPr="003B1656">
        <w:rPr>
          <w:color w:val="000000" w:themeColor="text1"/>
          <w:lang w:val="es-ES"/>
        </w:rPr>
        <w:t>es</w:t>
      </w:r>
      <w:r w:rsidRPr="003B1656">
        <w:rPr>
          <w:color w:val="000000" w:themeColor="text1"/>
          <w:lang w:val="es-ES"/>
        </w:rPr>
        <w:t xml:space="preserve"> de los granos</w:t>
      </w:r>
      <w:r w:rsidR="009651D6" w:rsidRPr="003B1656">
        <w:rPr>
          <w:color w:val="000000" w:themeColor="text1"/>
          <w:lang w:val="es-ES"/>
        </w:rPr>
        <w:t>. H</w:t>
      </w:r>
      <w:r w:rsidRPr="003B1656">
        <w:rPr>
          <w:color w:val="000000" w:themeColor="text1"/>
          <w:lang w:val="es-ES"/>
        </w:rPr>
        <w:t xml:space="preserve">acia 1984 la caída en la producción y venta de cosechadoras y tractores </w:t>
      </w:r>
      <w:r w:rsidR="009651D6" w:rsidRPr="003B1656">
        <w:rPr>
          <w:color w:val="000000" w:themeColor="text1"/>
          <w:lang w:val="es-ES"/>
        </w:rPr>
        <w:t xml:space="preserve">se ubicó en torno a </w:t>
      </w:r>
      <w:r w:rsidRPr="003B1656">
        <w:rPr>
          <w:color w:val="000000" w:themeColor="text1"/>
          <w:lang w:val="es-ES"/>
        </w:rPr>
        <w:t xml:space="preserve">75% y 50% respectivamente. </w:t>
      </w:r>
      <w:r w:rsidR="009651D6" w:rsidRPr="003B1656">
        <w:rPr>
          <w:color w:val="000000" w:themeColor="text1"/>
          <w:lang w:val="es-ES"/>
        </w:rPr>
        <w:t>Como dato saliente de estos años, en 1981 se incorporó al mercado la empresa Zanello de capitales nacionales, que ingresó en la producción de tractores, en particular en el segmento de equipos grandes de más de 100 CV y tracción en las cuatro ruedas</w:t>
      </w:r>
      <w:r w:rsidR="009651D6" w:rsidRPr="003B1656">
        <w:rPr>
          <w:color w:val="000000" w:themeColor="text1"/>
          <w:vertAlign w:val="superscript"/>
          <w:lang w:val="es-ES"/>
        </w:rPr>
        <w:footnoteReference w:id="4"/>
      </w:r>
      <w:r w:rsidR="009651D6" w:rsidRPr="003B1656">
        <w:rPr>
          <w:color w:val="000000" w:themeColor="text1"/>
          <w:lang w:val="es-ES"/>
        </w:rPr>
        <w:t xml:space="preserve"> (Huici, 1988; Raccanello, 2011). </w:t>
      </w:r>
    </w:p>
    <w:p w:rsidR="00CE7E4D" w:rsidRPr="003B1656" w:rsidRDefault="00595630" w:rsidP="003B1656">
      <w:pPr>
        <w:spacing w:line="360" w:lineRule="auto"/>
        <w:jc w:val="both"/>
        <w:rPr>
          <w:color w:val="000000" w:themeColor="text1"/>
          <w:lang w:val="es-ES"/>
        </w:rPr>
      </w:pPr>
      <w:r w:rsidRPr="003B1656">
        <w:rPr>
          <w:color w:val="000000" w:themeColor="text1"/>
          <w:lang w:val="es-ES"/>
        </w:rPr>
        <w:t>Este período verá l</w:t>
      </w:r>
      <w:r w:rsidR="00CE7E4D" w:rsidRPr="003B1656">
        <w:rPr>
          <w:color w:val="000000" w:themeColor="text1"/>
          <w:lang w:val="es-ES"/>
        </w:rPr>
        <w:t>a introd</w:t>
      </w:r>
      <w:r w:rsidRPr="003B1656">
        <w:rPr>
          <w:color w:val="000000" w:themeColor="text1"/>
          <w:lang w:val="es-ES"/>
        </w:rPr>
        <w:t xml:space="preserve">ucción de cambios tecnológicos </w:t>
      </w:r>
      <w:r w:rsidR="00ED02FF" w:rsidRPr="003B1656">
        <w:rPr>
          <w:color w:val="000000" w:themeColor="text1"/>
          <w:lang w:val="es-ES"/>
        </w:rPr>
        <w:t>que sentarán las bases de una nueva base tecnológica, en la que convergerán veinte años después los desarrollos metalmecánicos y los biotecnológicos</w:t>
      </w:r>
      <w:r w:rsidRPr="003B1656">
        <w:rPr>
          <w:color w:val="000000" w:themeColor="text1"/>
          <w:lang w:val="es-ES"/>
        </w:rPr>
        <w:t xml:space="preserve">. </w:t>
      </w:r>
      <w:r w:rsidR="00CE7E4D" w:rsidRPr="003B1656">
        <w:rPr>
          <w:color w:val="000000" w:themeColor="text1"/>
          <w:lang w:val="es-ES"/>
        </w:rPr>
        <w:t>Los</w:t>
      </w:r>
      <w:r w:rsidRPr="003B1656">
        <w:rPr>
          <w:color w:val="000000" w:themeColor="text1"/>
          <w:lang w:val="es-ES"/>
        </w:rPr>
        <w:t xml:space="preserve"> más destacables fueron </w:t>
      </w:r>
      <w:r w:rsidR="00CE7E4D" w:rsidRPr="003B1656">
        <w:rPr>
          <w:color w:val="000000" w:themeColor="text1"/>
          <w:lang w:val="es-ES"/>
        </w:rPr>
        <w:t xml:space="preserve">el uso de semillas mejoradas (híbridos), proceso que comienza a partir de mediados de 1970, la lenta adopción de la labranza “cero” del suelo (siembra directa) a fines de </w:t>
      </w:r>
      <w:r w:rsidRPr="003B1656">
        <w:rPr>
          <w:color w:val="000000" w:themeColor="text1"/>
          <w:lang w:val="es-ES"/>
        </w:rPr>
        <w:t xml:space="preserve">los años </w:t>
      </w:r>
      <w:r w:rsidR="00731CE4">
        <w:rPr>
          <w:color w:val="000000" w:themeColor="text1"/>
          <w:lang w:val="es-ES"/>
        </w:rPr>
        <w:t>’</w:t>
      </w:r>
      <w:r w:rsidRPr="003B1656">
        <w:rPr>
          <w:color w:val="000000" w:themeColor="text1"/>
          <w:lang w:val="es-ES"/>
        </w:rPr>
        <w:t>80</w:t>
      </w:r>
      <w:r w:rsidR="00731CE4">
        <w:rPr>
          <w:color w:val="000000" w:themeColor="text1"/>
          <w:lang w:val="es-ES"/>
        </w:rPr>
        <w:t xml:space="preserve"> </w:t>
      </w:r>
      <w:r w:rsidRPr="003B1656">
        <w:rPr>
          <w:color w:val="000000" w:themeColor="text1"/>
          <w:lang w:val="es-ES"/>
        </w:rPr>
        <w:t>y</w:t>
      </w:r>
      <w:r w:rsidR="00CE7E4D" w:rsidRPr="003B1656">
        <w:rPr>
          <w:color w:val="000000" w:themeColor="text1"/>
          <w:lang w:val="es-ES"/>
        </w:rPr>
        <w:t xml:space="preserve"> también</w:t>
      </w:r>
      <w:r w:rsidR="00BD0AD7" w:rsidRPr="003B1656">
        <w:rPr>
          <w:color w:val="000000" w:themeColor="text1"/>
          <w:lang w:val="es-ES"/>
        </w:rPr>
        <w:t xml:space="preserve"> un</w:t>
      </w:r>
      <w:r w:rsidR="00731CE4">
        <w:rPr>
          <w:color w:val="000000" w:themeColor="text1"/>
          <w:lang w:val="es-ES"/>
        </w:rPr>
        <w:t xml:space="preserve"> </w:t>
      </w:r>
      <w:r w:rsidR="004157D8" w:rsidRPr="003B1656">
        <w:rPr>
          <w:color w:val="000000" w:themeColor="text1"/>
          <w:lang w:val="es-ES"/>
        </w:rPr>
        <w:t>aumento del</w:t>
      </w:r>
      <w:r w:rsidR="00CE7E4D" w:rsidRPr="003B1656">
        <w:rPr>
          <w:color w:val="000000" w:themeColor="text1"/>
          <w:lang w:val="es-ES"/>
        </w:rPr>
        <w:t xml:space="preserve"> uso de agroquímicos. Estos cambios van a ser preparatorios para</w:t>
      </w:r>
      <w:r w:rsidRPr="003B1656">
        <w:rPr>
          <w:color w:val="000000" w:themeColor="text1"/>
          <w:lang w:val="es-ES"/>
        </w:rPr>
        <w:t xml:space="preserve"> que</w:t>
      </w:r>
      <w:r w:rsidR="00CE7E4D" w:rsidRPr="003B1656">
        <w:rPr>
          <w:color w:val="000000" w:themeColor="text1"/>
          <w:lang w:val="es-ES"/>
        </w:rPr>
        <w:t xml:space="preserve">, hacia a mediados de la década de 1990, se introduzca con éxito el uso de semillas genéticamente modificadas (Bisang, 2004; </w:t>
      </w:r>
      <w:r w:rsidR="009F1B56" w:rsidRPr="003B1656">
        <w:rPr>
          <w:color w:val="000000" w:themeColor="text1"/>
          <w:lang w:val="es-ES"/>
        </w:rPr>
        <w:t>Gutman</w:t>
      </w:r>
      <w:r w:rsidR="003D6233" w:rsidRPr="003B1656">
        <w:rPr>
          <w:color w:val="000000" w:themeColor="text1"/>
          <w:lang w:val="es-ES"/>
        </w:rPr>
        <w:t>, et al,2006</w:t>
      </w:r>
      <w:r w:rsidR="005D4F95" w:rsidRPr="003B1656">
        <w:rPr>
          <w:color w:val="000000" w:themeColor="text1"/>
          <w:lang w:val="es-ES"/>
        </w:rPr>
        <w:t xml:space="preserve">; </w:t>
      </w:r>
      <w:r w:rsidR="00CE7E4D" w:rsidRPr="003B1656">
        <w:rPr>
          <w:color w:val="000000" w:themeColor="text1"/>
          <w:lang w:val="es-ES"/>
        </w:rPr>
        <w:t>Reca y Parellada, 2001).</w:t>
      </w:r>
    </w:p>
    <w:p w:rsidR="00CE7E4D" w:rsidRPr="003B1656" w:rsidRDefault="00595630" w:rsidP="003B1656">
      <w:pPr>
        <w:spacing w:line="360" w:lineRule="auto"/>
        <w:jc w:val="both"/>
        <w:rPr>
          <w:color w:val="000000" w:themeColor="text1"/>
          <w:lang w:val="es-ES"/>
        </w:rPr>
      </w:pPr>
      <w:r w:rsidRPr="003B1656">
        <w:rPr>
          <w:color w:val="000000" w:themeColor="text1"/>
          <w:lang w:val="es-ES"/>
        </w:rPr>
        <w:lastRenderedPageBreak/>
        <w:t xml:space="preserve">Durante la década siguiente se produjeron cambios </w:t>
      </w:r>
      <w:r w:rsidR="003D6233" w:rsidRPr="003B1656">
        <w:rPr>
          <w:color w:val="000000" w:themeColor="text1"/>
          <w:lang w:val="es-ES"/>
        </w:rPr>
        <w:t>institucionales y regulatorios</w:t>
      </w:r>
      <w:r w:rsidR="00731CE4">
        <w:rPr>
          <w:color w:val="000000" w:themeColor="text1"/>
          <w:lang w:val="es-ES"/>
        </w:rPr>
        <w:t xml:space="preserve">: </w:t>
      </w:r>
      <w:r w:rsidRPr="003B1656">
        <w:rPr>
          <w:color w:val="000000" w:themeColor="text1"/>
          <w:lang w:val="es-ES"/>
        </w:rPr>
        <w:t>desregulación de los mercados, con quita de impuestos</w:t>
      </w:r>
      <w:r w:rsidR="009F366F">
        <w:rPr>
          <w:color w:val="000000" w:themeColor="text1"/>
          <w:lang w:val="es-ES"/>
        </w:rPr>
        <w:t xml:space="preserve"> </w:t>
      </w:r>
      <w:r w:rsidRPr="003B1656">
        <w:rPr>
          <w:color w:val="000000" w:themeColor="text1"/>
          <w:lang w:val="es-ES"/>
        </w:rPr>
        <w:t>y retenciones;</w:t>
      </w:r>
      <w:r w:rsidR="00C41C60" w:rsidRPr="003B1656">
        <w:rPr>
          <w:color w:val="000000" w:themeColor="text1"/>
          <w:lang w:val="es-ES"/>
        </w:rPr>
        <w:t xml:space="preserve"> y</w:t>
      </w:r>
      <w:r w:rsidRPr="003B1656">
        <w:rPr>
          <w:color w:val="000000" w:themeColor="text1"/>
          <w:lang w:val="es-ES"/>
        </w:rPr>
        <w:t xml:space="preserve"> la aprobación del uso de semillas genéticamente modificadas que completa el paquete tecnológico, que va a incidir</w:t>
      </w:r>
      <w:r w:rsidR="009F366F">
        <w:rPr>
          <w:color w:val="000000" w:themeColor="text1"/>
          <w:lang w:val="es-ES"/>
        </w:rPr>
        <w:t xml:space="preserve"> </w:t>
      </w:r>
      <w:r w:rsidRPr="003B1656">
        <w:rPr>
          <w:color w:val="000000" w:themeColor="text1"/>
          <w:lang w:val="es-ES"/>
        </w:rPr>
        <w:t xml:space="preserve">fuertemente en la industria de maquinaria agrícola. La apertura, la sobrevaluación y la llegada de máquinas importadas más modernas, repercutieron sobre la actividad. De 10 fábricas que subsistían en 1990, quedaban tres en 1993 y ninguna en 2000. En tractores, de las 7 firmas que producían estos equipos sólo quedaban 2 en el 2000 fabricando nada más que motores. Por su parte, los segmentos de sembradoras, especialmente los equipos de siembra directa, y los de pulverizadoras tuvieron un mejor desempeño asociado al nuevo esquema de producción agrícola. La situación del segmento de cosechadoras y tractores, expresó la estrategia del capital transnacional sobre la región. Ya para los ’90, las transnacionales organizaron la producción y la comercialización a partir de la conformación de un mercado interno ampliado (MERCOSUR), en el marco de una creciente ‘globalización’ del mercado mundial de maquinaria agrícola. </w:t>
      </w:r>
      <w:r w:rsidR="00731CE4">
        <w:rPr>
          <w:color w:val="000000" w:themeColor="text1"/>
          <w:lang w:val="es-ES"/>
        </w:rPr>
        <w:t>S</w:t>
      </w:r>
      <w:r w:rsidRPr="003B1656">
        <w:rPr>
          <w:color w:val="000000" w:themeColor="text1"/>
          <w:lang w:val="es-ES"/>
        </w:rPr>
        <w:t xml:space="preserve">embradoras y pulverizadoras, mantuvieron niveles estables de producción en los años más difíciles y comenzaron a distanciarse del comportamiento generalizado del sector. </w:t>
      </w:r>
    </w:p>
    <w:p w:rsidR="003C7DD0" w:rsidRPr="003B1656" w:rsidRDefault="00C57542" w:rsidP="003B1656">
      <w:pPr>
        <w:spacing w:line="360" w:lineRule="auto"/>
        <w:jc w:val="both"/>
        <w:rPr>
          <w:color w:val="000000" w:themeColor="text1"/>
          <w:lang w:val="es-ES"/>
        </w:rPr>
      </w:pPr>
      <w:r w:rsidRPr="003B1656">
        <w:rPr>
          <w:color w:val="000000" w:themeColor="text1"/>
          <w:lang w:val="es-ES"/>
        </w:rPr>
        <w:t>A partir de 2001-02, con la crisis económica, se produjo la salida de la convertibilidad y un nuevo esquema económico consecue</w:t>
      </w:r>
      <w:r w:rsidR="00805BD3" w:rsidRPr="003B1656">
        <w:rPr>
          <w:color w:val="000000" w:themeColor="text1"/>
          <w:lang w:val="es-ES"/>
        </w:rPr>
        <w:t>ncia de una fuerte devaluación que deprimió el costo laboral y actuó durante algunos años como protección del mercado interno. A ello se sumó un ciclo de alza de los precios de los commodities a nivel mundial.</w:t>
      </w:r>
      <w:r w:rsidR="00731CE4">
        <w:rPr>
          <w:color w:val="000000" w:themeColor="text1"/>
          <w:lang w:val="es-ES"/>
        </w:rPr>
        <w:t xml:space="preserve"> </w:t>
      </w:r>
      <w:r w:rsidR="0095181F" w:rsidRPr="003B1656">
        <w:rPr>
          <w:color w:val="000000" w:themeColor="text1"/>
          <w:lang w:val="es-ES"/>
        </w:rPr>
        <w:t>Se</w:t>
      </w:r>
      <w:r w:rsidR="006404D5" w:rsidRPr="003B1656">
        <w:rPr>
          <w:color w:val="000000" w:themeColor="text1"/>
          <w:lang w:val="es-ES"/>
        </w:rPr>
        <w:t xml:space="preserve"> reactivó la demanda interna, </w:t>
      </w:r>
      <w:r w:rsidR="0095181F" w:rsidRPr="003B1656">
        <w:rPr>
          <w:color w:val="000000" w:themeColor="text1"/>
          <w:lang w:val="es-ES"/>
        </w:rPr>
        <w:t>abastecida</w:t>
      </w:r>
      <w:r w:rsidR="006404D5" w:rsidRPr="003B1656">
        <w:rPr>
          <w:color w:val="000000" w:themeColor="text1"/>
          <w:lang w:val="es-ES"/>
        </w:rPr>
        <w:t xml:space="preserve"> principalmente para el caso de tractores y cosechadoras con importación de empresas transnacionales mayormente instaladas en Brasil, aunque durante los últimos años creció la participación nacional.</w:t>
      </w:r>
      <w:r w:rsidR="007502DD" w:rsidRPr="003B1656">
        <w:rPr>
          <w:color w:val="000000" w:themeColor="text1"/>
          <w:lang w:val="es-ES"/>
        </w:rPr>
        <w:t xml:space="preserve"> Algunas firmas retornaron con nuevas inversiones para ensamble de equipos </w:t>
      </w:r>
      <w:r w:rsidR="004157D8" w:rsidRPr="003B1656">
        <w:rPr>
          <w:color w:val="000000" w:themeColor="text1"/>
          <w:lang w:val="es-ES"/>
        </w:rPr>
        <w:t>completos. Las</w:t>
      </w:r>
      <w:r w:rsidR="00731CE4">
        <w:rPr>
          <w:color w:val="000000" w:themeColor="text1"/>
          <w:lang w:val="es-ES"/>
        </w:rPr>
        <w:t xml:space="preserve"> </w:t>
      </w:r>
      <w:r w:rsidR="003C7DD0" w:rsidRPr="003B1656">
        <w:rPr>
          <w:color w:val="000000" w:themeColor="text1"/>
          <w:lang w:val="es-ES"/>
        </w:rPr>
        <w:t xml:space="preserve">sembradoras y pulverizadoras fueron en su </w:t>
      </w:r>
      <w:r w:rsidR="006404D5" w:rsidRPr="003B1656">
        <w:rPr>
          <w:color w:val="000000" w:themeColor="text1"/>
          <w:lang w:val="es-ES"/>
        </w:rPr>
        <w:t xml:space="preserve">gran </w:t>
      </w:r>
      <w:r w:rsidR="003C7DD0" w:rsidRPr="003B1656">
        <w:rPr>
          <w:color w:val="000000" w:themeColor="text1"/>
          <w:lang w:val="es-ES"/>
        </w:rPr>
        <w:t>mayoría de origen local</w:t>
      </w:r>
      <w:r w:rsidR="00345956" w:rsidRPr="003B1656">
        <w:rPr>
          <w:color w:val="000000" w:themeColor="text1"/>
          <w:lang w:val="es-ES"/>
        </w:rPr>
        <w:t xml:space="preserve">, principalmente pequeños o medianos capitales del mercado interno vinculados al avance de </w:t>
      </w:r>
      <w:r w:rsidR="003C7DD0" w:rsidRPr="003B1656">
        <w:rPr>
          <w:color w:val="000000" w:themeColor="text1"/>
          <w:lang w:val="es-ES"/>
        </w:rPr>
        <w:t xml:space="preserve">la producción agrícola con el paquete tecnológico </w:t>
      </w:r>
      <w:r w:rsidR="00731CE4">
        <w:rPr>
          <w:color w:val="000000" w:themeColor="text1"/>
          <w:lang w:val="es-ES"/>
        </w:rPr>
        <w:t>reseñado</w:t>
      </w:r>
      <w:r w:rsidR="003C7DD0" w:rsidRPr="003B1656">
        <w:rPr>
          <w:color w:val="000000" w:themeColor="text1"/>
          <w:lang w:val="es-ES"/>
        </w:rPr>
        <w:t>.</w:t>
      </w:r>
      <w:r w:rsidR="00391EAA" w:rsidRPr="003B1656">
        <w:rPr>
          <w:color w:val="000000" w:themeColor="text1"/>
          <w:lang w:val="es-ES"/>
        </w:rPr>
        <w:t xml:space="preserve"> En ese sentido, es necesario señalar que durante los últimos 15 años las máquinas agrícolas experimentaron modificaciones </w:t>
      </w:r>
      <w:r w:rsidR="00444815" w:rsidRPr="003B1656">
        <w:rPr>
          <w:color w:val="000000" w:themeColor="text1"/>
          <w:lang w:val="es-ES"/>
        </w:rPr>
        <w:t>en su construcción, vinculadas a la electrónica de funcionamiento, el posicionamiento satelital y la automatización (Bragachini, 2018)</w:t>
      </w:r>
      <w:r w:rsidR="005E4F56" w:rsidRPr="003B1656">
        <w:rPr>
          <w:color w:val="000000" w:themeColor="text1"/>
          <w:lang w:val="es-ES"/>
        </w:rPr>
        <w:t>.</w:t>
      </w:r>
    </w:p>
    <w:p w:rsidR="000E4FFD" w:rsidRPr="003B1656" w:rsidRDefault="000E4FFD" w:rsidP="003B1656">
      <w:pPr>
        <w:spacing w:line="360" w:lineRule="auto"/>
        <w:jc w:val="both"/>
        <w:rPr>
          <w:color w:val="000000" w:themeColor="text1"/>
          <w:lang w:val="es-ES"/>
        </w:rPr>
      </w:pPr>
      <w:r w:rsidRPr="003B1656">
        <w:rPr>
          <w:color w:val="000000" w:themeColor="text1"/>
          <w:lang w:val="es-ES"/>
        </w:rPr>
        <w:t xml:space="preserve">El mercado local de maquinaria agrícola tuvo una dinámica ascendente durante los primeros años de la década pasada, hasta la crisis de 2009. En ese primer período, la facturación mayoritaria correspondió a equipos importados, principalmente por tractores y cosechadoras provenientes de Brasil, China, EE.UU., entre otros. La crisis implicó una primera caída considerable de la actividad que, a pesar de una recuperación posterior, no volvió a alcanzar los valores de la década previa. Con el nuevo gobierno, hasta 2017 las ventas experimentaron un alza relativa, con mayor presencia de fabricantes locales. </w:t>
      </w:r>
    </w:p>
    <w:p w:rsidR="000E4FFD" w:rsidRPr="003B1656" w:rsidRDefault="00BC64D9" w:rsidP="00BC64D9">
      <w:pPr>
        <w:spacing w:line="360" w:lineRule="auto"/>
        <w:jc w:val="center"/>
        <w:rPr>
          <w:b/>
          <w:color w:val="000000" w:themeColor="text1"/>
          <w:lang w:val="es-ES"/>
        </w:rPr>
      </w:pPr>
      <w:r>
        <w:rPr>
          <w:color w:val="000000" w:themeColor="text1"/>
          <w:lang w:val="es-ES"/>
        </w:rPr>
        <w:lastRenderedPageBreak/>
        <w:br/>
      </w:r>
      <w:r w:rsidR="000E4FFD" w:rsidRPr="003B1656">
        <w:rPr>
          <w:b/>
          <w:color w:val="000000" w:themeColor="text1"/>
          <w:lang w:val="es-ES"/>
        </w:rPr>
        <w:t>Gráfico Nº</w:t>
      </w:r>
      <w:r>
        <w:rPr>
          <w:b/>
          <w:color w:val="000000" w:themeColor="text1"/>
          <w:lang w:val="es-ES"/>
        </w:rPr>
        <w:t>4</w:t>
      </w:r>
      <w:r w:rsidR="000E4FFD" w:rsidRPr="003B1656">
        <w:rPr>
          <w:b/>
          <w:color w:val="000000" w:themeColor="text1"/>
          <w:lang w:val="es-ES"/>
        </w:rPr>
        <w:t>. Facturación por ventas en el mercado doméstico de maquinaria agrícola, en millones de pesos de 2017, 2002-2018</w:t>
      </w:r>
    </w:p>
    <w:p w:rsidR="000E4FFD" w:rsidRPr="003B1656" w:rsidRDefault="000E4FFD" w:rsidP="003B1656">
      <w:pPr>
        <w:spacing w:line="360" w:lineRule="auto"/>
        <w:jc w:val="both"/>
        <w:rPr>
          <w:color w:val="000000" w:themeColor="text1"/>
          <w:lang w:val="es-ES"/>
        </w:rPr>
      </w:pPr>
      <w:r w:rsidRPr="003B1656">
        <w:rPr>
          <w:noProof/>
          <w:color w:val="000000" w:themeColor="text1"/>
          <w:lang w:val="es-AR" w:eastAsia="es-AR"/>
        </w:rPr>
        <w:drawing>
          <wp:inline distT="0" distB="0" distL="0" distR="0">
            <wp:extent cx="6067425" cy="1647825"/>
            <wp:effectExtent l="0" t="0" r="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E4FFD" w:rsidRPr="00BC64D9" w:rsidRDefault="000E4FFD" w:rsidP="00BC64D9">
      <w:pPr>
        <w:jc w:val="center"/>
        <w:rPr>
          <w:color w:val="000000" w:themeColor="text1"/>
          <w:sz w:val="20"/>
          <w:lang w:val="es-ES"/>
        </w:rPr>
      </w:pPr>
      <w:r w:rsidRPr="00BC64D9">
        <w:rPr>
          <w:color w:val="000000" w:themeColor="text1"/>
          <w:sz w:val="20"/>
          <w:lang w:val="es-ES"/>
        </w:rPr>
        <w:t>Fuente: elaboración propia en base a INDEC (</w:t>
      </w:r>
      <w:r w:rsidRPr="00BC64D9">
        <w:rPr>
          <w:i/>
          <w:color w:val="000000" w:themeColor="text1"/>
          <w:sz w:val="20"/>
          <w:lang w:val="es-ES"/>
        </w:rPr>
        <w:t>Informe de la industria de maquinaria agrícola</w:t>
      </w:r>
      <w:r w:rsidRPr="00BC64D9">
        <w:rPr>
          <w:color w:val="000000" w:themeColor="text1"/>
          <w:sz w:val="20"/>
          <w:lang w:val="es-ES"/>
        </w:rPr>
        <w:t>)</w:t>
      </w:r>
    </w:p>
    <w:p w:rsidR="000E4FFD" w:rsidRPr="003B1656" w:rsidRDefault="000E4FFD" w:rsidP="003B1656">
      <w:pPr>
        <w:spacing w:line="360" w:lineRule="auto"/>
        <w:jc w:val="both"/>
        <w:rPr>
          <w:color w:val="000000" w:themeColor="text1"/>
          <w:lang w:val="es-ES"/>
        </w:rPr>
      </w:pPr>
    </w:p>
    <w:p w:rsidR="000E4FFD" w:rsidRPr="003B1656" w:rsidRDefault="000E4FFD" w:rsidP="003B1656">
      <w:pPr>
        <w:spacing w:line="360" w:lineRule="auto"/>
        <w:jc w:val="both"/>
        <w:rPr>
          <w:color w:val="000000" w:themeColor="text1"/>
          <w:lang w:val="es-ES"/>
        </w:rPr>
      </w:pPr>
      <w:r w:rsidRPr="003B1656">
        <w:rPr>
          <w:color w:val="000000" w:themeColor="text1"/>
          <w:lang w:val="es-ES"/>
        </w:rPr>
        <w:t xml:space="preserve">En cuanto a cada segmento particular, la venta de cosechadoras alcanzó un máximo en 2004, con 3.203 unidades. Luego, la cantidad fue en descenso. Aun con una leve recuperación en 2016-17, el acumulado 2010-2018 es un 46% menor al del nivel de ventas 2002-2008. En el caso de los tractores, luego de la crisis las ventas inician un ciclo de ascenso hasta el tope de 2017, donde casi se alcanzaron las diez mil unidades, para retroceder nuevamente en 2018. A diferencia del renglón previo, este segmento incrementó el promedio de ventas anuales post-crisis. Sembradoras también sufre las sucesivas crisis de forma aguda, lo que se evidencia en la caída acumulada en ventas: en 2018, se vendieron 57% menos de unidades que en 2007. </w:t>
      </w:r>
    </w:p>
    <w:p w:rsidR="00296E0A" w:rsidRPr="003B1656" w:rsidRDefault="005E4F56" w:rsidP="003B1656">
      <w:pPr>
        <w:spacing w:line="360" w:lineRule="auto"/>
        <w:jc w:val="both"/>
        <w:rPr>
          <w:color w:val="000000" w:themeColor="text1"/>
          <w:lang w:val="es-ES"/>
        </w:rPr>
      </w:pPr>
      <w:r w:rsidRPr="003B1656">
        <w:rPr>
          <w:color w:val="000000" w:themeColor="text1"/>
          <w:lang w:val="es-ES"/>
        </w:rPr>
        <w:t xml:space="preserve">En la actualidad, la actividad se encuentra en un momento de incertidumbre. Luego de una mejora en los niveles de producción y ventas en ciertos apartados (a excepción de sembradoras donde disminuyó el volumen de lo producido), </w:t>
      </w:r>
      <w:r w:rsidR="002D663A" w:rsidRPr="003B1656">
        <w:rPr>
          <w:color w:val="000000" w:themeColor="text1"/>
          <w:lang w:val="es-ES"/>
        </w:rPr>
        <w:t xml:space="preserve">con una facturación que </w:t>
      </w:r>
      <w:r w:rsidR="000C5237" w:rsidRPr="003B1656">
        <w:rPr>
          <w:color w:val="000000" w:themeColor="text1"/>
          <w:lang w:val="es-ES"/>
        </w:rPr>
        <w:t xml:space="preserve">durante 2017 </w:t>
      </w:r>
      <w:r w:rsidR="002D663A" w:rsidRPr="003B1656">
        <w:rPr>
          <w:color w:val="000000" w:themeColor="text1"/>
          <w:lang w:val="es-ES"/>
        </w:rPr>
        <w:t xml:space="preserve">había alcanzado los niveles previos a la crisis de 2009, </w:t>
      </w:r>
      <w:r w:rsidR="00296E0A" w:rsidRPr="003B1656">
        <w:rPr>
          <w:color w:val="000000" w:themeColor="text1"/>
          <w:lang w:val="es-ES"/>
        </w:rPr>
        <w:t xml:space="preserve">desde el 2018 </w:t>
      </w:r>
      <w:r w:rsidR="004157D8" w:rsidRPr="003B1656">
        <w:rPr>
          <w:color w:val="000000" w:themeColor="text1"/>
          <w:lang w:val="es-ES"/>
        </w:rPr>
        <w:t>la actividad</w:t>
      </w:r>
      <w:r w:rsidR="000C5237" w:rsidRPr="003B1656">
        <w:rPr>
          <w:color w:val="000000" w:themeColor="text1"/>
          <w:lang w:val="es-ES"/>
        </w:rPr>
        <w:t xml:space="preserve"> se sumió en la recesión general, sin acceso al crédito y con una sustantiva caída de ventas, producción</w:t>
      </w:r>
      <w:r w:rsidR="0095181F" w:rsidRPr="003B1656">
        <w:rPr>
          <w:color w:val="000000" w:themeColor="text1"/>
          <w:lang w:val="es-ES"/>
        </w:rPr>
        <w:t>, empleo</w:t>
      </w:r>
      <w:r w:rsidR="000C5237" w:rsidRPr="003B1656">
        <w:rPr>
          <w:color w:val="000000" w:themeColor="text1"/>
          <w:lang w:val="es-ES"/>
        </w:rPr>
        <w:t xml:space="preserve"> y capacidad utilizada, producto entre otras cosas de la sequía que afectó la cosecha en la pasada campaña y de la coyuntura macroeconómica de la Argentina; lo que incluso la devaluación no compensó. </w:t>
      </w:r>
    </w:p>
    <w:p w:rsidR="00A65B3D" w:rsidRPr="003B1656" w:rsidRDefault="00A65B3D" w:rsidP="003B1656">
      <w:pPr>
        <w:spacing w:line="360" w:lineRule="auto"/>
        <w:rPr>
          <w:highlight w:val="yellow"/>
          <w:lang w:val="es-ES"/>
        </w:rPr>
      </w:pPr>
    </w:p>
    <w:p w:rsidR="002907CF" w:rsidRPr="003B1656" w:rsidRDefault="002907CF" w:rsidP="003B1656">
      <w:pPr>
        <w:spacing w:line="360" w:lineRule="auto"/>
        <w:rPr>
          <w:b/>
          <w:color w:val="000000" w:themeColor="text1"/>
          <w:lang w:val="es-ES"/>
        </w:rPr>
      </w:pPr>
      <w:r w:rsidRPr="003B1656">
        <w:rPr>
          <w:b/>
          <w:color w:val="000000" w:themeColor="text1"/>
          <w:lang w:val="es-ES"/>
        </w:rPr>
        <w:t>5.-Difusi</w:t>
      </w:r>
      <w:r w:rsidR="00701BD3" w:rsidRPr="003B1656">
        <w:rPr>
          <w:b/>
          <w:color w:val="000000" w:themeColor="text1"/>
          <w:lang w:val="es-ES"/>
        </w:rPr>
        <w:t>on de la Agricultura de Precisión en Argentina.</w:t>
      </w:r>
    </w:p>
    <w:p w:rsidR="00701BD3" w:rsidRPr="003B1656" w:rsidRDefault="00701BD3" w:rsidP="00731CE4">
      <w:pPr>
        <w:spacing w:line="360" w:lineRule="auto"/>
        <w:jc w:val="both"/>
        <w:rPr>
          <w:color w:val="000000" w:themeColor="text1"/>
          <w:lang w:val="es-ES"/>
        </w:rPr>
      </w:pPr>
      <w:r w:rsidRPr="003B1656">
        <w:rPr>
          <w:color w:val="000000" w:themeColor="text1"/>
          <w:lang w:val="es-ES"/>
        </w:rPr>
        <w:t xml:space="preserve">En un escenario de </w:t>
      </w:r>
      <w:r w:rsidR="003F0F2A" w:rsidRPr="003B1656">
        <w:rPr>
          <w:color w:val="000000" w:themeColor="text1"/>
          <w:lang w:val="es-ES"/>
        </w:rPr>
        <w:t xml:space="preserve">las relaciones de rivalidad por el control de las nuevas tecnologías digitales en el oligopolio </w:t>
      </w:r>
      <w:r w:rsidRPr="003B1656">
        <w:rPr>
          <w:color w:val="000000" w:themeColor="text1"/>
          <w:lang w:val="es-ES"/>
        </w:rPr>
        <w:t>y una contracción del sector de maquinaria agrícola a nivel nacional, se asiste a la emergencia de nuevas tecnologías digitales</w:t>
      </w:r>
      <w:r w:rsidR="003F0F2A" w:rsidRPr="003B1656">
        <w:rPr>
          <w:color w:val="000000" w:themeColor="text1"/>
          <w:lang w:val="es-ES"/>
        </w:rPr>
        <w:t xml:space="preserve"> que marcarían el pasaje de la tercera a la cuarta revolución industrial</w:t>
      </w:r>
      <w:r w:rsidRPr="003B1656">
        <w:rPr>
          <w:color w:val="000000" w:themeColor="text1"/>
          <w:lang w:val="es-ES"/>
        </w:rPr>
        <w:t>. Argentina</w:t>
      </w:r>
      <w:r w:rsidR="00731CE4">
        <w:rPr>
          <w:color w:val="000000" w:themeColor="text1"/>
          <w:lang w:val="es-ES"/>
        </w:rPr>
        <w:t xml:space="preserve"> </w:t>
      </w:r>
      <w:r w:rsidRPr="003B1656">
        <w:rPr>
          <w:color w:val="000000" w:themeColor="text1"/>
          <w:lang w:val="es-ES"/>
        </w:rPr>
        <w:t xml:space="preserve">lidera </w:t>
      </w:r>
      <w:r w:rsidR="006B7544" w:rsidRPr="003B1656">
        <w:rPr>
          <w:color w:val="000000" w:themeColor="text1"/>
          <w:lang w:val="es-ES"/>
        </w:rPr>
        <w:t>la difusión</w:t>
      </w:r>
      <w:r w:rsidR="00731CE4">
        <w:rPr>
          <w:color w:val="000000" w:themeColor="text1"/>
          <w:lang w:val="es-ES"/>
        </w:rPr>
        <w:t xml:space="preserve"> </w:t>
      </w:r>
      <w:r w:rsidRPr="003B1656">
        <w:rPr>
          <w:color w:val="000000" w:themeColor="text1"/>
          <w:lang w:val="es-ES"/>
        </w:rPr>
        <w:t xml:space="preserve">de equipamientos y agro-partes de alta complejidad como la </w:t>
      </w:r>
      <w:r w:rsidR="006B7544" w:rsidRPr="003B1656">
        <w:rPr>
          <w:color w:val="000000" w:themeColor="text1"/>
          <w:lang w:val="es-ES"/>
        </w:rPr>
        <w:t xml:space="preserve">Agricultura de precisión </w:t>
      </w:r>
      <w:r w:rsidRPr="003B1656">
        <w:rPr>
          <w:color w:val="000000" w:themeColor="text1"/>
          <w:lang w:val="es-ES"/>
        </w:rPr>
        <w:t>y la Digital</w:t>
      </w:r>
      <w:r w:rsidR="00731CE4">
        <w:rPr>
          <w:color w:val="000000" w:themeColor="text1"/>
          <w:lang w:val="es-ES"/>
        </w:rPr>
        <w:t xml:space="preserve"> </w:t>
      </w:r>
      <w:r w:rsidR="006B7544" w:rsidRPr="003B1656">
        <w:rPr>
          <w:color w:val="000000" w:themeColor="text1"/>
          <w:lang w:val="es-ES"/>
        </w:rPr>
        <w:t>en América Latina</w:t>
      </w:r>
      <w:r w:rsidRPr="003B1656">
        <w:rPr>
          <w:color w:val="000000" w:themeColor="text1"/>
          <w:lang w:val="es-ES"/>
        </w:rPr>
        <w:t xml:space="preserve"> (</w:t>
      </w:r>
      <w:r w:rsidR="004157D8" w:rsidRPr="003B1656">
        <w:rPr>
          <w:color w:val="000000" w:themeColor="text1"/>
          <w:lang w:val="es-ES"/>
        </w:rPr>
        <w:t xml:space="preserve">Bragachini </w:t>
      </w:r>
      <w:r w:rsidR="004157D8" w:rsidRPr="003B1656">
        <w:rPr>
          <w:i/>
          <w:color w:val="000000" w:themeColor="text1"/>
          <w:lang w:val="es-ES"/>
        </w:rPr>
        <w:t>et</w:t>
      </w:r>
      <w:r w:rsidRPr="003B1656">
        <w:rPr>
          <w:i/>
          <w:color w:val="000000" w:themeColor="text1"/>
          <w:lang w:val="es-ES"/>
        </w:rPr>
        <w:t xml:space="preserve"> al</w:t>
      </w:r>
      <w:r w:rsidRPr="003B1656">
        <w:rPr>
          <w:color w:val="000000" w:themeColor="text1"/>
          <w:lang w:val="es-ES"/>
        </w:rPr>
        <w:t xml:space="preserve">, 2012). Dada la importancia de los contratistas y la reciente adquisición de nuevos paquetes tecnológicos, el país se encuentra entre los de mayor grado de difusión de las nuevas tecnologías </w:t>
      </w:r>
      <w:r w:rsidRPr="003B1656">
        <w:rPr>
          <w:color w:val="000000" w:themeColor="text1"/>
          <w:lang w:val="es-ES"/>
        </w:rPr>
        <w:lastRenderedPageBreak/>
        <w:t xml:space="preserve">(Méndez, 2012). Tal como se observa en la siguiente tabla, las ventas acumuladas de herramientas de AdeP muestran un salto importante desde 2004, en adelante. </w:t>
      </w:r>
    </w:p>
    <w:p w:rsidR="006B7544" w:rsidRPr="003B1656" w:rsidRDefault="006B7544" w:rsidP="003B1656">
      <w:pPr>
        <w:spacing w:line="360" w:lineRule="auto"/>
        <w:jc w:val="center"/>
        <w:rPr>
          <w:b/>
          <w:color w:val="000000" w:themeColor="text1"/>
          <w:lang w:val="es-ES"/>
        </w:rPr>
      </w:pPr>
    </w:p>
    <w:p w:rsidR="00701BD3" w:rsidRPr="003B1656" w:rsidRDefault="006B7544" w:rsidP="003B1656">
      <w:pPr>
        <w:spacing w:line="360" w:lineRule="auto"/>
        <w:jc w:val="center"/>
        <w:rPr>
          <w:b/>
          <w:color w:val="000000" w:themeColor="text1"/>
          <w:lang w:val="es-ES"/>
        </w:rPr>
      </w:pPr>
      <w:r w:rsidRPr="003B1656">
        <w:rPr>
          <w:b/>
          <w:color w:val="000000" w:themeColor="text1"/>
          <w:lang w:val="es-ES"/>
        </w:rPr>
        <w:t>Cuadro Nº3</w:t>
      </w:r>
      <w:r w:rsidR="00701BD3" w:rsidRPr="003B1656">
        <w:rPr>
          <w:b/>
          <w:color w:val="000000" w:themeColor="text1"/>
          <w:lang w:val="es-ES"/>
        </w:rPr>
        <w:t>: Ventas acumuladas</w:t>
      </w:r>
      <w:r w:rsidR="00154436" w:rsidRPr="003B1656">
        <w:rPr>
          <w:b/>
          <w:color w:val="000000" w:themeColor="text1"/>
          <w:lang w:val="es-ES"/>
        </w:rPr>
        <w:t xml:space="preserve"> (en unidades)de</w:t>
      </w:r>
      <w:r w:rsidR="00701BD3" w:rsidRPr="003B1656">
        <w:rPr>
          <w:b/>
          <w:color w:val="000000" w:themeColor="text1"/>
          <w:lang w:val="es-ES"/>
        </w:rPr>
        <w:t xml:space="preserve"> equipos de Agricultura de Precisión, en la Argentina (1998-2017)</w:t>
      </w:r>
    </w:p>
    <w:p w:rsidR="00701BD3" w:rsidRPr="003B1656" w:rsidRDefault="00701BD3" w:rsidP="003B1656">
      <w:pPr>
        <w:spacing w:line="360" w:lineRule="auto"/>
        <w:jc w:val="both"/>
        <w:rPr>
          <w:color w:val="000000" w:themeColor="text1"/>
          <w:lang w:val="es-ES"/>
        </w:rPr>
      </w:pPr>
      <w:r w:rsidRPr="003B1656">
        <w:rPr>
          <w:noProof/>
          <w:color w:val="000000" w:themeColor="text1"/>
          <w:lang w:val="es-AR" w:eastAsia="es-AR"/>
        </w:rPr>
        <w:drawing>
          <wp:inline distT="0" distB="0" distL="0" distR="0">
            <wp:extent cx="6000748" cy="1348740"/>
            <wp:effectExtent l="0" t="0" r="0" b="0"/>
            <wp:docPr id="10" name="Imagen 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ve="http://schemas.openxmlformats.org/markup-compatibility/2006" id="{B80DBD4A-3DA0-5B48-A0A9-0495909D4B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ve="http://schemas.openxmlformats.org/markup-compatibility/2006" id="{B80DBD4A-3DA0-5B48-A0A9-0495909D4B05}"/>
                        </a:ext>
                      </a:extLst>
                    </pic:cNvPr>
                    <pic:cNvPicPr>
                      <a:picLocks noChangeAspect="1"/>
                    </pic:cNvPicPr>
                  </pic:nvPicPr>
                  <pic:blipFill rotWithShape="1">
                    <a:blip r:embed="rId17" cstate="print"/>
                    <a:srcRect b="14035"/>
                    <a:stretch/>
                  </pic:blipFill>
                  <pic:spPr bwMode="auto">
                    <a:xfrm>
                      <a:off x="0" y="0"/>
                      <a:ext cx="6130560" cy="1377917"/>
                    </a:xfrm>
                    <a:prstGeom prst="rect">
                      <a:avLst/>
                    </a:prstGeom>
                    <a:ln>
                      <a:noFill/>
                    </a:ln>
                    <a:extLst>
                      <a:ext uri="{53640926-AAD7-44D8-BBD7-CCE9431645EC}">
                        <a14:shadowObscured xmlns:a14="http://schemas.microsoft.com/office/drawing/2010/main"/>
                      </a:ext>
                    </a:extLst>
                  </pic:spPr>
                </pic:pic>
              </a:graphicData>
            </a:graphic>
          </wp:inline>
        </w:drawing>
      </w:r>
    </w:p>
    <w:p w:rsidR="00701BD3" w:rsidRPr="00BC64D9" w:rsidRDefault="00701BD3" w:rsidP="00BC64D9">
      <w:pPr>
        <w:jc w:val="center"/>
        <w:rPr>
          <w:color w:val="000000" w:themeColor="text1"/>
          <w:sz w:val="20"/>
          <w:lang w:val="es-ES"/>
        </w:rPr>
      </w:pPr>
      <w:r w:rsidRPr="00BC64D9">
        <w:rPr>
          <w:b/>
          <w:color w:val="000000" w:themeColor="text1"/>
          <w:sz w:val="20"/>
          <w:lang w:val="es-ES"/>
        </w:rPr>
        <w:t>Fuente</w:t>
      </w:r>
      <w:r w:rsidRPr="00BC64D9">
        <w:rPr>
          <w:color w:val="000000" w:themeColor="text1"/>
          <w:sz w:val="20"/>
          <w:lang w:val="es-ES"/>
        </w:rPr>
        <w:t>: INTA, EEA Manfredi (2018)</w:t>
      </w:r>
    </w:p>
    <w:p w:rsidR="00701BD3" w:rsidRPr="003B1656" w:rsidRDefault="00701BD3" w:rsidP="00731CE4">
      <w:pPr>
        <w:spacing w:line="360" w:lineRule="auto"/>
        <w:jc w:val="both"/>
        <w:rPr>
          <w:color w:val="000000" w:themeColor="text1"/>
          <w:lang w:val="es-ES"/>
        </w:rPr>
      </w:pPr>
      <w:r w:rsidRPr="003B1656">
        <w:rPr>
          <w:color w:val="000000" w:themeColor="text1"/>
          <w:lang w:val="es-ES"/>
        </w:rPr>
        <w:t xml:space="preserve">La incorporación de estas nuevas tecnologías es posible, en parte, a la disminución del error de la señal de GPS, es decir, un incremento en el uso de las señales correctoras. Con ello, desde 2004, se maximiza el uso de herramientas propias de la </w:t>
      </w:r>
      <w:r w:rsidR="006B7544" w:rsidRPr="003B1656">
        <w:rPr>
          <w:color w:val="000000" w:themeColor="text1"/>
          <w:lang w:val="es-ES"/>
        </w:rPr>
        <w:t>Agricultura de Precisión</w:t>
      </w:r>
      <w:r w:rsidR="00BE4956" w:rsidRPr="003B1656">
        <w:rPr>
          <w:color w:val="000000" w:themeColor="text1"/>
          <w:lang w:val="es-ES"/>
        </w:rPr>
        <w:t xml:space="preserve"> (AdeP)</w:t>
      </w:r>
      <w:r w:rsidRPr="003B1656">
        <w:rPr>
          <w:color w:val="000000" w:themeColor="text1"/>
          <w:lang w:val="es-ES"/>
        </w:rPr>
        <w:t>, tales como monitores de rendimiento y siembra, y los bander</w:t>
      </w:r>
      <w:r w:rsidR="00D905B0">
        <w:rPr>
          <w:color w:val="000000" w:themeColor="text1"/>
          <w:lang w:val="es-ES"/>
        </w:rPr>
        <w:t>illeros satelitales. Desde 2010</w:t>
      </w:r>
      <w:r w:rsidRPr="003B1656">
        <w:rPr>
          <w:color w:val="000000" w:themeColor="text1"/>
          <w:lang w:val="es-ES"/>
        </w:rPr>
        <w:t xml:space="preserve"> se incrementan también las ventas de guías automáticas y en menor medida, las dosis variables en sembradoras y los cortes por sección en pulverizadoras (Villarroel </w:t>
      </w:r>
      <w:r w:rsidRPr="003B1656">
        <w:rPr>
          <w:i/>
          <w:color w:val="000000" w:themeColor="text1"/>
          <w:lang w:val="es-ES"/>
        </w:rPr>
        <w:t>et al</w:t>
      </w:r>
      <w:r w:rsidRPr="003B1656">
        <w:rPr>
          <w:color w:val="000000" w:themeColor="text1"/>
          <w:lang w:val="es-ES"/>
        </w:rPr>
        <w:t xml:space="preserve">, 2018). </w:t>
      </w:r>
    </w:p>
    <w:p w:rsidR="00701BD3" w:rsidRPr="003B1656" w:rsidRDefault="008F4F51" w:rsidP="00D905B0">
      <w:pPr>
        <w:spacing w:line="360" w:lineRule="auto"/>
        <w:jc w:val="both"/>
        <w:rPr>
          <w:color w:val="000000" w:themeColor="text1"/>
          <w:lang w:val="es-ES"/>
        </w:rPr>
      </w:pPr>
      <w:r w:rsidRPr="003B1656">
        <w:rPr>
          <w:color w:val="000000" w:themeColor="text1"/>
          <w:lang w:val="es-ES"/>
        </w:rPr>
        <w:t xml:space="preserve">En esta línea, </w:t>
      </w:r>
      <w:r w:rsidR="00EE42CD" w:rsidRPr="003B1656">
        <w:rPr>
          <w:color w:val="000000" w:themeColor="text1"/>
          <w:lang w:val="es-ES"/>
        </w:rPr>
        <w:t xml:space="preserve">un relevamiento del INTA de Manfredi, permite observar algunos </w:t>
      </w:r>
      <w:r w:rsidRPr="003B1656">
        <w:rPr>
          <w:color w:val="000000" w:themeColor="text1"/>
          <w:lang w:val="es-ES"/>
        </w:rPr>
        <w:t xml:space="preserve">detalles respecto </w:t>
      </w:r>
      <w:r w:rsidR="00A816BB" w:rsidRPr="003B1656">
        <w:rPr>
          <w:color w:val="000000" w:themeColor="text1"/>
          <w:lang w:val="es-ES"/>
        </w:rPr>
        <w:t xml:space="preserve">de la </w:t>
      </w:r>
      <w:r w:rsidR="00EE42CD" w:rsidRPr="003B1656">
        <w:rPr>
          <w:color w:val="000000" w:themeColor="text1"/>
          <w:lang w:val="es-ES"/>
        </w:rPr>
        <w:t xml:space="preserve">difusión de </w:t>
      </w:r>
      <w:r w:rsidR="00A816BB" w:rsidRPr="003B1656">
        <w:rPr>
          <w:color w:val="000000" w:themeColor="text1"/>
          <w:lang w:val="es-ES"/>
        </w:rPr>
        <w:t>las nuevas tecnologías agrícolas</w:t>
      </w:r>
      <w:r w:rsidRPr="003B1656">
        <w:rPr>
          <w:color w:val="000000" w:themeColor="text1"/>
          <w:lang w:val="es-ES"/>
        </w:rPr>
        <w:t>, durante los últimos años</w:t>
      </w:r>
      <w:r w:rsidR="00A816BB" w:rsidRPr="003B1656">
        <w:rPr>
          <w:color w:val="000000" w:themeColor="text1"/>
          <w:lang w:val="es-ES"/>
        </w:rPr>
        <w:t>. Según este</w:t>
      </w:r>
      <w:r w:rsidRPr="003B1656">
        <w:rPr>
          <w:color w:val="000000" w:themeColor="text1"/>
          <w:lang w:val="es-ES"/>
        </w:rPr>
        <w:t xml:space="preserve"> estudio</w:t>
      </w:r>
      <w:r w:rsidR="00A816BB" w:rsidRPr="003B1656">
        <w:rPr>
          <w:color w:val="000000" w:themeColor="text1"/>
          <w:lang w:val="es-ES"/>
        </w:rPr>
        <w:t xml:space="preserve">, crece el uso </w:t>
      </w:r>
      <w:r w:rsidR="00701BD3" w:rsidRPr="003B1656">
        <w:rPr>
          <w:color w:val="000000" w:themeColor="text1"/>
          <w:lang w:val="es-ES"/>
        </w:rPr>
        <w:t>de las tecnologías que venían mostra</w:t>
      </w:r>
      <w:r w:rsidR="00D905B0">
        <w:rPr>
          <w:color w:val="000000" w:themeColor="text1"/>
          <w:lang w:val="es-ES"/>
        </w:rPr>
        <w:t>n</w:t>
      </w:r>
      <w:r w:rsidR="00701BD3" w:rsidRPr="003B1656">
        <w:rPr>
          <w:color w:val="000000" w:themeColor="text1"/>
          <w:lang w:val="es-ES"/>
        </w:rPr>
        <w:t>do un nivel de adopción importante</w:t>
      </w:r>
      <w:r w:rsidR="00A816BB" w:rsidRPr="003B1656">
        <w:rPr>
          <w:color w:val="000000" w:themeColor="text1"/>
          <w:lang w:val="es-ES"/>
        </w:rPr>
        <w:t>. Entre los años 2013 y 2018</w:t>
      </w:r>
      <w:r w:rsidRPr="003B1656">
        <w:rPr>
          <w:color w:val="000000" w:themeColor="text1"/>
          <w:lang w:val="es-ES"/>
        </w:rPr>
        <w:t>,</w:t>
      </w:r>
      <w:r w:rsidR="00A816BB" w:rsidRPr="003B1656">
        <w:rPr>
          <w:color w:val="000000" w:themeColor="text1"/>
          <w:lang w:val="es-ES"/>
        </w:rPr>
        <w:t xml:space="preserve"> el uso de los pilotos automáticos</w:t>
      </w:r>
      <w:r w:rsidRPr="003B1656">
        <w:rPr>
          <w:color w:val="000000" w:themeColor="text1"/>
          <w:lang w:val="es-ES"/>
        </w:rPr>
        <w:t xml:space="preserve"> pasa de representar un 40% a un 60% del total de los productores encuestados; </w:t>
      </w:r>
      <w:r w:rsidR="00701BD3" w:rsidRPr="003B1656">
        <w:rPr>
          <w:color w:val="000000" w:themeColor="text1"/>
          <w:lang w:val="es-ES"/>
        </w:rPr>
        <w:t xml:space="preserve">los sistemas de corte por surco en sembradoras -de </w:t>
      </w:r>
      <w:r w:rsidRPr="003B1656">
        <w:rPr>
          <w:color w:val="000000" w:themeColor="text1"/>
          <w:lang w:val="es-ES"/>
        </w:rPr>
        <w:t xml:space="preserve">un </w:t>
      </w:r>
      <w:r w:rsidR="00701BD3" w:rsidRPr="003B1656">
        <w:rPr>
          <w:color w:val="000000" w:themeColor="text1"/>
          <w:lang w:val="es-ES"/>
        </w:rPr>
        <w:t>7 a 21%-</w:t>
      </w:r>
      <w:r w:rsidRPr="003B1656">
        <w:rPr>
          <w:color w:val="000000" w:themeColor="text1"/>
          <w:lang w:val="es-ES"/>
        </w:rPr>
        <w:t>;</w:t>
      </w:r>
      <w:r w:rsidR="00701BD3" w:rsidRPr="003B1656">
        <w:rPr>
          <w:color w:val="000000" w:themeColor="text1"/>
          <w:lang w:val="es-ES"/>
        </w:rPr>
        <w:t xml:space="preserve"> los sistemas de siembra y fertilización variable -de </w:t>
      </w:r>
      <w:r w:rsidRPr="003B1656">
        <w:rPr>
          <w:color w:val="000000" w:themeColor="text1"/>
          <w:lang w:val="es-ES"/>
        </w:rPr>
        <w:t xml:space="preserve">un </w:t>
      </w:r>
      <w:r w:rsidR="00701BD3" w:rsidRPr="003B1656">
        <w:rPr>
          <w:color w:val="000000" w:themeColor="text1"/>
          <w:lang w:val="es-ES"/>
        </w:rPr>
        <w:t xml:space="preserve">27 a 35% y de </w:t>
      </w:r>
      <w:r w:rsidRPr="003B1656">
        <w:rPr>
          <w:color w:val="000000" w:themeColor="text1"/>
          <w:lang w:val="es-ES"/>
        </w:rPr>
        <w:t xml:space="preserve">un </w:t>
      </w:r>
      <w:r w:rsidR="00701BD3" w:rsidRPr="003B1656">
        <w:rPr>
          <w:color w:val="000000" w:themeColor="text1"/>
          <w:lang w:val="es-ES"/>
        </w:rPr>
        <w:t>29 a 41%-</w:t>
      </w:r>
      <w:r w:rsidRPr="003B1656">
        <w:rPr>
          <w:color w:val="000000" w:themeColor="text1"/>
          <w:lang w:val="es-ES"/>
        </w:rPr>
        <w:t>;</w:t>
      </w:r>
      <w:r w:rsidR="00701BD3" w:rsidRPr="003B1656">
        <w:rPr>
          <w:color w:val="000000" w:themeColor="text1"/>
          <w:lang w:val="es-ES"/>
        </w:rPr>
        <w:t xml:space="preserve"> y los sensores para el control de sitios específicos con malezas - de </w:t>
      </w:r>
      <w:r w:rsidRPr="003B1656">
        <w:rPr>
          <w:color w:val="000000" w:themeColor="text1"/>
          <w:lang w:val="es-ES"/>
        </w:rPr>
        <w:t xml:space="preserve">un </w:t>
      </w:r>
      <w:r w:rsidR="00701BD3" w:rsidRPr="003B1656">
        <w:rPr>
          <w:color w:val="000000" w:themeColor="text1"/>
          <w:lang w:val="es-ES"/>
        </w:rPr>
        <w:t>4 a 11%</w:t>
      </w:r>
      <w:r w:rsidRPr="003B1656">
        <w:rPr>
          <w:color w:val="000000" w:themeColor="text1"/>
          <w:lang w:val="es-ES"/>
        </w:rPr>
        <w:t>, respectivamente</w:t>
      </w:r>
      <w:r w:rsidR="00701BD3" w:rsidRPr="003B1656">
        <w:rPr>
          <w:color w:val="000000" w:themeColor="text1"/>
          <w:lang w:val="es-ES"/>
        </w:rPr>
        <w:t>-</w:t>
      </w:r>
      <w:r w:rsidR="00EE42CD" w:rsidRPr="003B1656">
        <w:rPr>
          <w:color w:val="000000" w:themeColor="text1"/>
          <w:lang w:val="es-ES"/>
        </w:rPr>
        <w:t xml:space="preserve"> (Melchori </w:t>
      </w:r>
      <w:r w:rsidR="00EE42CD" w:rsidRPr="003B1656">
        <w:rPr>
          <w:i/>
          <w:color w:val="000000" w:themeColor="text1"/>
          <w:lang w:val="es-ES"/>
        </w:rPr>
        <w:t>et al</w:t>
      </w:r>
      <w:r w:rsidR="00EE42CD" w:rsidRPr="003B1656">
        <w:rPr>
          <w:color w:val="000000" w:themeColor="text1"/>
          <w:lang w:val="es-ES"/>
        </w:rPr>
        <w:t>, 2018)</w:t>
      </w:r>
      <w:r w:rsidR="00701BD3" w:rsidRPr="003B1656">
        <w:rPr>
          <w:color w:val="000000" w:themeColor="text1"/>
          <w:lang w:val="es-ES"/>
        </w:rPr>
        <w:t xml:space="preserve">. </w:t>
      </w:r>
      <w:r w:rsidR="00D905B0">
        <w:rPr>
          <w:color w:val="000000" w:themeColor="text1"/>
          <w:lang w:val="es-ES"/>
        </w:rPr>
        <w:t>Ahora bien:</w:t>
      </w:r>
      <w:r w:rsidRPr="003B1656">
        <w:rPr>
          <w:color w:val="000000" w:themeColor="text1"/>
          <w:lang w:val="es-ES"/>
        </w:rPr>
        <w:t xml:space="preserve"> </w:t>
      </w:r>
      <w:r w:rsidR="00701BD3" w:rsidRPr="003B1656">
        <w:rPr>
          <w:color w:val="000000" w:themeColor="text1"/>
          <w:lang w:val="es-ES"/>
        </w:rPr>
        <w:t>para el mismo período</w:t>
      </w:r>
      <w:r w:rsidRPr="003B1656">
        <w:rPr>
          <w:color w:val="000000" w:themeColor="text1"/>
          <w:lang w:val="es-ES"/>
        </w:rPr>
        <w:t>,</w:t>
      </w:r>
      <w:r w:rsidR="00D905B0">
        <w:rPr>
          <w:color w:val="000000" w:themeColor="text1"/>
          <w:lang w:val="es-ES"/>
        </w:rPr>
        <w:t xml:space="preserve"> </w:t>
      </w:r>
      <w:r w:rsidRPr="003B1656">
        <w:rPr>
          <w:color w:val="000000" w:themeColor="text1"/>
          <w:lang w:val="es-ES"/>
        </w:rPr>
        <w:t xml:space="preserve">el estudio detecta un incremento sustancial en el uso de nuevas tecnologías, como lo </w:t>
      </w:r>
      <w:r w:rsidR="00701BD3" w:rsidRPr="003B1656">
        <w:rPr>
          <w:color w:val="000000" w:themeColor="text1"/>
          <w:lang w:val="es-ES"/>
        </w:rPr>
        <w:t xml:space="preserve">es la </w:t>
      </w:r>
      <w:r w:rsidR="004157D8" w:rsidRPr="003B1656">
        <w:rPr>
          <w:color w:val="000000" w:themeColor="text1"/>
          <w:lang w:val="es-ES"/>
        </w:rPr>
        <w:t>incorporación</w:t>
      </w:r>
      <w:r w:rsidR="00701BD3" w:rsidRPr="003B1656">
        <w:rPr>
          <w:color w:val="000000" w:themeColor="text1"/>
          <w:lang w:val="es-ES"/>
        </w:rPr>
        <w:t xml:space="preserve"> de plataformas Web de </w:t>
      </w:r>
      <w:r w:rsidR="004157D8" w:rsidRPr="003B1656">
        <w:rPr>
          <w:color w:val="000000" w:themeColor="text1"/>
          <w:lang w:val="es-ES"/>
        </w:rPr>
        <w:t>gestión</w:t>
      </w:r>
      <w:r w:rsidR="00701BD3" w:rsidRPr="003B1656">
        <w:rPr>
          <w:color w:val="000000" w:themeColor="text1"/>
          <w:lang w:val="es-ES"/>
        </w:rPr>
        <w:t xml:space="preserve"> de información, </w:t>
      </w:r>
      <w:r w:rsidR="004157D8" w:rsidRPr="003B1656">
        <w:rPr>
          <w:color w:val="000000" w:themeColor="text1"/>
          <w:lang w:val="es-ES"/>
        </w:rPr>
        <w:t>así</w:t>
      </w:r>
      <w:r w:rsidR="00701BD3" w:rsidRPr="003B1656">
        <w:rPr>
          <w:color w:val="000000" w:themeColor="text1"/>
          <w:lang w:val="es-ES"/>
        </w:rPr>
        <w:t xml:space="preserve">́ como </w:t>
      </w:r>
      <w:r w:rsidRPr="003B1656">
        <w:rPr>
          <w:color w:val="000000" w:themeColor="text1"/>
          <w:lang w:val="es-ES"/>
        </w:rPr>
        <w:t xml:space="preserve">también </w:t>
      </w:r>
      <w:r w:rsidR="00701BD3" w:rsidRPr="003B1656">
        <w:rPr>
          <w:color w:val="000000" w:themeColor="text1"/>
          <w:lang w:val="es-ES"/>
        </w:rPr>
        <w:t xml:space="preserve">el uso de drones. Estas tecnologías que surgieron en el </w:t>
      </w:r>
      <w:r w:rsidR="00D905B0">
        <w:rPr>
          <w:color w:val="000000" w:themeColor="text1"/>
          <w:lang w:val="es-ES"/>
        </w:rPr>
        <w:t>ú</w:t>
      </w:r>
      <w:r w:rsidR="004157D8" w:rsidRPr="003B1656">
        <w:rPr>
          <w:color w:val="000000" w:themeColor="text1"/>
          <w:lang w:val="es-ES"/>
        </w:rPr>
        <w:t>ltimo</w:t>
      </w:r>
      <w:r w:rsidR="00701BD3" w:rsidRPr="003B1656">
        <w:rPr>
          <w:color w:val="000000" w:themeColor="text1"/>
          <w:lang w:val="es-ES"/>
        </w:rPr>
        <w:t xml:space="preserve"> tiempo y no fueron relevadas en 2013, a pesar de su reciente incorporación al mercado, muestran una adopción que alcanza</w:t>
      </w:r>
      <w:r w:rsidRPr="003B1656">
        <w:rPr>
          <w:color w:val="000000" w:themeColor="text1"/>
          <w:lang w:val="es-ES"/>
        </w:rPr>
        <w:t xml:space="preserve"> en 2018</w:t>
      </w:r>
      <w:r w:rsidR="00D905B0">
        <w:rPr>
          <w:color w:val="000000" w:themeColor="text1"/>
          <w:lang w:val="es-ES"/>
        </w:rPr>
        <w:t xml:space="preserve"> </w:t>
      </w:r>
      <w:r w:rsidR="009C63DB" w:rsidRPr="003B1656">
        <w:rPr>
          <w:color w:val="000000" w:themeColor="text1"/>
          <w:lang w:val="es-ES"/>
        </w:rPr>
        <w:t>un</w:t>
      </w:r>
      <w:r w:rsidR="00701BD3" w:rsidRPr="003B1656">
        <w:rPr>
          <w:color w:val="000000" w:themeColor="text1"/>
          <w:lang w:val="es-ES"/>
        </w:rPr>
        <w:t xml:space="preserve"> 34% y 40%. </w:t>
      </w:r>
      <w:r w:rsidR="004157D8" w:rsidRPr="003B1656">
        <w:rPr>
          <w:color w:val="000000" w:themeColor="text1"/>
          <w:lang w:val="es-ES"/>
        </w:rPr>
        <w:t xml:space="preserve">A su vez, entre las fuentes de información disponibles para manejo por ambientes, los mapas de suelo fueron los más reportados, con un aumento de 58 a 72%, y las imágenes satelitales, por su parte, incrementaron su uso en un 19%, respecto del 2013 (Melchor </w:t>
      </w:r>
      <w:r w:rsidR="004157D8" w:rsidRPr="003B1656">
        <w:rPr>
          <w:i/>
          <w:color w:val="000000" w:themeColor="text1"/>
          <w:lang w:val="es-ES"/>
        </w:rPr>
        <w:t>et al</w:t>
      </w:r>
      <w:r w:rsidR="004157D8" w:rsidRPr="003B1656">
        <w:rPr>
          <w:color w:val="000000" w:themeColor="text1"/>
          <w:lang w:val="es-ES"/>
        </w:rPr>
        <w:t xml:space="preserve">, 2018). </w:t>
      </w:r>
      <w:r w:rsidR="00701BD3" w:rsidRPr="003B1656">
        <w:rPr>
          <w:color w:val="000000" w:themeColor="text1"/>
          <w:lang w:val="es-ES"/>
        </w:rPr>
        <w:t>Con ello</w:t>
      </w:r>
      <w:r w:rsidR="009C63DB" w:rsidRPr="003B1656">
        <w:rPr>
          <w:color w:val="000000" w:themeColor="text1"/>
          <w:lang w:val="es-ES"/>
        </w:rPr>
        <w:t>,</w:t>
      </w:r>
      <w:r w:rsidR="00701BD3" w:rsidRPr="003B1656">
        <w:rPr>
          <w:color w:val="000000" w:themeColor="text1"/>
          <w:lang w:val="es-ES"/>
        </w:rPr>
        <w:t xml:space="preserve"> es posible argumentar que se estaría dando un cambio cualitativo en donde comienzan a difundirse </w:t>
      </w:r>
      <w:r w:rsidR="009C63DB" w:rsidRPr="003B1656">
        <w:rPr>
          <w:color w:val="000000" w:themeColor="text1"/>
          <w:lang w:val="es-ES"/>
        </w:rPr>
        <w:t xml:space="preserve">entre los productores, </w:t>
      </w:r>
      <w:r w:rsidR="00701BD3" w:rsidRPr="003B1656">
        <w:rPr>
          <w:color w:val="000000" w:themeColor="text1"/>
          <w:lang w:val="es-ES"/>
        </w:rPr>
        <w:t xml:space="preserve">no solo las tecnologías de AdeP, sino que además crece el uso de aquellas tecnologías asociadas a la Agricultura 4.0 o Digital, </w:t>
      </w:r>
      <w:r w:rsidR="00BE4956" w:rsidRPr="003B1656">
        <w:rPr>
          <w:color w:val="000000" w:themeColor="text1"/>
          <w:lang w:val="es-ES"/>
        </w:rPr>
        <w:t xml:space="preserve">abriendo posibilidades de </w:t>
      </w:r>
      <w:r w:rsidR="00701BD3" w:rsidRPr="003B1656">
        <w:rPr>
          <w:color w:val="000000" w:themeColor="text1"/>
          <w:lang w:val="es-ES"/>
        </w:rPr>
        <w:t>procesa</w:t>
      </w:r>
      <w:r w:rsidR="00BE4956" w:rsidRPr="003B1656">
        <w:rPr>
          <w:color w:val="000000" w:themeColor="text1"/>
          <w:lang w:val="es-ES"/>
        </w:rPr>
        <w:t>miento</w:t>
      </w:r>
      <w:r w:rsidR="00701BD3" w:rsidRPr="003B1656">
        <w:rPr>
          <w:color w:val="000000" w:themeColor="text1"/>
          <w:lang w:val="es-ES"/>
        </w:rPr>
        <w:t>, t</w:t>
      </w:r>
      <w:r w:rsidR="00BE4956" w:rsidRPr="003B1656">
        <w:rPr>
          <w:color w:val="000000" w:themeColor="text1"/>
          <w:lang w:val="es-ES"/>
        </w:rPr>
        <w:t>ransmisión</w:t>
      </w:r>
      <w:r w:rsidR="00701BD3" w:rsidRPr="003B1656">
        <w:rPr>
          <w:color w:val="000000" w:themeColor="text1"/>
          <w:lang w:val="es-ES"/>
        </w:rPr>
        <w:t xml:space="preserve"> y </w:t>
      </w:r>
      <w:r w:rsidR="00BE4956" w:rsidRPr="003B1656">
        <w:rPr>
          <w:color w:val="000000" w:themeColor="text1"/>
          <w:lang w:val="es-ES"/>
        </w:rPr>
        <w:t>reutilizaciónde los datos generados</w:t>
      </w:r>
      <w:r w:rsidR="00701BD3" w:rsidRPr="003B1656">
        <w:rPr>
          <w:color w:val="000000" w:themeColor="text1"/>
          <w:lang w:val="es-ES"/>
        </w:rPr>
        <w:t xml:space="preserve"> por la AdeP.</w:t>
      </w:r>
      <w:r w:rsidR="009F366F">
        <w:rPr>
          <w:color w:val="000000" w:themeColor="text1"/>
          <w:lang w:val="es-ES"/>
        </w:rPr>
        <w:t xml:space="preserve"> </w:t>
      </w:r>
    </w:p>
    <w:p w:rsidR="00701BD3" w:rsidRPr="003B1656" w:rsidRDefault="00D905B0" w:rsidP="00D905B0">
      <w:pPr>
        <w:spacing w:line="360" w:lineRule="auto"/>
        <w:jc w:val="both"/>
        <w:rPr>
          <w:color w:val="000000" w:themeColor="text1"/>
          <w:lang w:val="es-ES"/>
        </w:rPr>
      </w:pPr>
      <w:r>
        <w:rPr>
          <w:color w:val="000000" w:themeColor="text1"/>
          <w:lang w:val="es-ES"/>
        </w:rPr>
        <w:lastRenderedPageBreak/>
        <w:t>E</w:t>
      </w:r>
      <w:r w:rsidR="00701BD3" w:rsidRPr="003B1656">
        <w:rPr>
          <w:color w:val="000000" w:themeColor="text1"/>
          <w:lang w:val="es-ES"/>
        </w:rPr>
        <w:t xml:space="preserve">l procesamiento de los datos generados a partir de las herramientas de AdeP resulta un punto de especial </w:t>
      </w:r>
      <w:r w:rsidR="004157D8" w:rsidRPr="003B1656">
        <w:rPr>
          <w:color w:val="000000" w:themeColor="text1"/>
          <w:lang w:val="es-ES"/>
        </w:rPr>
        <w:t>interés</w:t>
      </w:r>
      <w:r w:rsidR="00701BD3" w:rsidRPr="003B1656">
        <w:rPr>
          <w:color w:val="000000" w:themeColor="text1"/>
          <w:lang w:val="es-ES"/>
        </w:rPr>
        <w:t>.</w:t>
      </w:r>
      <w:r w:rsidR="009F366F">
        <w:rPr>
          <w:color w:val="000000" w:themeColor="text1"/>
          <w:lang w:val="es-ES"/>
        </w:rPr>
        <w:t xml:space="preserve"> </w:t>
      </w:r>
      <w:r w:rsidR="00701BD3" w:rsidRPr="003B1656">
        <w:rPr>
          <w:color w:val="000000" w:themeColor="text1"/>
          <w:lang w:val="es-ES"/>
        </w:rPr>
        <w:t xml:space="preserve">Respecto de qué datos se utilizan y </w:t>
      </w:r>
      <w:r w:rsidR="004157D8" w:rsidRPr="003B1656">
        <w:rPr>
          <w:color w:val="000000" w:themeColor="text1"/>
          <w:lang w:val="es-ES"/>
        </w:rPr>
        <w:t>cómo</w:t>
      </w:r>
      <w:r w:rsidR="00701BD3" w:rsidRPr="003B1656">
        <w:rPr>
          <w:color w:val="000000" w:themeColor="text1"/>
          <w:lang w:val="es-ES"/>
        </w:rPr>
        <w:t xml:space="preserve"> se transforman en </w:t>
      </w:r>
      <w:r w:rsidR="004157D8" w:rsidRPr="003B1656">
        <w:rPr>
          <w:color w:val="000000" w:themeColor="text1"/>
          <w:lang w:val="es-ES"/>
        </w:rPr>
        <w:t>información</w:t>
      </w:r>
      <w:r w:rsidR="00701BD3" w:rsidRPr="003B1656">
        <w:rPr>
          <w:color w:val="000000" w:themeColor="text1"/>
          <w:lang w:val="es-ES"/>
        </w:rPr>
        <w:t xml:space="preserve">, es decir qué tipo de procesamiento se realiza, </w:t>
      </w:r>
      <w:r w:rsidR="009C63DB" w:rsidRPr="003B1656">
        <w:rPr>
          <w:color w:val="000000" w:themeColor="text1"/>
          <w:lang w:val="es-ES"/>
        </w:rPr>
        <w:t>entre 2013 y 2018, el relevamiento</w:t>
      </w:r>
      <w:r w:rsidR="00701BD3" w:rsidRPr="003B1656">
        <w:rPr>
          <w:color w:val="000000" w:themeColor="text1"/>
          <w:lang w:val="es-ES"/>
        </w:rPr>
        <w:t xml:space="preserve"> mencionad</w:t>
      </w:r>
      <w:r w:rsidR="009C63DB" w:rsidRPr="003B1656">
        <w:rPr>
          <w:color w:val="000000" w:themeColor="text1"/>
          <w:lang w:val="es-ES"/>
        </w:rPr>
        <w:t>o</w:t>
      </w:r>
      <w:r w:rsidR="00701BD3" w:rsidRPr="003B1656">
        <w:rPr>
          <w:color w:val="000000" w:themeColor="text1"/>
          <w:lang w:val="es-ES"/>
        </w:rPr>
        <w:t xml:space="preserve"> registra un decrecimiento en el procesamiento de mapas de rendimiento (87 a 77%</w:t>
      </w:r>
      <w:r w:rsidR="009C63DB" w:rsidRPr="003B1656">
        <w:rPr>
          <w:color w:val="000000" w:themeColor="text1"/>
          <w:lang w:val="es-ES"/>
        </w:rPr>
        <w:t>, del total de productores encuestados</w:t>
      </w:r>
      <w:r w:rsidR="00701BD3" w:rsidRPr="003B1656">
        <w:rPr>
          <w:color w:val="000000" w:themeColor="text1"/>
          <w:lang w:val="es-ES"/>
        </w:rPr>
        <w:t xml:space="preserve">). Esto último, puede estar vinculado al hecho de que </w:t>
      </w:r>
      <w:r w:rsidR="004157D8" w:rsidRPr="003B1656">
        <w:rPr>
          <w:color w:val="000000" w:themeColor="text1"/>
          <w:lang w:val="es-ES"/>
        </w:rPr>
        <w:t>quizás</w:t>
      </w:r>
      <w:r w:rsidR="00701BD3" w:rsidRPr="003B1656">
        <w:rPr>
          <w:color w:val="000000" w:themeColor="text1"/>
          <w:lang w:val="es-ES"/>
        </w:rPr>
        <w:t xml:space="preserve"> se esté reemplazando con el uso de </w:t>
      </w:r>
      <w:r w:rsidR="004157D8" w:rsidRPr="003B1656">
        <w:rPr>
          <w:color w:val="000000" w:themeColor="text1"/>
          <w:lang w:val="es-ES"/>
        </w:rPr>
        <w:t>imágenes</w:t>
      </w:r>
      <w:r w:rsidR="00701BD3" w:rsidRPr="003B1656">
        <w:rPr>
          <w:color w:val="000000" w:themeColor="text1"/>
          <w:lang w:val="es-ES"/>
        </w:rPr>
        <w:t xml:space="preserve">, las cuales pasaron de un uso del 66 al 84%. Asimismo, se observa que el 34% de los usuarios relevados utiliza </w:t>
      </w:r>
      <w:r w:rsidR="004157D8" w:rsidRPr="003B1656">
        <w:rPr>
          <w:color w:val="000000" w:themeColor="text1"/>
          <w:lang w:val="es-ES"/>
        </w:rPr>
        <w:t>información</w:t>
      </w:r>
      <w:r w:rsidR="00701BD3" w:rsidRPr="003B1656">
        <w:rPr>
          <w:color w:val="000000" w:themeColor="text1"/>
          <w:lang w:val="es-ES"/>
        </w:rPr>
        <w:t xml:space="preserve"> derivada de drones, mientras que en el 2013 el uso de herramienta era incipiente, a la vez que se incrementa el uso de mapas </w:t>
      </w:r>
      <w:r w:rsidR="004157D8" w:rsidRPr="003B1656">
        <w:rPr>
          <w:color w:val="000000" w:themeColor="text1"/>
          <w:lang w:val="es-ES"/>
        </w:rPr>
        <w:t>topográficos</w:t>
      </w:r>
      <w:r w:rsidR="00701BD3" w:rsidRPr="003B1656">
        <w:rPr>
          <w:color w:val="000000" w:themeColor="text1"/>
          <w:lang w:val="es-ES"/>
        </w:rPr>
        <w:t xml:space="preserve"> de 27 a 41% (Melchori</w:t>
      </w:r>
      <w:r w:rsidR="00701BD3" w:rsidRPr="003B1656">
        <w:rPr>
          <w:i/>
          <w:color w:val="000000" w:themeColor="text1"/>
          <w:lang w:val="es-ES"/>
        </w:rPr>
        <w:t>et al</w:t>
      </w:r>
      <w:r w:rsidR="00701BD3" w:rsidRPr="003B1656">
        <w:rPr>
          <w:color w:val="000000" w:themeColor="text1"/>
          <w:lang w:val="es-ES"/>
        </w:rPr>
        <w:t>, 2018).</w:t>
      </w:r>
    </w:p>
    <w:p w:rsidR="00701BD3" w:rsidRPr="003B1656" w:rsidRDefault="004157D8" w:rsidP="00D905B0">
      <w:pPr>
        <w:spacing w:line="360" w:lineRule="auto"/>
        <w:jc w:val="both"/>
        <w:rPr>
          <w:color w:val="000000" w:themeColor="text1"/>
          <w:lang w:val="es-ES"/>
        </w:rPr>
      </w:pPr>
      <w:r w:rsidRPr="003B1656">
        <w:rPr>
          <w:color w:val="000000" w:themeColor="text1"/>
          <w:lang w:val="es-ES"/>
        </w:rPr>
        <w:t xml:space="preserve">No obstante la importancia del procesamiento de datos, es de destacar que al analizar los problemas que han enfrentado los usuarios de las nuevas tecnologías, el relevamiento refleja un incremento de los usuarios que consideran que el procesamiento de los datos requiere mucho tiempo, así́ como de los que destacan la escasez de la información agronómica para el manejo variable de los insumos (Melchori </w:t>
      </w:r>
      <w:r w:rsidRPr="003B1656">
        <w:rPr>
          <w:i/>
          <w:color w:val="000000" w:themeColor="text1"/>
          <w:lang w:val="es-ES"/>
        </w:rPr>
        <w:t>et al</w:t>
      </w:r>
      <w:r w:rsidRPr="003B1656">
        <w:rPr>
          <w:color w:val="000000" w:themeColor="text1"/>
          <w:lang w:val="es-ES"/>
        </w:rPr>
        <w:t xml:space="preserve">, 2018). </w:t>
      </w:r>
      <w:r w:rsidR="00D905B0">
        <w:rPr>
          <w:color w:val="000000" w:themeColor="text1"/>
          <w:lang w:val="es-ES"/>
        </w:rPr>
        <w:t>P</w:t>
      </w:r>
      <w:r w:rsidR="00701BD3" w:rsidRPr="003B1656">
        <w:rPr>
          <w:color w:val="000000" w:themeColor="text1"/>
          <w:lang w:val="es-ES"/>
        </w:rPr>
        <w:t xml:space="preserve">or un lado, las tecnologías propias de la Agricultura Digital, mediante la cual se proporcionan servicios de procesamiento de datos, aún no estaría ofreciendo los </w:t>
      </w:r>
      <w:r w:rsidR="00BE4956" w:rsidRPr="003B1656">
        <w:rPr>
          <w:color w:val="000000" w:themeColor="text1"/>
          <w:lang w:val="es-ES"/>
        </w:rPr>
        <w:t>servicios</w:t>
      </w:r>
      <w:r w:rsidR="00701BD3" w:rsidRPr="003B1656">
        <w:rPr>
          <w:color w:val="000000" w:themeColor="text1"/>
          <w:lang w:val="es-ES"/>
        </w:rPr>
        <w:t>, ni el perfil de productos</w:t>
      </w:r>
      <w:r w:rsidR="00BE4956" w:rsidRPr="003B1656">
        <w:rPr>
          <w:color w:val="000000" w:themeColor="text1"/>
          <w:lang w:val="es-ES"/>
        </w:rPr>
        <w:t>, que la producción local requiere</w:t>
      </w:r>
      <w:r w:rsidR="00701BD3" w:rsidRPr="003B1656">
        <w:rPr>
          <w:color w:val="000000" w:themeColor="text1"/>
          <w:lang w:val="es-ES"/>
        </w:rPr>
        <w:t>.</w:t>
      </w:r>
      <w:r w:rsidR="009F366F">
        <w:rPr>
          <w:color w:val="000000" w:themeColor="text1"/>
          <w:lang w:val="es-ES"/>
        </w:rPr>
        <w:t xml:space="preserve"> </w:t>
      </w:r>
      <w:r w:rsidR="00701BD3" w:rsidRPr="003B1656">
        <w:rPr>
          <w:color w:val="000000" w:themeColor="text1"/>
          <w:lang w:val="es-ES"/>
        </w:rPr>
        <w:t xml:space="preserve">Por otro lado, las herramientas de la AdP, tampoco habrían difundido masivamente </w:t>
      </w:r>
      <w:r w:rsidR="00BE4956" w:rsidRPr="003B1656">
        <w:rPr>
          <w:color w:val="000000" w:themeColor="text1"/>
          <w:lang w:val="es-ES"/>
        </w:rPr>
        <w:t xml:space="preserve">un paquete </w:t>
      </w:r>
      <w:r w:rsidRPr="003B1656">
        <w:rPr>
          <w:color w:val="000000" w:themeColor="text1"/>
          <w:lang w:val="es-ES"/>
        </w:rPr>
        <w:t>tecnológico</w:t>
      </w:r>
      <w:r w:rsidR="00701BD3" w:rsidRPr="003B1656">
        <w:rPr>
          <w:color w:val="000000" w:themeColor="text1"/>
          <w:lang w:val="es-ES"/>
        </w:rPr>
        <w:t xml:space="preserve"> que permita sortear una de las principales necesidades de los productores </w:t>
      </w:r>
      <w:r w:rsidRPr="003B1656">
        <w:rPr>
          <w:color w:val="000000" w:themeColor="text1"/>
          <w:lang w:val="es-ES"/>
        </w:rPr>
        <w:t>agrícolas</w:t>
      </w:r>
      <w:r w:rsidR="00701BD3" w:rsidRPr="003B1656">
        <w:rPr>
          <w:color w:val="000000" w:themeColor="text1"/>
          <w:lang w:val="es-ES"/>
        </w:rPr>
        <w:t xml:space="preserve">, la de racionalizar el uso de aquellos insumos -como los agroquímicos- que resultan críticos en su </w:t>
      </w:r>
      <w:r w:rsidRPr="003B1656">
        <w:rPr>
          <w:color w:val="000000" w:themeColor="text1"/>
          <w:lang w:val="es-ES"/>
        </w:rPr>
        <w:t>estructura</w:t>
      </w:r>
      <w:r w:rsidR="00701BD3" w:rsidRPr="003B1656">
        <w:rPr>
          <w:color w:val="000000" w:themeColor="text1"/>
          <w:lang w:val="es-ES"/>
        </w:rPr>
        <w:t xml:space="preserve"> de costos. Por último, a estos dos límites que encuentra la difusión de las nuevas tecnologías se le suma el contexto económico </w:t>
      </w:r>
      <w:r w:rsidR="00BE4956" w:rsidRPr="003B1656">
        <w:rPr>
          <w:color w:val="000000" w:themeColor="text1"/>
          <w:lang w:val="es-ES"/>
        </w:rPr>
        <w:t>de crisis</w:t>
      </w:r>
      <w:r w:rsidR="00D905B0">
        <w:rPr>
          <w:color w:val="000000" w:themeColor="text1"/>
          <w:lang w:val="es-ES"/>
        </w:rPr>
        <w:t xml:space="preserve"> </w:t>
      </w:r>
      <w:r w:rsidR="00701BD3" w:rsidRPr="003B1656">
        <w:rPr>
          <w:color w:val="000000" w:themeColor="text1"/>
          <w:lang w:val="es-ES"/>
        </w:rPr>
        <w:t xml:space="preserve">que atraviesa el país en los últimos años. Según la encuesta citada, a diferencia de lo relevado en 2013, donde la falta de </w:t>
      </w:r>
      <w:r w:rsidRPr="003B1656">
        <w:rPr>
          <w:color w:val="000000" w:themeColor="text1"/>
          <w:lang w:val="es-ES"/>
        </w:rPr>
        <w:t>especialización</w:t>
      </w:r>
      <w:r w:rsidR="00701BD3" w:rsidRPr="003B1656">
        <w:rPr>
          <w:color w:val="000000" w:themeColor="text1"/>
          <w:lang w:val="es-ES"/>
        </w:rPr>
        <w:t xml:space="preserve"> fue el factor </w:t>
      </w:r>
      <w:r w:rsidRPr="003B1656">
        <w:rPr>
          <w:color w:val="000000" w:themeColor="text1"/>
          <w:lang w:val="es-ES"/>
        </w:rPr>
        <w:t>más</w:t>
      </w:r>
      <w:r w:rsidR="00701BD3" w:rsidRPr="003B1656">
        <w:rPr>
          <w:color w:val="000000" w:themeColor="text1"/>
          <w:lang w:val="es-ES"/>
        </w:rPr>
        <w:t xml:space="preserve"> limitante, para 2018 es el costo de las herramientas y las </w:t>
      </w:r>
      <w:r w:rsidRPr="003B1656">
        <w:rPr>
          <w:color w:val="000000" w:themeColor="text1"/>
          <w:lang w:val="es-ES"/>
        </w:rPr>
        <w:t>técnicas</w:t>
      </w:r>
      <w:r w:rsidR="00701BD3" w:rsidRPr="003B1656">
        <w:rPr>
          <w:color w:val="000000" w:themeColor="text1"/>
          <w:lang w:val="es-ES"/>
        </w:rPr>
        <w:t>, el factor que cobra mayor relevancia entre los productores. La evolución y cambios que muestra la difusión de estas tecnologías en Argentina, se vinculan en parte con el tipo de desarrollo y límites que encuentran las empresas del sector.</w:t>
      </w:r>
      <w:r w:rsidR="009F366F">
        <w:rPr>
          <w:color w:val="000000" w:themeColor="text1"/>
          <w:lang w:val="es-ES"/>
        </w:rPr>
        <w:t xml:space="preserve"> </w:t>
      </w:r>
      <w:r w:rsidR="00701BD3" w:rsidRPr="003B1656">
        <w:rPr>
          <w:color w:val="000000" w:themeColor="text1"/>
          <w:lang w:val="es-ES"/>
        </w:rPr>
        <w:t xml:space="preserve">Al respecto, un relevamiento que resulta pertinente revisar es la Encuesta Nacional a Empresas de Agricultura y </w:t>
      </w:r>
      <w:r w:rsidRPr="003B1656">
        <w:rPr>
          <w:color w:val="000000" w:themeColor="text1"/>
          <w:lang w:val="es-ES"/>
        </w:rPr>
        <w:t>Ganadería</w:t>
      </w:r>
      <w:r w:rsidR="00701BD3" w:rsidRPr="003B1656">
        <w:rPr>
          <w:color w:val="000000" w:themeColor="text1"/>
          <w:lang w:val="es-ES"/>
        </w:rPr>
        <w:t xml:space="preserve"> de </w:t>
      </w:r>
      <w:r w:rsidRPr="003B1656">
        <w:rPr>
          <w:color w:val="000000" w:themeColor="text1"/>
          <w:lang w:val="es-ES"/>
        </w:rPr>
        <w:t>Precisión</w:t>
      </w:r>
      <w:r w:rsidR="00701BD3" w:rsidRPr="003B1656">
        <w:rPr>
          <w:color w:val="000000" w:themeColor="text1"/>
          <w:lang w:val="es-ES"/>
        </w:rPr>
        <w:t xml:space="preserve"> que realizan de manera conjunta el Instituto Interdisciplinario de </w:t>
      </w:r>
      <w:r w:rsidRPr="003B1656">
        <w:rPr>
          <w:color w:val="000000" w:themeColor="text1"/>
          <w:lang w:val="es-ES"/>
        </w:rPr>
        <w:t>Economía</w:t>
      </w:r>
      <w:r w:rsidR="00D905B0">
        <w:rPr>
          <w:color w:val="000000" w:themeColor="text1"/>
          <w:lang w:val="es-ES"/>
        </w:rPr>
        <w:t xml:space="preserve"> </w:t>
      </w:r>
      <w:r w:rsidRPr="003B1656">
        <w:rPr>
          <w:color w:val="000000" w:themeColor="text1"/>
          <w:lang w:val="es-ES"/>
        </w:rPr>
        <w:t>Política</w:t>
      </w:r>
      <w:r w:rsidR="00701BD3" w:rsidRPr="003B1656">
        <w:rPr>
          <w:color w:val="000000" w:themeColor="text1"/>
          <w:lang w:val="es-ES"/>
        </w:rPr>
        <w:t xml:space="preserve"> de la Facultad de Ciencias </w:t>
      </w:r>
      <w:r w:rsidRPr="003B1656">
        <w:rPr>
          <w:color w:val="000000" w:themeColor="text1"/>
          <w:lang w:val="es-ES"/>
        </w:rPr>
        <w:t>Económicas</w:t>
      </w:r>
      <w:r w:rsidR="00701BD3" w:rsidRPr="003B1656">
        <w:rPr>
          <w:color w:val="000000" w:themeColor="text1"/>
          <w:lang w:val="es-ES"/>
        </w:rPr>
        <w:t xml:space="preserve"> de la UBA, INTA </w:t>
      </w:r>
      <w:r w:rsidR="00D905B0">
        <w:rPr>
          <w:color w:val="000000" w:themeColor="text1"/>
          <w:lang w:val="es-ES"/>
        </w:rPr>
        <w:t>y</w:t>
      </w:r>
      <w:r w:rsidR="00701BD3" w:rsidRPr="003B1656">
        <w:rPr>
          <w:color w:val="000000" w:themeColor="text1"/>
          <w:lang w:val="es-ES"/>
        </w:rPr>
        <w:t xml:space="preserve"> el Ministerio de </w:t>
      </w:r>
      <w:r w:rsidRPr="003B1656">
        <w:rPr>
          <w:color w:val="000000" w:themeColor="text1"/>
          <w:lang w:val="es-ES"/>
        </w:rPr>
        <w:t>Producción</w:t>
      </w:r>
      <w:r w:rsidR="00701BD3" w:rsidRPr="003B1656">
        <w:rPr>
          <w:color w:val="000000" w:themeColor="text1"/>
          <w:lang w:val="es-ES"/>
        </w:rPr>
        <w:t xml:space="preserve">. Según este trabajo, es posible diferenciar tres grandes grupos de empresas: i) aquellas dedicadas al desarrollo de equipos y maquinarias de </w:t>
      </w:r>
      <w:r w:rsidRPr="003B1656">
        <w:rPr>
          <w:color w:val="000000" w:themeColor="text1"/>
          <w:lang w:val="es-ES"/>
        </w:rPr>
        <w:t>precisión</w:t>
      </w:r>
      <w:r w:rsidR="00701BD3" w:rsidRPr="003B1656">
        <w:rPr>
          <w:color w:val="000000" w:themeColor="text1"/>
          <w:lang w:val="es-ES"/>
        </w:rPr>
        <w:t xml:space="preserve"> -“agropartes precisas”-; ii) las empresas que proveen servicios basados en conocimiento (SBC), a partir de plataformas de TICs para la agricultura de </w:t>
      </w:r>
      <w:r w:rsidRPr="003B1656">
        <w:rPr>
          <w:color w:val="000000" w:themeColor="text1"/>
          <w:lang w:val="es-ES"/>
        </w:rPr>
        <w:t>precisión</w:t>
      </w:r>
      <w:r w:rsidR="00701BD3" w:rsidRPr="003B1656">
        <w:rPr>
          <w:color w:val="000000" w:themeColor="text1"/>
          <w:lang w:val="es-ES"/>
        </w:rPr>
        <w:t xml:space="preserve"> -“SBC de AP”- y iii) los emprendimientos que prestan servicios ligados al uso de TICs en diversos eslabones del agro -llamadas “AgTech”- (Lachman </w:t>
      </w:r>
      <w:r w:rsidR="00701BD3" w:rsidRPr="003B1656">
        <w:rPr>
          <w:i/>
          <w:color w:val="000000" w:themeColor="text1"/>
          <w:lang w:val="es-ES"/>
        </w:rPr>
        <w:t>et al</w:t>
      </w:r>
      <w:r w:rsidR="00701BD3" w:rsidRPr="003B1656">
        <w:rPr>
          <w:color w:val="000000" w:themeColor="text1"/>
          <w:lang w:val="es-ES"/>
        </w:rPr>
        <w:t>, 2018).</w:t>
      </w:r>
    </w:p>
    <w:p w:rsidR="00682E03" w:rsidRPr="003B1656" w:rsidRDefault="004157D8" w:rsidP="00D905B0">
      <w:pPr>
        <w:spacing w:line="360" w:lineRule="auto"/>
        <w:jc w:val="both"/>
        <w:rPr>
          <w:color w:val="000000" w:themeColor="text1"/>
          <w:lang w:val="es-ES"/>
        </w:rPr>
      </w:pPr>
      <w:r w:rsidRPr="003B1656">
        <w:rPr>
          <w:color w:val="000000" w:themeColor="text1"/>
          <w:lang w:val="es-ES"/>
        </w:rPr>
        <w:lastRenderedPageBreak/>
        <w:t>En el caso de las ventas de las firmas de SBC de AP, los productores agropecuarios representan tres cuartos del total; en el grupo de empresas de agropartes de precisión, productores agropecuarios y contratistas de servicios explican dos tercios de los ingresos; mientras que el tercer grupo de empresas realiza casi todas sus ventas a productores y otros actores del sector</w:t>
      </w:r>
      <w:r w:rsidR="00874D4C" w:rsidRPr="003B1656">
        <w:rPr>
          <w:color w:val="000000" w:themeColor="text1"/>
          <w:lang w:val="es-ES"/>
        </w:rPr>
        <w:t xml:space="preserve">. </w:t>
      </w:r>
      <w:r w:rsidRPr="003B1656">
        <w:rPr>
          <w:color w:val="000000" w:themeColor="text1"/>
          <w:lang w:val="es-ES"/>
        </w:rPr>
        <w:t xml:space="preserve">Es de importancia remarcar que según este estudio se observa un bajo eslabonamiento entre las empresas de software, las de AdP y las de maquinaria agrícola. </w:t>
      </w:r>
      <w:r w:rsidR="00701BD3" w:rsidRPr="003B1656">
        <w:rPr>
          <w:color w:val="000000" w:themeColor="text1"/>
          <w:lang w:val="es-ES"/>
        </w:rPr>
        <w:t>La mayoría de las firmas proveen directamente al sector agropecuario sin integrar actividades con algún otro eslabón de la cadena. En dónde a su vez, más del 35% de las empresas encuestadas comercializa únicamente productos desarrollados por otras empresas, por lo general, en el exterior, a la vez que las posibilidades de exportación y de ingreso a cadenas globales de valor está presente en un número relativamente acotado de las fi</w:t>
      </w:r>
      <w:r w:rsidR="004D6909" w:rsidRPr="003B1656">
        <w:rPr>
          <w:color w:val="000000" w:themeColor="text1"/>
          <w:lang w:val="es-ES"/>
        </w:rPr>
        <w:t>rmas de agropartes de precisión</w:t>
      </w:r>
      <w:r w:rsidR="00701BD3" w:rsidRPr="003B1656">
        <w:rPr>
          <w:color w:val="000000" w:themeColor="text1"/>
          <w:lang w:val="es-ES"/>
        </w:rPr>
        <w:t xml:space="preserve"> (Lachman</w:t>
      </w:r>
      <w:r w:rsidR="00701BD3" w:rsidRPr="003B1656">
        <w:rPr>
          <w:i/>
          <w:color w:val="000000" w:themeColor="text1"/>
          <w:lang w:val="es-ES"/>
        </w:rPr>
        <w:t>et al</w:t>
      </w:r>
      <w:r w:rsidR="00701BD3" w:rsidRPr="003B1656">
        <w:rPr>
          <w:color w:val="000000" w:themeColor="text1"/>
          <w:lang w:val="es-ES"/>
        </w:rPr>
        <w:t xml:space="preserve">, 2018). </w:t>
      </w:r>
    </w:p>
    <w:p w:rsidR="00356F56" w:rsidRPr="003B1656" w:rsidRDefault="00356F56" w:rsidP="003B1656">
      <w:pPr>
        <w:spacing w:line="360" w:lineRule="auto"/>
        <w:ind w:firstLine="709"/>
        <w:jc w:val="both"/>
        <w:rPr>
          <w:lang w:val="es-ES"/>
        </w:rPr>
      </w:pPr>
    </w:p>
    <w:p w:rsidR="00EB6DB9" w:rsidRPr="003B1656" w:rsidRDefault="00577D7F" w:rsidP="003B1656">
      <w:pPr>
        <w:spacing w:line="360" w:lineRule="auto"/>
        <w:rPr>
          <w:b/>
          <w:lang w:val="es-ES"/>
        </w:rPr>
      </w:pPr>
      <w:r w:rsidRPr="003B1656">
        <w:rPr>
          <w:b/>
          <w:lang w:val="es-ES"/>
        </w:rPr>
        <w:t>6</w:t>
      </w:r>
      <w:r w:rsidR="00EB6DB9" w:rsidRPr="003B1656">
        <w:rPr>
          <w:b/>
          <w:lang w:val="es-ES"/>
        </w:rPr>
        <w:t>. Conclusi</w:t>
      </w:r>
      <w:r w:rsidR="00874D4C" w:rsidRPr="003B1656">
        <w:rPr>
          <w:b/>
          <w:lang w:val="es-ES"/>
        </w:rPr>
        <w:t>ones</w:t>
      </w:r>
    </w:p>
    <w:p w:rsidR="00E3261A" w:rsidRPr="003B1656" w:rsidRDefault="00890098" w:rsidP="003B1656">
      <w:pPr>
        <w:spacing w:line="360" w:lineRule="auto"/>
        <w:jc w:val="both"/>
        <w:rPr>
          <w:lang w:val="es-ES"/>
        </w:rPr>
      </w:pPr>
      <w:r w:rsidRPr="003B1656">
        <w:rPr>
          <w:lang w:val="es-ES"/>
        </w:rPr>
        <w:t xml:space="preserve">La industria de maquinaria agrícola en tanto estructura oligopólica en la que coexisten relaciones de rivalidad y cooperación atraviesa </w:t>
      </w:r>
      <w:r w:rsidR="00E3261A" w:rsidRPr="003B1656">
        <w:rPr>
          <w:lang w:val="es-ES"/>
        </w:rPr>
        <w:t>un proceso de reestructuración en el marco de una caída en el precio de las materias primas. Esto se traduce en una mayor rivalidad entre las grandes multinacionales al mismo tiempo que se desarrollan alianzas</w:t>
      </w:r>
      <w:r w:rsidR="00D905B0">
        <w:rPr>
          <w:lang w:val="es-ES"/>
        </w:rPr>
        <w:t xml:space="preserve"> </w:t>
      </w:r>
      <w:r w:rsidR="00E3261A" w:rsidRPr="003B1656">
        <w:rPr>
          <w:lang w:val="es-ES"/>
        </w:rPr>
        <w:t>estratégicas intersectoriales con los principales líderes de la industria agroquímica-biotecnológica. El objeto de estas alianzas se centra en la definición de plataformas globales a partir de estándares privados.</w:t>
      </w:r>
      <w:r w:rsidR="009F366F">
        <w:rPr>
          <w:lang w:val="es-ES"/>
        </w:rPr>
        <w:t xml:space="preserve"> </w:t>
      </w:r>
      <w:r w:rsidR="00E3261A" w:rsidRPr="003B1656">
        <w:rPr>
          <w:lang w:val="es-ES"/>
        </w:rPr>
        <w:t xml:space="preserve">El resultado de esta reestructuración del oligopolio definirá quienes tienen mayores posibilidades de apropiar los resultados de las innovaciones y las rentas agrícolas </w:t>
      </w:r>
      <w:r w:rsidR="00D905B0">
        <w:rPr>
          <w:lang w:val="es-ES"/>
        </w:rPr>
        <w:t>con</w:t>
      </w:r>
      <w:r w:rsidR="00E3261A" w:rsidRPr="003B1656">
        <w:rPr>
          <w:lang w:val="es-ES"/>
        </w:rPr>
        <w:t xml:space="preserve"> la centralización de los datos.</w:t>
      </w:r>
      <w:r w:rsidR="00D905B0">
        <w:rPr>
          <w:lang w:val="es-ES"/>
        </w:rPr>
        <w:t xml:space="preserve"> </w:t>
      </w:r>
      <w:r w:rsidR="00E3261A" w:rsidRPr="003B1656">
        <w:rPr>
          <w:lang w:val="es-ES"/>
        </w:rPr>
        <w:t xml:space="preserve">En este marco la industria de maquinaria agrícola argentina, a pesar de la profunda crisis coyuntural que atraviesa desde el año 2018, se encuentra liderando los índices de difusión de distintos implementos y dispositivos de </w:t>
      </w:r>
      <w:r w:rsidR="00D905B0">
        <w:rPr>
          <w:lang w:val="es-ES"/>
        </w:rPr>
        <w:t>AdeP</w:t>
      </w:r>
      <w:r w:rsidR="00E3261A" w:rsidRPr="003B1656">
        <w:rPr>
          <w:lang w:val="es-ES"/>
        </w:rPr>
        <w:t xml:space="preserve">. De esta manera la Argentina se transforma en un potencial escenario de rivalidad por la definición de estándares y difusión de plataformas digitales agrícolas. Por el momento escenario se encuentra en una fase de redefinición, existiendo nichos transitorios para la entrada de empresas locales basadas en el conocimiento que recopilen, procesen y brindes servicios a los productores agropecuarios. </w:t>
      </w:r>
    </w:p>
    <w:p w:rsidR="00E3261A" w:rsidRPr="003B1656" w:rsidRDefault="00E3261A" w:rsidP="003B1656">
      <w:pPr>
        <w:spacing w:line="360" w:lineRule="auto"/>
        <w:jc w:val="both"/>
        <w:rPr>
          <w:lang w:val="es-ES"/>
        </w:rPr>
      </w:pPr>
      <w:r w:rsidRPr="003B1656">
        <w:rPr>
          <w:lang w:val="es-ES"/>
        </w:rPr>
        <w:t>A pesar de ello existen fuertes limitantes que requieren un análisis en profundidad:</w:t>
      </w:r>
    </w:p>
    <w:p w:rsidR="00E3261A" w:rsidRPr="003B1656" w:rsidRDefault="00E3261A" w:rsidP="003B1656">
      <w:pPr>
        <w:pStyle w:val="Prrafodelista"/>
        <w:numPr>
          <w:ilvl w:val="0"/>
          <w:numId w:val="14"/>
        </w:numPr>
        <w:spacing w:line="360" w:lineRule="auto"/>
        <w:jc w:val="both"/>
        <w:rPr>
          <w:color w:val="000000" w:themeColor="text1"/>
          <w:lang w:val="es-ES"/>
        </w:rPr>
      </w:pPr>
      <w:r w:rsidRPr="003B1656">
        <w:rPr>
          <w:color w:val="000000" w:themeColor="text1"/>
          <w:lang w:val="es-ES"/>
        </w:rPr>
        <w:t xml:space="preserve">Cuál es el grado de articulación entre </w:t>
      </w:r>
      <w:r w:rsidR="00D26579" w:rsidRPr="003B1656">
        <w:rPr>
          <w:color w:val="000000" w:themeColor="text1"/>
          <w:lang w:val="es-ES"/>
        </w:rPr>
        <w:t xml:space="preserve">las empresas </w:t>
      </w:r>
      <w:r w:rsidRPr="003B1656">
        <w:rPr>
          <w:color w:val="000000" w:themeColor="text1"/>
          <w:lang w:val="es-ES"/>
        </w:rPr>
        <w:t>locales de maquinaria</w:t>
      </w:r>
      <w:r w:rsidR="00D26579" w:rsidRPr="003B1656">
        <w:rPr>
          <w:color w:val="000000" w:themeColor="text1"/>
          <w:lang w:val="es-ES"/>
        </w:rPr>
        <w:t xml:space="preserve">, </w:t>
      </w:r>
      <w:r w:rsidRPr="003B1656">
        <w:rPr>
          <w:color w:val="000000" w:themeColor="text1"/>
          <w:lang w:val="es-ES"/>
        </w:rPr>
        <w:t>Ade</w:t>
      </w:r>
      <w:r w:rsidR="00D905B0">
        <w:rPr>
          <w:color w:val="000000" w:themeColor="text1"/>
          <w:lang w:val="es-ES"/>
        </w:rPr>
        <w:t>P</w:t>
      </w:r>
      <w:r w:rsidRPr="003B1656">
        <w:rPr>
          <w:color w:val="000000" w:themeColor="text1"/>
          <w:lang w:val="es-ES"/>
        </w:rPr>
        <w:t xml:space="preserve"> y servicios basados en el conocimiento que posibiliten subsistemas locales digital</w:t>
      </w:r>
      <w:r w:rsidR="00D905B0">
        <w:rPr>
          <w:color w:val="000000" w:themeColor="text1"/>
          <w:lang w:val="es-ES"/>
        </w:rPr>
        <w:t>es</w:t>
      </w:r>
      <w:r w:rsidRPr="003B1656">
        <w:rPr>
          <w:color w:val="000000" w:themeColor="text1"/>
          <w:lang w:val="es-ES"/>
        </w:rPr>
        <w:t>.</w:t>
      </w:r>
    </w:p>
    <w:p w:rsidR="00D26579" w:rsidRPr="003B1656" w:rsidRDefault="00E3261A" w:rsidP="003B1656">
      <w:pPr>
        <w:pStyle w:val="Prrafodelista"/>
        <w:numPr>
          <w:ilvl w:val="0"/>
          <w:numId w:val="14"/>
        </w:numPr>
        <w:spacing w:line="360" w:lineRule="auto"/>
        <w:jc w:val="both"/>
        <w:rPr>
          <w:color w:val="000000" w:themeColor="text1"/>
          <w:lang w:val="es-ES"/>
        </w:rPr>
      </w:pPr>
      <w:r w:rsidRPr="003B1656">
        <w:rPr>
          <w:color w:val="000000" w:themeColor="text1"/>
          <w:lang w:val="es-ES"/>
        </w:rPr>
        <w:t xml:space="preserve">En </w:t>
      </w:r>
      <w:r w:rsidR="00852B27" w:rsidRPr="003B1656">
        <w:rPr>
          <w:color w:val="000000" w:themeColor="text1"/>
          <w:lang w:val="es-ES"/>
        </w:rPr>
        <w:t>qué</w:t>
      </w:r>
      <w:r w:rsidRPr="003B1656">
        <w:rPr>
          <w:color w:val="000000" w:themeColor="text1"/>
          <w:lang w:val="es-ES"/>
        </w:rPr>
        <w:t xml:space="preserve"> medida dichos sub</w:t>
      </w:r>
      <w:r w:rsidR="00852B27" w:rsidRPr="003B1656">
        <w:rPr>
          <w:color w:val="000000" w:themeColor="text1"/>
          <w:lang w:val="es-ES"/>
        </w:rPr>
        <w:t>s</w:t>
      </w:r>
      <w:r w:rsidRPr="003B1656">
        <w:rPr>
          <w:color w:val="000000" w:themeColor="text1"/>
          <w:lang w:val="es-ES"/>
        </w:rPr>
        <w:t xml:space="preserve">istemas pueden </w:t>
      </w:r>
      <w:r w:rsidR="00852B27" w:rsidRPr="003B1656">
        <w:rPr>
          <w:color w:val="000000" w:themeColor="text1"/>
          <w:lang w:val="es-ES"/>
        </w:rPr>
        <w:t xml:space="preserve">prevalecer dado el </w:t>
      </w:r>
      <w:r w:rsidR="003F0F2A" w:rsidRPr="003B1656">
        <w:rPr>
          <w:color w:val="000000" w:themeColor="text1"/>
          <w:lang w:val="es-ES"/>
        </w:rPr>
        <w:t>carácter pre-paradigmático de dichas te</w:t>
      </w:r>
      <w:r w:rsidR="00852B27" w:rsidRPr="003B1656">
        <w:rPr>
          <w:color w:val="000000" w:themeColor="text1"/>
          <w:lang w:val="es-ES"/>
        </w:rPr>
        <w:t xml:space="preserve">cnologías a nivel internacional y la disputa </w:t>
      </w:r>
      <w:r w:rsidR="003F0F2A" w:rsidRPr="003B1656">
        <w:rPr>
          <w:color w:val="000000" w:themeColor="text1"/>
          <w:lang w:val="es-ES"/>
        </w:rPr>
        <w:t>por el control de la tecnologí</w:t>
      </w:r>
      <w:r w:rsidR="00D26579" w:rsidRPr="003B1656">
        <w:rPr>
          <w:color w:val="000000" w:themeColor="text1"/>
          <w:lang w:val="es-ES"/>
        </w:rPr>
        <w:t>a</w:t>
      </w:r>
      <w:r w:rsidR="00D905B0">
        <w:rPr>
          <w:color w:val="000000" w:themeColor="text1"/>
          <w:lang w:val="es-ES"/>
        </w:rPr>
        <w:t xml:space="preserve"> </w:t>
      </w:r>
      <w:r w:rsidR="00A654CC" w:rsidRPr="003B1656">
        <w:rPr>
          <w:color w:val="000000" w:themeColor="text1"/>
          <w:lang w:val="es-ES"/>
        </w:rPr>
        <w:t>y sus estándares de interoperabilidad</w:t>
      </w:r>
      <w:r w:rsidR="00D26579" w:rsidRPr="003B1656">
        <w:rPr>
          <w:color w:val="000000" w:themeColor="text1"/>
          <w:lang w:val="es-ES"/>
        </w:rPr>
        <w:t>, abre espacios estructurales para dicha articulación.</w:t>
      </w:r>
    </w:p>
    <w:p w:rsidR="00603196" w:rsidRPr="003B1656" w:rsidRDefault="00852B27" w:rsidP="003B1656">
      <w:pPr>
        <w:spacing w:line="360" w:lineRule="auto"/>
        <w:jc w:val="both"/>
        <w:rPr>
          <w:color w:val="000000" w:themeColor="text1"/>
          <w:lang w:val="es-ES"/>
        </w:rPr>
      </w:pPr>
      <w:r w:rsidRPr="003B1656">
        <w:rPr>
          <w:color w:val="000000" w:themeColor="text1"/>
          <w:lang w:val="es-ES"/>
        </w:rPr>
        <w:lastRenderedPageBreak/>
        <w:t>Luego en avance</w:t>
      </w:r>
      <w:r w:rsidR="00D26579" w:rsidRPr="003B1656">
        <w:rPr>
          <w:color w:val="000000" w:themeColor="text1"/>
          <w:lang w:val="es-ES"/>
        </w:rPr>
        <w:t>s posteriores se buscará analizar por un lado, cómo e</w:t>
      </w:r>
      <w:r w:rsidR="00356F56" w:rsidRPr="003B1656">
        <w:rPr>
          <w:color w:val="000000" w:themeColor="text1"/>
          <w:lang w:val="es-ES"/>
        </w:rPr>
        <w:t>x</w:t>
      </w:r>
      <w:r w:rsidR="00D26579" w:rsidRPr="003B1656">
        <w:rPr>
          <w:color w:val="000000" w:themeColor="text1"/>
          <w:lang w:val="es-ES"/>
        </w:rPr>
        <w:t xml:space="preserve">isten dinámicas heterogéneas </w:t>
      </w:r>
      <w:r w:rsidRPr="003B1656">
        <w:rPr>
          <w:color w:val="000000" w:themeColor="text1"/>
          <w:lang w:val="es-ES"/>
        </w:rPr>
        <w:t>en la difusión de esta tecnología</w:t>
      </w:r>
      <w:r w:rsidR="00D26579" w:rsidRPr="003B1656">
        <w:rPr>
          <w:color w:val="000000" w:themeColor="text1"/>
          <w:lang w:val="es-ES"/>
        </w:rPr>
        <w:t xml:space="preserve">, según cual es el tipo de actor y de instituciones que predominan en la difusión de la tecnología, y cuáles son las condiciones </w:t>
      </w:r>
      <w:r w:rsidRPr="003B1656">
        <w:rPr>
          <w:color w:val="000000" w:themeColor="text1"/>
          <w:lang w:val="es-ES"/>
        </w:rPr>
        <w:t xml:space="preserve">de proximidad tecnológica, organizacional, institucional y geográfica </w:t>
      </w:r>
      <w:r w:rsidR="00D26579" w:rsidRPr="003B1656">
        <w:rPr>
          <w:color w:val="000000" w:themeColor="text1"/>
          <w:lang w:val="es-ES"/>
        </w:rPr>
        <w:t xml:space="preserve">que </w:t>
      </w:r>
      <w:r w:rsidRPr="003B1656">
        <w:rPr>
          <w:color w:val="000000" w:themeColor="text1"/>
          <w:lang w:val="es-ES"/>
        </w:rPr>
        <w:t>pueden permitir</w:t>
      </w:r>
      <w:r w:rsidR="00D26579" w:rsidRPr="003B1656">
        <w:rPr>
          <w:color w:val="000000" w:themeColor="text1"/>
          <w:lang w:val="es-ES"/>
        </w:rPr>
        <w:t xml:space="preserve"> la emergencia de ciertos subsistemas locales, en los que coexistiendo empresas locales de </w:t>
      </w:r>
      <w:r w:rsidRPr="003B1656">
        <w:rPr>
          <w:color w:val="000000" w:themeColor="text1"/>
          <w:lang w:val="es-ES"/>
        </w:rPr>
        <w:t xml:space="preserve">maquinaria agrícola, agricultura de precisión y servicios basados en el conocimiento </w:t>
      </w:r>
      <w:r w:rsidR="00D26579" w:rsidRPr="003B1656">
        <w:rPr>
          <w:color w:val="000000" w:themeColor="text1"/>
          <w:lang w:val="es-ES"/>
        </w:rPr>
        <w:t xml:space="preserve">existe potencial de convergencia </w:t>
      </w:r>
      <w:r w:rsidRPr="003B1656">
        <w:rPr>
          <w:color w:val="000000" w:themeColor="text1"/>
          <w:lang w:val="es-ES"/>
        </w:rPr>
        <w:t xml:space="preserve">(al menos localizada) </w:t>
      </w:r>
      <w:r w:rsidR="00D26579" w:rsidRPr="003B1656">
        <w:rPr>
          <w:color w:val="000000" w:themeColor="text1"/>
          <w:lang w:val="es-ES"/>
        </w:rPr>
        <w:t>de dichas tecnologías.</w:t>
      </w:r>
      <w:r w:rsidR="009F366F">
        <w:rPr>
          <w:color w:val="000000" w:themeColor="text1"/>
          <w:lang w:val="es-ES"/>
        </w:rPr>
        <w:t xml:space="preserve"> </w:t>
      </w:r>
    </w:p>
    <w:p w:rsidR="00603196" w:rsidRPr="003B1656" w:rsidRDefault="00603196" w:rsidP="003B1656">
      <w:pPr>
        <w:spacing w:line="360" w:lineRule="auto"/>
        <w:rPr>
          <w:lang w:val="es-ES"/>
        </w:rPr>
      </w:pPr>
    </w:p>
    <w:p w:rsidR="004A69C6" w:rsidRPr="003B1656" w:rsidRDefault="00313921" w:rsidP="00D905B0">
      <w:pPr>
        <w:rPr>
          <w:b/>
          <w:lang w:val="es-ES"/>
        </w:rPr>
      </w:pPr>
      <w:r w:rsidRPr="003B1656">
        <w:rPr>
          <w:b/>
        </w:rPr>
        <w:t>Bibliografía</w:t>
      </w:r>
    </w:p>
    <w:p w:rsidR="001A24D4" w:rsidRPr="00BC64D9" w:rsidRDefault="001A24D4" w:rsidP="00D905B0">
      <w:pPr>
        <w:rPr>
          <w:rFonts w:eastAsia="Times New Roman"/>
          <w:sz w:val="22"/>
        </w:rPr>
      </w:pPr>
      <w:r w:rsidRPr="00BC64D9">
        <w:rPr>
          <w:rFonts w:eastAsia="Times New Roman"/>
          <w:sz w:val="22"/>
        </w:rPr>
        <w:t>Barrale, José María (2007). Reinas Mecánicas. Córdoba, Advocatus.</w:t>
      </w:r>
    </w:p>
    <w:p w:rsidR="001A24D4" w:rsidRPr="00BC64D9" w:rsidRDefault="001A24D4" w:rsidP="00BC64D9">
      <w:pPr>
        <w:rPr>
          <w:rFonts w:eastAsia="Times New Roman"/>
          <w:sz w:val="22"/>
        </w:rPr>
      </w:pPr>
      <w:r w:rsidRPr="00BC64D9">
        <w:rPr>
          <w:rFonts w:eastAsia="Times New Roman"/>
          <w:sz w:val="22"/>
        </w:rPr>
        <w:t>Barsky, O. y J. Gelman (2005). Historia del agro argentino. Buenos Aires, Mondadori.</w:t>
      </w:r>
    </w:p>
    <w:p w:rsidR="001A24D4" w:rsidRPr="00BC64D9" w:rsidRDefault="001A24D4" w:rsidP="00BC64D9">
      <w:pPr>
        <w:rPr>
          <w:rFonts w:eastAsia="Times New Roman"/>
          <w:sz w:val="22"/>
        </w:rPr>
      </w:pPr>
      <w:r w:rsidRPr="00BC64D9">
        <w:rPr>
          <w:rFonts w:eastAsia="Times New Roman"/>
          <w:sz w:val="22"/>
        </w:rPr>
        <w:t>Bil, D. (2009). La industria argentina de maquinaria agrícola (1870-1975): evolución y problemas de su desarrollo, Documentos Jóvenes Investigadores n° 16, Instituto de Investigaciones Gino Germani, Facultad de Ciencias Soiales, Universidad de Buenos Aires.</w:t>
      </w:r>
    </w:p>
    <w:p w:rsidR="001A24D4" w:rsidRPr="00BC64D9" w:rsidRDefault="001A24D4" w:rsidP="00BC64D9">
      <w:pPr>
        <w:rPr>
          <w:rFonts w:eastAsia="Times New Roman"/>
          <w:sz w:val="22"/>
        </w:rPr>
      </w:pPr>
      <w:r w:rsidRPr="00BC64D9">
        <w:rPr>
          <w:rFonts w:eastAsia="Times New Roman"/>
          <w:sz w:val="22"/>
        </w:rPr>
        <w:t>Bisang, R., (2004). Innovación y estructura productiva: la ampliación de la biotecnología en la producción agrícola argentina cap. 3 en</w:t>
      </w:r>
      <w:r w:rsidR="009F366F">
        <w:rPr>
          <w:rFonts w:eastAsia="Times New Roman"/>
          <w:sz w:val="22"/>
        </w:rPr>
        <w:t xml:space="preserve"> </w:t>
      </w:r>
      <w:r w:rsidRPr="00BC64D9">
        <w:rPr>
          <w:rFonts w:eastAsia="Times New Roman"/>
          <w:sz w:val="22"/>
        </w:rPr>
        <w:t>Bárcena, A. Katz, J. Morales, C. Schaper, M. Los transgénicos en América Latina y el Caribe: un debate abierto, Libros de la CEPAL nro. 78. 2004.</w:t>
      </w:r>
    </w:p>
    <w:p w:rsidR="001A24D4" w:rsidRPr="00BC64D9" w:rsidRDefault="001A24D4" w:rsidP="00BC64D9">
      <w:pPr>
        <w:rPr>
          <w:rFonts w:eastAsia="Times New Roman"/>
          <w:sz w:val="22"/>
        </w:rPr>
      </w:pPr>
      <w:r w:rsidRPr="00BC64D9">
        <w:rPr>
          <w:rFonts w:eastAsia="Times New Roman"/>
          <w:sz w:val="22"/>
        </w:rPr>
        <w:t>Bragachini M.; Méndez, A. y Vélez J.P. (2012) Argentina, un referente mundial en tecnología de Agricultura de Precisión, INTA Manf.</w:t>
      </w:r>
    </w:p>
    <w:p w:rsidR="001A24D4" w:rsidRPr="00BC64D9" w:rsidRDefault="001A24D4" w:rsidP="00BC64D9">
      <w:pPr>
        <w:rPr>
          <w:rFonts w:eastAsia="Times New Roman"/>
          <w:sz w:val="22"/>
        </w:rPr>
      </w:pPr>
      <w:r w:rsidRPr="00BC64D9">
        <w:rPr>
          <w:rFonts w:eastAsia="Times New Roman"/>
          <w:sz w:val="22"/>
          <w:lang w:val="es-AR"/>
        </w:rPr>
        <w:t xml:space="preserve">Bresnahan, T. F., &amp; Trajtenberg, M. (1995). </w:t>
      </w:r>
      <w:r w:rsidRPr="00BC64D9">
        <w:rPr>
          <w:rFonts w:eastAsia="Times New Roman"/>
          <w:sz w:val="22"/>
        </w:rPr>
        <w:t>General purpose technologies ‘Engines of growth’?. Journal of econometrics, 65(1), 83-108.</w:t>
      </w:r>
    </w:p>
    <w:p w:rsidR="001A24D4" w:rsidRPr="00BC64D9" w:rsidRDefault="001A24D4" w:rsidP="00BC64D9">
      <w:pPr>
        <w:rPr>
          <w:rFonts w:eastAsia="Times New Roman"/>
          <w:sz w:val="22"/>
        </w:rPr>
      </w:pPr>
      <w:r w:rsidRPr="00BC64D9">
        <w:rPr>
          <w:rFonts w:eastAsia="Times New Roman"/>
          <w:sz w:val="22"/>
        </w:rPr>
        <w:t>CEMA (2017) “Digital Farming: what does it really mean? And what is the vision of Europe’s farm machinery industry for Digital Farming?”CEMA</w:t>
      </w:r>
    </w:p>
    <w:p w:rsidR="001A24D4" w:rsidRPr="00BC64D9" w:rsidRDefault="001A24D4" w:rsidP="00BC64D9">
      <w:pPr>
        <w:rPr>
          <w:rFonts w:eastAsia="Times New Roman"/>
          <w:sz w:val="22"/>
          <w:lang w:val="es-AR"/>
        </w:rPr>
      </w:pPr>
      <w:r w:rsidRPr="00BC64D9">
        <w:rPr>
          <w:rFonts w:eastAsia="Times New Roman"/>
          <w:sz w:val="22"/>
          <w:lang w:val="es-AR"/>
        </w:rPr>
        <w:t>Chesnais F. (1994) “La mondialisation du capital” Editorial Syros.</w:t>
      </w:r>
    </w:p>
    <w:p w:rsidR="001A24D4" w:rsidRPr="00BC64D9" w:rsidRDefault="001A24D4" w:rsidP="00BC64D9">
      <w:pPr>
        <w:rPr>
          <w:rFonts w:eastAsia="Times New Roman"/>
          <w:sz w:val="22"/>
          <w:lang w:val="en-US"/>
        </w:rPr>
      </w:pPr>
      <w:r w:rsidRPr="00BC64D9">
        <w:rPr>
          <w:rFonts w:eastAsia="Times New Roman"/>
          <w:sz w:val="22"/>
          <w:lang w:val="en-US"/>
        </w:rPr>
        <w:t>Claas (2017). Annual Report.</w:t>
      </w:r>
    </w:p>
    <w:p w:rsidR="001A24D4" w:rsidRPr="00BC64D9" w:rsidRDefault="001A24D4" w:rsidP="00BC64D9">
      <w:pPr>
        <w:rPr>
          <w:rFonts w:eastAsia="Times New Roman"/>
          <w:sz w:val="22"/>
        </w:rPr>
      </w:pPr>
      <w:r w:rsidRPr="00BC64D9">
        <w:rPr>
          <w:rFonts w:eastAsia="Times New Roman"/>
          <w:sz w:val="22"/>
        </w:rPr>
        <w:t>Corsini, Andreas y Torsten S. (2015) “Crop Farming 2030: The Reinvention of the Sector” BCG.</w:t>
      </w:r>
    </w:p>
    <w:p w:rsidR="001A24D4" w:rsidRPr="00BC64D9" w:rsidRDefault="001A24D4" w:rsidP="00BC64D9">
      <w:pPr>
        <w:rPr>
          <w:rFonts w:eastAsia="Times New Roman"/>
          <w:sz w:val="22"/>
        </w:rPr>
      </w:pPr>
      <w:r w:rsidRPr="00BC64D9">
        <w:rPr>
          <w:rFonts w:eastAsia="Times New Roman"/>
          <w:sz w:val="22"/>
        </w:rPr>
        <w:t>Djenderedjian, J. (2011). Historia del capitalismo agrario pampeano. Buenos Aires, Teseo.</w:t>
      </w:r>
    </w:p>
    <w:p w:rsidR="001A24D4" w:rsidRPr="00BC64D9" w:rsidRDefault="001A24D4" w:rsidP="00BC64D9">
      <w:pPr>
        <w:rPr>
          <w:rFonts w:eastAsia="Times New Roman"/>
          <w:sz w:val="22"/>
        </w:rPr>
      </w:pPr>
      <w:r w:rsidRPr="00BC64D9">
        <w:rPr>
          <w:rFonts w:eastAsia="Times New Roman"/>
          <w:sz w:val="22"/>
        </w:rPr>
        <w:t>Frank, R. (2004). "El arado a vapor en la Argentina". Todo es Historia, n° 438.</w:t>
      </w:r>
    </w:p>
    <w:p w:rsidR="001A24D4" w:rsidRPr="00BC64D9" w:rsidRDefault="001A24D4" w:rsidP="00BC64D9">
      <w:pPr>
        <w:rPr>
          <w:rFonts w:eastAsia="Times New Roman"/>
          <w:sz w:val="22"/>
        </w:rPr>
      </w:pPr>
      <w:r w:rsidRPr="00BC64D9">
        <w:rPr>
          <w:rFonts w:eastAsia="Times New Roman"/>
          <w:sz w:val="22"/>
          <w:lang w:val="es-AR"/>
        </w:rPr>
        <w:t xml:space="preserve">Freeman, C. (1984). </w:t>
      </w:r>
      <w:r w:rsidRPr="00BC64D9">
        <w:rPr>
          <w:rFonts w:eastAsia="Times New Roman"/>
          <w:sz w:val="22"/>
        </w:rPr>
        <w:t>Prometheus unbound. Futures, 16(5), 494-507.</w:t>
      </w:r>
    </w:p>
    <w:p w:rsidR="001A24D4" w:rsidRPr="00BC64D9" w:rsidRDefault="001A24D4" w:rsidP="00BC64D9">
      <w:pPr>
        <w:rPr>
          <w:rFonts w:eastAsia="Times New Roman"/>
          <w:sz w:val="22"/>
        </w:rPr>
      </w:pPr>
      <w:r w:rsidRPr="00BC64D9">
        <w:rPr>
          <w:rFonts w:eastAsia="Times New Roman"/>
          <w:sz w:val="22"/>
          <w:lang w:val="en-US"/>
        </w:rPr>
        <w:t xml:space="preserve">Giberti, H. (1951). </w:t>
      </w:r>
      <w:r w:rsidRPr="00BC64D9">
        <w:rPr>
          <w:rFonts w:eastAsia="Times New Roman"/>
          <w:sz w:val="22"/>
        </w:rPr>
        <w:t>Máquinas agrícolas necesarias, condiciones técnicas que deben reunir y probable demanda. Comisión de Mecanización Agrícola. Buenos Aires, Archivo del Ingeniero Horacio Giberti, mimeo.</w:t>
      </w:r>
    </w:p>
    <w:p w:rsidR="001A24D4" w:rsidRPr="00BC64D9" w:rsidRDefault="001A24D4" w:rsidP="00BC64D9">
      <w:pPr>
        <w:rPr>
          <w:rFonts w:eastAsia="Times New Roman"/>
          <w:sz w:val="22"/>
        </w:rPr>
      </w:pPr>
      <w:r w:rsidRPr="00BC64D9">
        <w:rPr>
          <w:rFonts w:eastAsia="Times New Roman"/>
          <w:sz w:val="22"/>
        </w:rPr>
        <w:t>Gille, B. (1977). Histoire des techniques. Annuaires de l'Écolepratique des hautes études, 109(1), 723-786.</w:t>
      </w:r>
    </w:p>
    <w:p w:rsidR="001A24D4" w:rsidRPr="00BC64D9" w:rsidRDefault="001A24D4" w:rsidP="00BC64D9">
      <w:pPr>
        <w:rPr>
          <w:rFonts w:eastAsia="Times New Roman"/>
          <w:sz w:val="22"/>
        </w:rPr>
      </w:pPr>
      <w:r w:rsidRPr="00BC64D9">
        <w:rPr>
          <w:rFonts w:eastAsia="Times New Roman"/>
          <w:sz w:val="22"/>
        </w:rPr>
        <w:t>Gordon, R. J. (2000). Interpreting the “one big wave” in US long-term productivity growth. In Productivity, technology and economic growth (pp. 19-65). Springer, Boston, MA</w:t>
      </w:r>
    </w:p>
    <w:p w:rsidR="001A24D4" w:rsidRPr="00BC64D9" w:rsidRDefault="001A24D4" w:rsidP="00BC64D9">
      <w:pPr>
        <w:rPr>
          <w:rFonts w:eastAsia="Times New Roman"/>
          <w:sz w:val="22"/>
        </w:rPr>
      </w:pPr>
      <w:r w:rsidRPr="00BC64D9">
        <w:rPr>
          <w:rFonts w:eastAsia="Times New Roman"/>
          <w:sz w:val="22"/>
        </w:rPr>
        <w:t>Grupo, E. T. C. (2015). Campo Jurásico: Syngenta, DuPont, Monsanto: la guerra de los dinosaurios del agronegocio. Grupo ETC.</w:t>
      </w:r>
    </w:p>
    <w:p w:rsidR="001A24D4" w:rsidRPr="00BC64D9" w:rsidRDefault="001A24D4" w:rsidP="00BC64D9">
      <w:pPr>
        <w:rPr>
          <w:rFonts w:eastAsia="Times New Roman"/>
          <w:sz w:val="22"/>
          <w:lang w:val="en-US"/>
        </w:rPr>
      </w:pPr>
      <w:r w:rsidRPr="00BC64D9">
        <w:rPr>
          <w:rFonts w:eastAsia="Times New Roman"/>
          <w:sz w:val="22"/>
        </w:rPr>
        <w:t xml:space="preserve">Gutman, G., Bisang, R., Lavarello, P., Campi, M., &amp; Robert, V. (2006). Les mutationsagricoles et agroalimentairesargentines des années 90: Libéralisation, changementtechnologique, firmes multinationales. </w:t>
      </w:r>
      <w:r w:rsidRPr="00BC64D9">
        <w:rPr>
          <w:rFonts w:eastAsia="Times New Roman"/>
          <w:sz w:val="22"/>
          <w:lang w:val="en-US"/>
        </w:rPr>
        <w:t>Région et développement, 23, 215-246.</w:t>
      </w:r>
    </w:p>
    <w:p w:rsidR="001A24D4" w:rsidRPr="00BC64D9" w:rsidRDefault="001A24D4" w:rsidP="00BC64D9">
      <w:pPr>
        <w:rPr>
          <w:rFonts w:eastAsia="Times New Roman"/>
          <w:sz w:val="22"/>
        </w:rPr>
      </w:pPr>
      <w:r w:rsidRPr="00BC64D9">
        <w:rPr>
          <w:rFonts w:eastAsia="Times New Roman"/>
          <w:sz w:val="22"/>
          <w:lang w:val="en-US"/>
        </w:rPr>
        <w:t xml:space="preserve">Huici, Néstor (1988). </w:t>
      </w:r>
      <w:r w:rsidRPr="00BC64D9">
        <w:rPr>
          <w:rFonts w:eastAsia="Times New Roman"/>
          <w:sz w:val="22"/>
        </w:rPr>
        <w:t xml:space="preserve">“La industria de maquinaria agrícola en la Argentina”, en AAVV: La agricultura pampeana: transformaciones productivas y sociales. Buenos Aires, CISEA. </w:t>
      </w:r>
    </w:p>
    <w:p w:rsidR="001A24D4" w:rsidRPr="00BC64D9" w:rsidRDefault="001A24D4" w:rsidP="00BC64D9">
      <w:pPr>
        <w:rPr>
          <w:rFonts w:eastAsia="Times New Roman"/>
          <w:sz w:val="22"/>
        </w:rPr>
      </w:pPr>
      <w:r w:rsidRPr="00BC64D9">
        <w:rPr>
          <w:rFonts w:eastAsia="Times New Roman"/>
          <w:sz w:val="22"/>
        </w:rPr>
        <w:t>Hybel, D. (2006). Cambios en el complejo productivo de maquinarias agrícolas, 1992-2004. Buenos Aires, INTI.</w:t>
      </w:r>
    </w:p>
    <w:p w:rsidR="001A24D4" w:rsidRPr="00BC64D9" w:rsidRDefault="001A24D4" w:rsidP="00BC64D9">
      <w:pPr>
        <w:rPr>
          <w:rFonts w:eastAsia="Times New Roman"/>
          <w:sz w:val="22"/>
        </w:rPr>
      </w:pPr>
      <w:r w:rsidRPr="00BC64D9">
        <w:rPr>
          <w:rFonts w:eastAsia="Times New Roman"/>
          <w:sz w:val="22"/>
        </w:rPr>
        <w:t>Lachman J., Cappelletti L., López A. (2018) Nuevas oportunidades y desafíos productivos en argentina: resultados de la primera encuesta nacional a empresas de agricultura y ganadería de precisión, 17 Curso Internacional de Agricultura y Ganadería de Precisión, 19 y 20 de Septiembre, INTA Manf.</w:t>
      </w:r>
    </w:p>
    <w:p w:rsidR="001A24D4" w:rsidRPr="00BC64D9" w:rsidRDefault="001A24D4" w:rsidP="00BC64D9">
      <w:pPr>
        <w:rPr>
          <w:rFonts w:eastAsia="Times New Roman"/>
          <w:sz w:val="22"/>
        </w:rPr>
      </w:pPr>
      <w:r w:rsidRPr="00BC64D9">
        <w:rPr>
          <w:rFonts w:eastAsia="Times New Roman"/>
          <w:sz w:val="22"/>
        </w:rPr>
        <w:t>Langard, F. (2008). "La producción de maquinaria agrícola en Argentina desde comienzos de siglo a nuestros días", en V Jornadas de Investigación y Debate: trabajo, propiedad y tecnología en la Argentina rural del siglo XX, Universidad Nacional de Quilmes, Bernal.</w:t>
      </w:r>
    </w:p>
    <w:p w:rsidR="001A24D4" w:rsidRPr="00BC64D9" w:rsidRDefault="001A24D4" w:rsidP="00BC64D9">
      <w:pPr>
        <w:rPr>
          <w:rFonts w:eastAsia="Times New Roman"/>
          <w:sz w:val="22"/>
        </w:rPr>
      </w:pPr>
      <w:r w:rsidRPr="00BC64D9">
        <w:rPr>
          <w:rFonts w:eastAsia="Times New Roman"/>
          <w:sz w:val="22"/>
        </w:rPr>
        <w:t>Langard, F. (2014). “Trayectoria de la industria de maquinaria agrícola argentina entre 1976 y 2002”, en H-Industria, Año 8, Nro 15.</w:t>
      </w:r>
    </w:p>
    <w:p w:rsidR="001A24D4" w:rsidRPr="00BC64D9" w:rsidRDefault="001A24D4" w:rsidP="00BC64D9">
      <w:pPr>
        <w:rPr>
          <w:rFonts w:eastAsia="Times New Roman"/>
          <w:sz w:val="22"/>
        </w:rPr>
      </w:pPr>
      <w:r w:rsidRPr="00BC64D9">
        <w:rPr>
          <w:rFonts w:eastAsia="Times New Roman"/>
          <w:sz w:val="22"/>
        </w:rPr>
        <w:lastRenderedPageBreak/>
        <w:t>Lavarello, P. J., &amp;Goldstein, E. (2011). Dinámicas heterogéneas en la industria de maquinaria agrícola argentina. Problemas del desarrollo, 42(166), 85-109.</w:t>
      </w:r>
    </w:p>
    <w:p w:rsidR="001A24D4" w:rsidRPr="00BC64D9" w:rsidRDefault="001A24D4" w:rsidP="00BC64D9">
      <w:pPr>
        <w:rPr>
          <w:rFonts w:eastAsia="Times New Roman"/>
          <w:sz w:val="22"/>
        </w:rPr>
      </w:pPr>
      <w:r w:rsidRPr="00BC64D9">
        <w:rPr>
          <w:rFonts w:eastAsia="Times New Roman"/>
          <w:sz w:val="22"/>
        </w:rPr>
        <w:t xml:space="preserve">Lewinger, Arturo; Straffela, Miguel e Ianuzzi, Patricia: “Guerra cambiaria. ¿Falla de coordinación o forma concreta de una crisis de sobreproducción general capitalista?”, en Razón y Revolución, n° 23, 2012.pp 7-27. </w:t>
      </w:r>
    </w:p>
    <w:p w:rsidR="001A24D4" w:rsidRPr="00BC64D9" w:rsidRDefault="001A24D4" w:rsidP="00BC64D9">
      <w:pPr>
        <w:rPr>
          <w:rFonts w:eastAsia="Times New Roman"/>
          <w:sz w:val="22"/>
          <w:lang w:val="en-US"/>
        </w:rPr>
      </w:pPr>
      <w:r w:rsidRPr="00BC64D9">
        <w:rPr>
          <w:rFonts w:eastAsia="Times New Roman"/>
          <w:sz w:val="22"/>
        </w:rPr>
        <w:t xml:space="preserve">Llosa, J. (1963). Necesidades de maquinaria agrícola para un plan de expansión de cultivos. </w:t>
      </w:r>
      <w:r w:rsidRPr="00BC64D9">
        <w:rPr>
          <w:rFonts w:eastAsia="Times New Roman"/>
          <w:sz w:val="22"/>
          <w:lang w:val="en-US"/>
        </w:rPr>
        <w:t>Buenos Aires, CONADE.</w:t>
      </w:r>
    </w:p>
    <w:p w:rsidR="001A24D4" w:rsidRPr="00BC64D9" w:rsidRDefault="001A24D4" w:rsidP="00BC64D9">
      <w:pPr>
        <w:rPr>
          <w:rFonts w:eastAsia="Times New Roman"/>
          <w:sz w:val="22"/>
        </w:rPr>
      </w:pPr>
      <w:r w:rsidRPr="00BC64D9">
        <w:rPr>
          <w:rFonts w:eastAsia="Times New Roman"/>
          <w:sz w:val="22"/>
        </w:rPr>
        <w:t>Manyika, J., Chui, M., Bughin, J., Dobbs, R., Bisson, P., &amp; Marrs, A. (2013). Disruptive technologies: Advances that will transform life, business, and the global economy (Vol. 180). San Francisco, CA: McKinsey Global Institute.</w:t>
      </w:r>
    </w:p>
    <w:p w:rsidR="001A24D4" w:rsidRPr="00BC64D9" w:rsidRDefault="001A24D4" w:rsidP="00BC64D9">
      <w:pPr>
        <w:rPr>
          <w:rFonts w:eastAsia="Times New Roman"/>
          <w:sz w:val="22"/>
        </w:rPr>
      </w:pPr>
      <w:r w:rsidRPr="00BC64D9">
        <w:rPr>
          <w:rFonts w:eastAsia="Times New Roman"/>
          <w:sz w:val="22"/>
        </w:rPr>
        <w:t>Martino, A. y M. Delgado (1977). "La maquinaria en la agricultura. Santa Fe (1880-1890)", en IV Congreso Nacional y Regional de Historia Argentina, Mendoza.</w:t>
      </w:r>
    </w:p>
    <w:p w:rsidR="001A24D4" w:rsidRPr="00BC64D9" w:rsidRDefault="001A24D4" w:rsidP="00BC64D9">
      <w:pPr>
        <w:rPr>
          <w:rFonts w:eastAsia="Times New Roman"/>
          <w:sz w:val="22"/>
          <w:lang w:val="es-AR"/>
        </w:rPr>
      </w:pPr>
      <w:r w:rsidRPr="00BC64D9">
        <w:rPr>
          <w:rFonts w:eastAsia="Times New Roman"/>
          <w:sz w:val="22"/>
        </w:rPr>
        <w:t xml:space="preserve">Mehta A. ,Gross A. "The global market for agricultural machinery and equipment" Business Economics. </w:t>
      </w:r>
      <w:r w:rsidRPr="00BC64D9">
        <w:rPr>
          <w:rFonts w:eastAsia="Times New Roman"/>
          <w:sz w:val="22"/>
          <w:lang w:val="es-AR"/>
        </w:rPr>
        <w:t>Monday, October 1 2007</w:t>
      </w:r>
    </w:p>
    <w:p w:rsidR="001A24D4" w:rsidRPr="00BC64D9" w:rsidRDefault="001A24D4" w:rsidP="00BC64D9">
      <w:pPr>
        <w:rPr>
          <w:rFonts w:eastAsia="Times New Roman"/>
          <w:sz w:val="22"/>
        </w:rPr>
      </w:pPr>
      <w:r w:rsidRPr="00BC64D9">
        <w:rPr>
          <w:rFonts w:eastAsia="Times New Roman"/>
          <w:sz w:val="22"/>
        </w:rPr>
        <w:t>Melchiori R, Albarenque S., Kemerer A. (2018) Evolución y cambios en la adopción de la agricultura de precisión en argentina, 17 Curso Internacional de Agricultura y Ganadería de Precisión, 19 y 20 de Septiembre, INTA Manf.</w:t>
      </w:r>
      <w:r w:rsidR="009F366F">
        <w:rPr>
          <w:rFonts w:eastAsia="Times New Roman"/>
          <w:sz w:val="22"/>
        </w:rPr>
        <w:t xml:space="preserve"> </w:t>
      </w:r>
    </w:p>
    <w:p w:rsidR="001A24D4" w:rsidRPr="00BC64D9" w:rsidRDefault="001A24D4" w:rsidP="00BC64D9">
      <w:pPr>
        <w:rPr>
          <w:rFonts w:eastAsia="Times New Roman"/>
          <w:sz w:val="22"/>
        </w:rPr>
      </w:pPr>
      <w:r w:rsidRPr="00BC64D9">
        <w:rPr>
          <w:rFonts w:eastAsia="Times New Roman"/>
          <w:sz w:val="22"/>
        </w:rPr>
        <w:t xml:space="preserve">Méndez, A. Scaramuzza, F. Vélez, J.P y Villarroel D. (2012) “Argentina en adopción y desarrollo de tecnología de agricultura de precisión un referente mundial”, 17 Curso Internacional de Agricultura y Ganadería de Precisión, 19 y 20 de Septiembre, INTA Manf. </w:t>
      </w:r>
    </w:p>
    <w:p w:rsidR="001A24D4" w:rsidRPr="00BC64D9" w:rsidRDefault="001A24D4" w:rsidP="00BC64D9">
      <w:pPr>
        <w:rPr>
          <w:rFonts w:eastAsia="Times New Roman"/>
          <w:sz w:val="22"/>
        </w:rPr>
      </w:pPr>
      <w:r w:rsidRPr="00BC64D9">
        <w:rPr>
          <w:rFonts w:eastAsia="Times New Roman"/>
          <w:sz w:val="22"/>
        </w:rPr>
        <w:t>Obstchako E. (1988). La economía agraria argentina. Consideraciones sobre su evolución y situación actual. XX Congreso Internacional de Economistas Agrarios. Asociación Argentina de Economistas Agrarios. Buenos Aires.</w:t>
      </w:r>
    </w:p>
    <w:p w:rsidR="001A24D4" w:rsidRPr="00BC64D9" w:rsidRDefault="001A24D4" w:rsidP="00BC64D9">
      <w:pPr>
        <w:rPr>
          <w:rFonts w:eastAsia="Times New Roman"/>
          <w:sz w:val="22"/>
          <w:lang w:val="en-US"/>
        </w:rPr>
      </w:pPr>
      <w:r w:rsidRPr="00BC64D9">
        <w:rPr>
          <w:rFonts w:eastAsia="Times New Roman"/>
          <w:sz w:val="22"/>
        </w:rPr>
        <w:t xml:space="preserve">Pereira H. (1988). La economía agraria argentina. Consideraciones sobre su evolución y situación actual. XX Congreso Internacional de Economistas Agrarios. Asociación Argentina de Economistas Agrarios. </w:t>
      </w:r>
      <w:r w:rsidRPr="00BC64D9">
        <w:rPr>
          <w:rFonts w:eastAsia="Times New Roman"/>
          <w:sz w:val="22"/>
          <w:lang w:val="en-US"/>
        </w:rPr>
        <w:t>Buenos Aires.</w:t>
      </w:r>
    </w:p>
    <w:p w:rsidR="001A24D4" w:rsidRPr="00BC64D9" w:rsidRDefault="001A24D4" w:rsidP="00BC64D9">
      <w:pPr>
        <w:rPr>
          <w:rFonts w:eastAsia="Times New Roman"/>
          <w:sz w:val="22"/>
          <w:lang w:val="es-AR"/>
        </w:rPr>
      </w:pPr>
      <w:r w:rsidRPr="00BC64D9">
        <w:rPr>
          <w:rFonts w:eastAsia="Times New Roman"/>
          <w:sz w:val="22"/>
        </w:rPr>
        <w:t xml:space="preserve">Perez, C., &amp; Freeman, C. (1988). Structural crises of adjustment, business cycles and investment behaviour. </w:t>
      </w:r>
      <w:r w:rsidRPr="00BC64D9">
        <w:rPr>
          <w:rFonts w:eastAsia="Times New Roman"/>
          <w:sz w:val="22"/>
          <w:lang w:val="es-AR"/>
        </w:rPr>
        <w:t>Technical change and economic theory. London: Pinter, 38-66.</w:t>
      </w:r>
    </w:p>
    <w:p w:rsidR="001A24D4" w:rsidRPr="00BC64D9" w:rsidRDefault="001A24D4" w:rsidP="00BC64D9">
      <w:pPr>
        <w:rPr>
          <w:rFonts w:eastAsia="Times New Roman"/>
          <w:sz w:val="22"/>
        </w:rPr>
      </w:pPr>
      <w:r w:rsidRPr="00BC64D9">
        <w:rPr>
          <w:rFonts w:eastAsia="Times New Roman"/>
          <w:sz w:val="22"/>
        </w:rPr>
        <w:t xml:space="preserve">Raccanello, Mario (2011). “Una historia del capitalismo local: auge y crisis de la firma de tractores Zanello (1951-2002)”, en Industrializar Argentina, n° 14. </w:t>
      </w:r>
    </w:p>
    <w:p w:rsidR="001A24D4" w:rsidRPr="00BC64D9" w:rsidRDefault="001A24D4" w:rsidP="00BC64D9">
      <w:pPr>
        <w:rPr>
          <w:rFonts w:eastAsia="Times New Roman"/>
          <w:sz w:val="22"/>
        </w:rPr>
      </w:pPr>
      <w:r w:rsidRPr="00BC64D9">
        <w:rPr>
          <w:rFonts w:eastAsia="Times New Roman"/>
          <w:sz w:val="22"/>
        </w:rPr>
        <w:t>Reca. L. y Parellada, (2001). El sector agropecuario argentino. Aspectos de su evolución, razones de su crecimiento reciente y posibilidades futuras. Editorial Fac. de Agronomía de la UBA. Buenos Aires.</w:t>
      </w:r>
    </w:p>
    <w:p w:rsidR="001A24D4" w:rsidRPr="00BC64D9" w:rsidRDefault="001A24D4" w:rsidP="00BC64D9">
      <w:pPr>
        <w:rPr>
          <w:rFonts w:eastAsia="Times New Roman"/>
          <w:sz w:val="22"/>
          <w:lang w:val="en-US"/>
        </w:rPr>
      </w:pPr>
      <w:r w:rsidRPr="00BC64D9">
        <w:rPr>
          <w:rFonts w:eastAsia="Times New Roman"/>
          <w:sz w:val="22"/>
        </w:rPr>
        <w:t xml:space="preserve">Romero Wimer F. (2010). Los fierros vienen marchando ¿de dónde vienen? maquinaria agrícola y capital extranjero en el agro pampeano, 1976-2008. En: Documentos del CIEA No5, Facultad de Ciencias Económicas de la Universidad de Buenos Aires. </w:t>
      </w:r>
      <w:r w:rsidRPr="00BC64D9">
        <w:rPr>
          <w:rFonts w:eastAsia="Times New Roman"/>
          <w:sz w:val="22"/>
          <w:lang w:val="en-US"/>
        </w:rPr>
        <w:t>Buenos Aires.</w:t>
      </w:r>
    </w:p>
    <w:p w:rsidR="001A24D4" w:rsidRPr="00BC64D9" w:rsidRDefault="001A24D4" w:rsidP="00BC64D9">
      <w:pPr>
        <w:rPr>
          <w:rFonts w:eastAsia="Times New Roman"/>
          <w:sz w:val="22"/>
        </w:rPr>
      </w:pPr>
      <w:r w:rsidRPr="00BC64D9">
        <w:rPr>
          <w:rFonts w:eastAsia="Times New Roman"/>
          <w:sz w:val="22"/>
        </w:rPr>
        <w:t>Sztulwark, S. (2012). Renta de innovación en cadenas globales de producción: el caso de las semillas transgénicas en Argentina. Universidad Nacional de General Sarmiento.</w:t>
      </w:r>
    </w:p>
    <w:p w:rsidR="001A24D4" w:rsidRPr="00BC64D9" w:rsidRDefault="001A24D4" w:rsidP="00BC64D9">
      <w:pPr>
        <w:rPr>
          <w:rFonts w:eastAsia="Times New Roman"/>
          <w:sz w:val="22"/>
        </w:rPr>
      </w:pPr>
      <w:r w:rsidRPr="00BC64D9">
        <w:rPr>
          <w:rFonts w:eastAsia="Times New Roman"/>
          <w:sz w:val="22"/>
        </w:rPr>
        <w:t>Villarroel D., Scaramuzza F., Vélez J.P. (2018) El Progreso en la tecnificación del Agro, 17 Curso Internacional de Agricultura y Ganadería de Precisión, 19 y 20 de Septiembre, INTA Manf.</w:t>
      </w:r>
      <w:r w:rsidR="009F366F">
        <w:rPr>
          <w:rFonts w:eastAsia="Times New Roman"/>
          <w:sz w:val="22"/>
        </w:rPr>
        <w:t xml:space="preserve"> </w:t>
      </w:r>
    </w:p>
    <w:p w:rsidR="005A1891" w:rsidRPr="00BC64D9" w:rsidRDefault="001A24D4" w:rsidP="00BC64D9">
      <w:pPr>
        <w:rPr>
          <w:sz w:val="22"/>
          <w:lang w:val="es-ES"/>
        </w:rPr>
      </w:pPr>
      <w:r w:rsidRPr="00BC64D9">
        <w:rPr>
          <w:rFonts w:eastAsia="Times New Roman"/>
          <w:sz w:val="22"/>
        </w:rPr>
        <w:t>Wolfert, S., Ge, L., Verdouw, C., &amp;Bogaardt, M. J. (2017). Big data in smart farming–a review. AgriculturalSystems, 153, 69-80.</w:t>
      </w:r>
    </w:p>
    <w:p w:rsidR="005A1891" w:rsidRPr="00BC64D9" w:rsidRDefault="005A1891" w:rsidP="00BC64D9">
      <w:pPr>
        <w:rPr>
          <w:sz w:val="22"/>
          <w:lang w:val="es-ES"/>
        </w:rPr>
      </w:pPr>
    </w:p>
    <w:sectPr w:rsidR="005A1891" w:rsidRPr="00BC64D9" w:rsidSect="00D905B0">
      <w:pgSz w:w="11900" w:h="16840"/>
      <w:pgMar w:top="1134" w:right="1191" w:bottom="1134" w:left="119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449" w:rsidRDefault="003E7449" w:rsidP="00FD7876">
      <w:r>
        <w:separator/>
      </w:r>
    </w:p>
  </w:endnote>
  <w:endnote w:type="continuationSeparator" w:id="0">
    <w:p w:rsidR="003E7449" w:rsidRDefault="003E7449" w:rsidP="00FD7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449" w:rsidRDefault="003E7449" w:rsidP="00FD7876">
      <w:r>
        <w:separator/>
      </w:r>
    </w:p>
  </w:footnote>
  <w:footnote w:type="continuationSeparator" w:id="0">
    <w:p w:rsidR="003E7449" w:rsidRDefault="003E7449" w:rsidP="00FD7876">
      <w:r>
        <w:continuationSeparator/>
      </w:r>
    </w:p>
  </w:footnote>
  <w:footnote w:id="1">
    <w:p w:rsidR="00525B8F" w:rsidRPr="003E5A16" w:rsidRDefault="00525B8F" w:rsidP="00525B8F">
      <w:pPr>
        <w:pStyle w:val="Textonotapie"/>
        <w:jc w:val="both"/>
        <w:rPr>
          <w:sz w:val="20"/>
          <w:szCs w:val="20"/>
        </w:rPr>
      </w:pPr>
      <w:r w:rsidRPr="003E5A16">
        <w:rPr>
          <w:rStyle w:val="Refdenotaalpie"/>
          <w:sz w:val="20"/>
          <w:szCs w:val="20"/>
        </w:rPr>
        <w:footnoteRef/>
      </w:r>
      <w:r w:rsidRPr="003E5A16">
        <w:rPr>
          <w:sz w:val="20"/>
          <w:szCs w:val="20"/>
        </w:rPr>
        <w:t>Este documento refleja el primer avance preliminar del análisis de diagnóstico de la i</w:t>
      </w:r>
      <w:r w:rsidR="00A40839">
        <w:rPr>
          <w:sz w:val="20"/>
          <w:szCs w:val="20"/>
        </w:rPr>
        <w:t>ndustria de maquinaria agrícola</w:t>
      </w:r>
      <w:r w:rsidRPr="003E5A16">
        <w:rPr>
          <w:sz w:val="20"/>
          <w:szCs w:val="20"/>
        </w:rPr>
        <w:t xml:space="preserve">. </w:t>
      </w:r>
      <w:r w:rsidR="00A40839">
        <w:rPr>
          <w:sz w:val="20"/>
          <w:szCs w:val="20"/>
        </w:rPr>
        <w:t>Además de los autores, e</w:t>
      </w:r>
      <w:r w:rsidRPr="003E5A16">
        <w:rPr>
          <w:sz w:val="20"/>
          <w:szCs w:val="20"/>
        </w:rPr>
        <w:t xml:space="preserve">l </w:t>
      </w:r>
      <w:r w:rsidR="00A40839">
        <w:rPr>
          <w:sz w:val="20"/>
          <w:szCs w:val="20"/>
        </w:rPr>
        <w:t>documento r</w:t>
      </w:r>
      <w:r w:rsidRPr="003E5A16">
        <w:rPr>
          <w:sz w:val="20"/>
          <w:szCs w:val="20"/>
        </w:rPr>
        <w:t>ecoge las discusiones con Luciana Guido, Gonzalo Sans Cervino, Jazmín Castaño y Mariel de Vita desarrolladas en el marco del PUE-CEUR.</w:t>
      </w:r>
      <w:r w:rsidR="009F366F">
        <w:rPr>
          <w:sz w:val="20"/>
          <w:szCs w:val="20"/>
        </w:rPr>
        <w:t xml:space="preserve"> </w:t>
      </w:r>
      <w:r w:rsidRPr="003E5A16">
        <w:rPr>
          <w:sz w:val="20"/>
          <w:szCs w:val="20"/>
        </w:rPr>
        <w:t xml:space="preserve"> </w:t>
      </w:r>
    </w:p>
  </w:footnote>
  <w:footnote w:id="2">
    <w:p w:rsidR="00FB6573" w:rsidRPr="003E5A16" w:rsidRDefault="00FB6573" w:rsidP="00FB6573">
      <w:pPr>
        <w:pStyle w:val="Textonotapie"/>
        <w:jc w:val="both"/>
        <w:rPr>
          <w:sz w:val="20"/>
          <w:szCs w:val="20"/>
        </w:rPr>
      </w:pPr>
      <w:r w:rsidRPr="003E5A16">
        <w:rPr>
          <w:rStyle w:val="Refdenotaalpie"/>
          <w:sz w:val="20"/>
          <w:szCs w:val="20"/>
        </w:rPr>
        <w:footnoteRef/>
      </w:r>
      <w:r w:rsidRPr="003E5A16">
        <w:rPr>
          <w:sz w:val="20"/>
          <w:szCs w:val="20"/>
          <w:lang w:val="es-AR"/>
        </w:rPr>
        <w:t>La renta de innovación es un concepto diferencial, que alude al ingreso adicional (o reducción de costo) que obtienen los adoptantes de una tecnologíafrente a quienes decidieron no adoptarla. El aporte fundamental sobre el concepto de renta económica</w:t>
      </w:r>
      <w:r w:rsidR="009F366F">
        <w:rPr>
          <w:sz w:val="20"/>
          <w:szCs w:val="20"/>
          <w:lang w:val="es-AR"/>
        </w:rPr>
        <w:t xml:space="preserve"> </w:t>
      </w:r>
      <w:r w:rsidRPr="003E5A16">
        <w:rPr>
          <w:sz w:val="20"/>
          <w:szCs w:val="20"/>
          <w:lang w:val="es-AR"/>
        </w:rPr>
        <w:t>deriva de David Ricardo (1959), quien planteó el carácter diferencial de la renta de la tierra, a partir de la heterogeneidad y no reproductibilidad de ese medio de producción natural. El planteo de Ricardo se orientaba a explicar cómo a medida que se desplaza la frontera agrícola y es necesario poner en funcionamiento tierras de menor calidad, los poseedores de las tierras más fértiles (o mejor ubicadas) recibirían una retribución diferencial por el mayor rendimiento que en ellas se obtiene. Por su parte, Marx (1999) retoma el aporte fundamental de Ricardo, pero enfatiza el carácter “intensivo” de la renta que surge del aumento de los rendimientos agrícolas como resultado de inversiones adicionales. Es lo que Marx llama renta diferencial de tipo II</w:t>
      </w:r>
      <w:r w:rsidRPr="003E5A16">
        <w:rPr>
          <w:sz w:val="20"/>
          <w:szCs w:val="20"/>
        </w:rPr>
        <w:t xml:space="preserve">, que implica una fuente de renta derivada del aumento de la intensidad del capital en la agricultura. De este modo, si desde una perspectiva clásica la renta tiene que ver con la monopolización de un recurso natural de rendimiento diferencial y de limitada reproductibilidad, en un sentido </w:t>
      </w:r>
      <w:r w:rsidRPr="003E5A16">
        <w:rPr>
          <w:sz w:val="20"/>
          <w:szCs w:val="20"/>
          <w:lang w:val="es-AR"/>
        </w:rPr>
        <w:t>schumpeteriano, en cambio, ésta se asienta directamente sobre la innovación y la atención recae sobre el desarrollo de capacidades tecno-productivas como base de diferenciación respecto a los competidores y sobre la creación de barreras a la entrada que limiten, aunque sea parcialmente, la libre difusión del conocimiento. En esta perspectiva, la apropiación privada de la renta depende del grado en que el propietario de la innovación pueda ejercer un control económico de la difusión del conocimiento, esto es, en la medida en que tenga la capacidad práctica de evitar que terceros hagan uso gratuito de la innovación (Sztulwark, 2012:25-44).</w:t>
      </w:r>
    </w:p>
  </w:footnote>
  <w:footnote w:id="3">
    <w:p w:rsidR="00A7580B" w:rsidRPr="003E5A16" w:rsidRDefault="00A7580B" w:rsidP="00A7580B">
      <w:pPr>
        <w:jc w:val="both"/>
        <w:rPr>
          <w:sz w:val="20"/>
          <w:szCs w:val="20"/>
          <w:lang w:val="es-ES"/>
        </w:rPr>
      </w:pPr>
      <w:r w:rsidRPr="003E5A16">
        <w:rPr>
          <w:rStyle w:val="Refdenotaalpie"/>
          <w:sz w:val="20"/>
          <w:szCs w:val="20"/>
        </w:rPr>
        <w:footnoteRef/>
      </w:r>
      <w:r w:rsidRPr="003E5A16">
        <w:rPr>
          <w:sz w:val="20"/>
          <w:szCs w:val="20"/>
        </w:rPr>
        <w:t xml:space="preserve">Más información sobre este período puede verse en </w:t>
      </w:r>
      <w:r w:rsidRPr="003E5A16">
        <w:rPr>
          <w:sz w:val="20"/>
          <w:szCs w:val="20"/>
          <w:lang w:val="es-ES"/>
        </w:rPr>
        <w:t>Martino y Delgado (1977), Frank (2004), Barsky y Gelman (2005), Hybel (2006), Langard (2008), Bil (2009)</w:t>
      </w:r>
      <w:r w:rsidR="004313F7" w:rsidRPr="003E5A16">
        <w:rPr>
          <w:sz w:val="20"/>
          <w:szCs w:val="20"/>
          <w:lang w:val="es-ES"/>
        </w:rPr>
        <w:t xml:space="preserve">, </w:t>
      </w:r>
      <w:r w:rsidRPr="003E5A16">
        <w:rPr>
          <w:sz w:val="20"/>
          <w:szCs w:val="20"/>
          <w:lang w:val="es-ES"/>
        </w:rPr>
        <w:t>Dje</w:t>
      </w:r>
      <w:r w:rsidR="004313F7" w:rsidRPr="003E5A16">
        <w:rPr>
          <w:sz w:val="20"/>
          <w:szCs w:val="20"/>
          <w:lang w:val="es-ES"/>
        </w:rPr>
        <w:t>nj</w:t>
      </w:r>
      <w:r w:rsidRPr="003E5A16">
        <w:rPr>
          <w:sz w:val="20"/>
          <w:szCs w:val="20"/>
          <w:lang w:val="es-ES"/>
        </w:rPr>
        <w:t>e</w:t>
      </w:r>
      <w:r w:rsidR="004313F7" w:rsidRPr="003E5A16">
        <w:rPr>
          <w:sz w:val="20"/>
          <w:szCs w:val="20"/>
          <w:lang w:val="es-ES"/>
        </w:rPr>
        <w:t>re</w:t>
      </w:r>
      <w:r w:rsidRPr="003E5A16">
        <w:rPr>
          <w:sz w:val="20"/>
          <w:szCs w:val="20"/>
          <w:lang w:val="es-ES"/>
        </w:rPr>
        <w:t>djian</w:t>
      </w:r>
      <w:r w:rsidR="004313F7" w:rsidRPr="003E5A16">
        <w:rPr>
          <w:sz w:val="20"/>
          <w:szCs w:val="20"/>
          <w:lang w:val="es-ES"/>
        </w:rPr>
        <w:t xml:space="preserve"> (2011), entre otros.</w:t>
      </w:r>
    </w:p>
    <w:p w:rsidR="00A7580B" w:rsidRPr="003E5A16" w:rsidRDefault="00A7580B">
      <w:pPr>
        <w:pStyle w:val="Textonotapie"/>
        <w:rPr>
          <w:sz w:val="20"/>
          <w:szCs w:val="20"/>
          <w:lang w:val="es-AR"/>
        </w:rPr>
      </w:pPr>
    </w:p>
  </w:footnote>
  <w:footnote w:id="4">
    <w:p w:rsidR="009651D6" w:rsidRPr="003E5A16" w:rsidRDefault="009651D6" w:rsidP="009651D6">
      <w:pPr>
        <w:pStyle w:val="Textonotapie"/>
        <w:spacing w:before="120" w:after="120"/>
        <w:jc w:val="both"/>
        <w:rPr>
          <w:sz w:val="20"/>
          <w:szCs w:val="20"/>
        </w:rPr>
      </w:pPr>
      <w:r w:rsidRPr="003E5A16">
        <w:rPr>
          <w:rStyle w:val="Smbolodenotaalpie"/>
          <w:sz w:val="20"/>
          <w:szCs w:val="20"/>
          <w:vertAlign w:val="superscript"/>
        </w:rPr>
        <w:footnoteRef/>
      </w:r>
      <w:r w:rsidRPr="003E5A16">
        <w:rPr>
          <w:sz w:val="20"/>
          <w:szCs w:val="20"/>
        </w:rPr>
        <w:t>Zanello, de Las Varillas Córdoba, llegará a liderar el mercado interno. Este tipo de tractores se importó durante</w:t>
      </w:r>
      <w:r w:rsidR="009F366F">
        <w:rPr>
          <w:sz w:val="20"/>
          <w:szCs w:val="20"/>
        </w:rPr>
        <w:t xml:space="preserve"> </w:t>
      </w:r>
      <w:r w:rsidRPr="003E5A16">
        <w:rPr>
          <w:sz w:val="20"/>
          <w:szCs w:val="20"/>
        </w:rPr>
        <w:t xml:space="preserve">el breve período de apertura entre 1978 y 1981.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63F17"/>
    <w:multiLevelType w:val="hybridMultilevel"/>
    <w:tmpl w:val="4CDC2868"/>
    <w:lvl w:ilvl="0" w:tplc="0C1E20E4">
      <w:start w:val="5"/>
      <w:numFmt w:val="bullet"/>
      <w:lvlText w:val="-"/>
      <w:lvlJc w:val="left"/>
      <w:pPr>
        <w:ind w:left="360" w:hanging="360"/>
      </w:pPr>
      <w:rPr>
        <w:rFonts w:ascii="Calibri" w:eastAsiaTheme="minorHAnsi" w:hAnsi="Calibri" w:cstheme="minorBidi"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 w15:restartNumberingAfterBreak="0">
    <w:nsid w:val="281B4FB7"/>
    <w:multiLevelType w:val="hybridMultilevel"/>
    <w:tmpl w:val="B8C4B97E"/>
    <w:lvl w:ilvl="0" w:tplc="B07C2B98">
      <w:start w:val="1"/>
      <w:numFmt w:val="bullet"/>
      <w:lvlText w:val="•"/>
      <w:lvlJc w:val="left"/>
      <w:pPr>
        <w:tabs>
          <w:tab w:val="num" w:pos="720"/>
        </w:tabs>
        <w:ind w:left="720" w:hanging="360"/>
      </w:pPr>
      <w:rPr>
        <w:rFonts w:ascii="Arial" w:hAnsi="Arial" w:hint="default"/>
      </w:rPr>
    </w:lvl>
    <w:lvl w:ilvl="1" w:tplc="B0E0360A">
      <w:numFmt w:val="bullet"/>
      <w:lvlText w:val="•"/>
      <w:lvlJc w:val="left"/>
      <w:pPr>
        <w:tabs>
          <w:tab w:val="num" w:pos="1440"/>
        </w:tabs>
        <w:ind w:left="1440" w:hanging="360"/>
      </w:pPr>
      <w:rPr>
        <w:rFonts w:ascii="Arial" w:hAnsi="Arial" w:hint="default"/>
      </w:rPr>
    </w:lvl>
    <w:lvl w:ilvl="2" w:tplc="A40E3DDA" w:tentative="1">
      <w:start w:val="1"/>
      <w:numFmt w:val="bullet"/>
      <w:lvlText w:val="•"/>
      <w:lvlJc w:val="left"/>
      <w:pPr>
        <w:tabs>
          <w:tab w:val="num" w:pos="2160"/>
        </w:tabs>
        <w:ind w:left="2160" w:hanging="360"/>
      </w:pPr>
      <w:rPr>
        <w:rFonts w:ascii="Arial" w:hAnsi="Arial" w:hint="default"/>
      </w:rPr>
    </w:lvl>
    <w:lvl w:ilvl="3" w:tplc="431A91F2" w:tentative="1">
      <w:start w:val="1"/>
      <w:numFmt w:val="bullet"/>
      <w:lvlText w:val="•"/>
      <w:lvlJc w:val="left"/>
      <w:pPr>
        <w:tabs>
          <w:tab w:val="num" w:pos="2880"/>
        </w:tabs>
        <w:ind w:left="2880" w:hanging="360"/>
      </w:pPr>
      <w:rPr>
        <w:rFonts w:ascii="Arial" w:hAnsi="Arial" w:hint="default"/>
      </w:rPr>
    </w:lvl>
    <w:lvl w:ilvl="4" w:tplc="7910DD02" w:tentative="1">
      <w:start w:val="1"/>
      <w:numFmt w:val="bullet"/>
      <w:lvlText w:val="•"/>
      <w:lvlJc w:val="left"/>
      <w:pPr>
        <w:tabs>
          <w:tab w:val="num" w:pos="3600"/>
        </w:tabs>
        <w:ind w:left="3600" w:hanging="360"/>
      </w:pPr>
      <w:rPr>
        <w:rFonts w:ascii="Arial" w:hAnsi="Arial" w:hint="default"/>
      </w:rPr>
    </w:lvl>
    <w:lvl w:ilvl="5" w:tplc="2200A1BE" w:tentative="1">
      <w:start w:val="1"/>
      <w:numFmt w:val="bullet"/>
      <w:lvlText w:val="•"/>
      <w:lvlJc w:val="left"/>
      <w:pPr>
        <w:tabs>
          <w:tab w:val="num" w:pos="4320"/>
        </w:tabs>
        <w:ind w:left="4320" w:hanging="360"/>
      </w:pPr>
      <w:rPr>
        <w:rFonts w:ascii="Arial" w:hAnsi="Arial" w:hint="default"/>
      </w:rPr>
    </w:lvl>
    <w:lvl w:ilvl="6" w:tplc="6E4CF57E" w:tentative="1">
      <w:start w:val="1"/>
      <w:numFmt w:val="bullet"/>
      <w:lvlText w:val="•"/>
      <w:lvlJc w:val="left"/>
      <w:pPr>
        <w:tabs>
          <w:tab w:val="num" w:pos="5040"/>
        </w:tabs>
        <w:ind w:left="5040" w:hanging="360"/>
      </w:pPr>
      <w:rPr>
        <w:rFonts w:ascii="Arial" w:hAnsi="Arial" w:hint="default"/>
      </w:rPr>
    </w:lvl>
    <w:lvl w:ilvl="7" w:tplc="7A220C78" w:tentative="1">
      <w:start w:val="1"/>
      <w:numFmt w:val="bullet"/>
      <w:lvlText w:val="•"/>
      <w:lvlJc w:val="left"/>
      <w:pPr>
        <w:tabs>
          <w:tab w:val="num" w:pos="5760"/>
        </w:tabs>
        <w:ind w:left="5760" w:hanging="360"/>
      </w:pPr>
      <w:rPr>
        <w:rFonts w:ascii="Arial" w:hAnsi="Arial" w:hint="default"/>
      </w:rPr>
    </w:lvl>
    <w:lvl w:ilvl="8" w:tplc="989C08C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9706B6F"/>
    <w:multiLevelType w:val="hybridMultilevel"/>
    <w:tmpl w:val="C21E971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2F674F3D"/>
    <w:multiLevelType w:val="hybridMultilevel"/>
    <w:tmpl w:val="42E25796"/>
    <w:lvl w:ilvl="0" w:tplc="8688AC3C">
      <w:start w:val="1"/>
      <w:numFmt w:val="bullet"/>
      <w:lvlText w:val="-"/>
      <w:lvlJc w:val="left"/>
      <w:pPr>
        <w:ind w:left="720" w:hanging="360"/>
      </w:pPr>
      <w:rPr>
        <w:rFonts w:ascii="ArialMT" w:eastAsia="Times New Roman" w:hAnsi="ArialMT" w:cs="ArialMT" w:hint="default"/>
        <w:color w:val="000000"/>
        <w:sz w:val="21"/>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374937FD"/>
    <w:multiLevelType w:val="multilevel"/>
    <w:tmpl w:val="6DC48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776320F"/>
    <w:multiLevelType w:val="hybridMultilevel"/>
    <w:tmpl w:val="5D0E388E"/>
    <w:lvl w:ilvl="0" w:tplc="040A0001">
      <w:start w:val="1"/>
      <w:numFmt w:val="bullet"/>
      <w:lvlText w:val=""/>
      <w:lvlJc w:val="left"/>
      <w:pPr>
        <w:ind w:left="780" w:hanging="360"/>
      </w:pPr>
      <w:rPr>
        <w:rFonts w:ascii="Symbol" w:hAnsi="Symbol" w:hint="default"/>
      </w:rPr>
    </w:lvl>
    <w:lvl w:ilvl="1" w:tplc="040A0003" w:tentative="1">
      <w:start w:val="1"/>
      <w:numFmt w:val="bullet"/>
      <w:lvlText w:val="o"/>
      <w:lvlJc w:val="left"/>
      <w:pPr>
        <w:ind w:left="1500" w:hanging="360"/>
      </w:pPr>
      <w:rPr>
        <w:rFonts w:ascii="Courier New" w:hAnsi="Courier New" w:cs="Courier New" w:hint="default"/>
      </w:rPr>
    </w:lvl>
    <w:lvl w:ilvl="2" w:tplc="040A0005" w:tentative="1">
      <w:start w:val="1"/>
      <w:numFmt w:val="bullet"/>
      <w:lvlText w:val=""/>
      <w:lvlJc w:val="left"/>
      <w:pPr>
        <w:ind w:left="2220" w:hanging="360"/>
      </w:pPr>
      <w:rPr>
        <w:rFonts w:ascii="Wingdings" w:hAnsi="Wingdings" w:hint="default"/>
      </w:rPr>
    </w:lvl>
    <w:lvl w:ilvl="3" w:tplc="040A0001" w:tentative="1">
      <w:start w:val="1"/>
      <w:numFmt w:val="bullet"/>
      <w:lvlText w:val=""/>
      <w:lvlJc w:val="left"/>
      <w:pPr>
        <w:ind w:left="2940" w:hanging="360"/>
      </w:pPr>
      <w:rPr>
        <w:rFonts w:ascii="Symbol" w:hAnsi="Symbol" w:hint="default"/>
      </w:rPr>
    </w:lvl>
    <w:lvl w:ilvl="4" w:tplc="040A0003" w:tentative="1">
      <w:start w:val="1"/>
      <w:numFmt w:val="bullet"/>
      <w:lvlText w:val="o"/>
      <w:lvlJc w:val="left"/>
      <w:pPr>
        <w:ind w:left="3660" w:hanging="360"/>
      </w:pPr>
      <w:rPr>
        <w:rFonts w:ascii="Courier New" w:hAnsi="Courier New" w:cs="Courier New" w:hint="default"/>
      </w:rPr>
    </w:lvl>
    <w:lvl w:ilvl="5" w:tplc="040A0005" w:tentative="1">
      <w:start w:val="1"/>
      <w:numFmt w:val="bullet"/>
      <w:lvlText w:val=""/>
      <w:lvlJc w:val="left"/>
      <w:pPr>
        <w:ind w:left="4380" w:hanging="360"/>
      </w:pPr>
      <w:rPr>
        <w:rFonts w:ascii="Wingdings" w:hAnsi="Wingdings" w:hint="default"/>
      </w:rPr>
    </w:lvl>
    <w:lvl w:ilvl="6" w:tplc="040A0001" w:tentative="1">
      <w:start w:val="1"/>
      <w:numFmt w:val="bullet"/>
      <w:lvlText w:val=""/>
      <w:lvlJc w:val="left"/>
      <w:pPr>
        <w:ind w:left="5100" w:hanging="360"/>
      </w:pPr>
      <w:rPr>
        <w:rFonts w:ascii="Symbol" w:hAnsi="Symbol" w:hint="default"/>
      </w:rPr>
    </w:lvl>
    <w:lvl w:ilvl="7" w:tplc="040A0003" w:tentative="1">
      <w:start w:val="1"/>
      <w:numFmt w:val="bullet"/>
      <w:lvlText w:val="o"/>
      <w:lvlJc w:val="left"/>
      <w:pPr>
        <w:ind w:left="5820" w:hanging="360"/>
      </w:pPr>
      <w:rPr>
        <w:rFonts w:ascii="Courier New" w:hAnsi="Courier New" w:cs="Courier New" w:hint="default"/>
      </w:rPr>
    </w:lvl>
    <w:lvl w:ilvl="8" w:tplc="040A0005" w:tentative="1">
      <w:start w:val="1"/>
      <w:numFmt w:val="bullet"/>
      <w:lvlText w:val=""/>
      <w:lvlJc w:val="left"/>
      <w:pPr>
        <w:ind w:left="6540" w:hanging="360"/>
      </w:pPr>
      <w:rPr>
        <w:rFonts w:ascii="Wingdings" w:hAnsi="Wingdings" w:hint="default"/>
      </w:rPr>
    </w:lvl>
  </w:abstractNum>
  <w:abstractNum w:abstractNumId="6" w15:restartNumberingAfterBreak="0">
    <w:nsid w:val="487502A7"/>
    <w:multiLevelType w:val="hybridMultilevel"/>
    <w:tmpl w:val="51EE868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4F94369C"/>
    <w:multiLevelType w:val="hybridMultilevel"/>
    <w:tmpl w:val="85FCA4D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5A5F2906"/>
    <w:multiLevelType w:val="hybridMultilevel"/>
    <w:tmpl w:val="0C6C050E"/>
    <w:lvl w:ilvl="0" w:tplc="0C1E20E4">
      <w:start w:val="5"/>
      <w:numFmt w:val="bullet"/>
      <w:lvlText w:val="-"/>
      <w:lvlJc w:val="left"/>
      <w:pPr>
        <w:ind w:left="36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6152537C"/>
    <w:multiLevelType w:val="hybridMultilevel"/>
    <w:tmpl w:val="A9489CF8"/>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6E016F2E"/>
    <w:multiLevelType w:val="hybridMultilevel"/>
    <w:tmpl w:val="FEE43086"/>
    <w:lvl w:ilvl="0" w:tplc="8688AC3C">
      <w:start w:val="1"/>
      <w:numFmt w:val="bullet"/>
      <w:lvlText w:val="-"/>
      <w:lvlJc w:val="left"/>
      <w:pPr>
        <w:ind w:left="720" w:hanging="360"/>
      </w:pPr>
      <w:rPr>
        <w:rFonts w:ascii="ArialMT" w:eastAsia="Times New Roman" w:hAnsi="ArialMT" w:cs="ArialMT" w:hint="default"/>
        <w:color w:val="000000"/>
        <w:sz w:val="21"/>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774D1345"/>
    <w:multiLevelType w:val="hybridMultilevel"/>
    <w:tmpl w:val="0B3C80B2"/>
    <w:lvl w:ilvl="0" w:tplc="49A0D5B4">
      <w:start w:val="1"/>
      <w:numFmt w:val="lowerRoman"/>
      <w:lvlText w:val="%1."/>
      <w:lvlJc w:val="left"/>
      <w:pPr>
        <w:ind w:left="1080" w:hanging="720"/>
      </w:pPr>
      <w:rPr>
        <w:rFonts w:asciiTheme="minorHAnsi" w:hAnsiTheme="minorHAnsi" w:cstheme="minorBidi"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77F307F4"/>
    <w:multiLevelType w:val="hybridMultilevel"/>
    <w:tmpl w:val="95EC2CF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7A027028"/>
    <w:multiLevelType w:val="hybridMultilevel"/>
    <w:tmpl w:val="107A686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6"/>
  </w:num>
  <w:num w:numId="4">
    <w:abstractNumId w:val="7"/>
  </w:num>
  <w:num w:numId="5">
    <w:abstractNumId w:val="0"/>
  </w:num>
  <w:num w:numId="6">
    <w:abstractNumId w:val="8"/>
  </w:num>
  <w:num w:numId="7">
    <w:abstractNumId w:val="13"/>
  </w:num>
  <w:num w:numId="8">
    <w:abstractNumId w:val="5"/>
  </w:num>
  <w:num w:numId="9">
    <w:abstractNumId w:val="12"/>
  </w:num>
  <w:num w:numId="10">
    <w:abstractNumId w:val="4"/>
  </w:num>
  <w:num w:numId="11">
    <w:abstractNumId w:val="1"/>
  </w:num>
  <w:num w:numId="12">
    <w:abstractNumId w:val="10"/>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891"/>
    <w:rsid w:val="00001E5A"/>
    <w:rsid w:val="00005858"/>
    <w:rsid w:val="00013EC7"/>
    <w:rsid w:val="000267BA"/>
    <w:rsid w:val="00030A1E"/>
    <w:rsid w:val="000500AB"/>
    <w:rsid w:val="00052D95"/>
    <w:rsid w:val="000543B9"/>
    <w:rsid w:val="000630E9"/>
    <w:rsid w:val="00071450"/>
    <w:rsid w:val="00085D93"/>
    <w:rsid w:val="000877A5"/>
    <w:rsid w:val="000A4BED"/>
    <w:rsid w:val="000B0C57"/>
    <w:rsid w:val="000C03F7"/>
    <w:rsid w:val="000C5237"/>
    <w:rsid w:val="000D24E3"/>
    <w:rsid w:val="000D77A8"/>
    <w:rsid w:val="000E3161"/>
    <w:rsid w:val="000E38EB"/>
    <w:rsid w:val="000E4FFD"/>
    <w:rsid w:val="000E63BE"/>
    <w:rsid w:val="000F0A49"/>
    <w:rsid w:val="000F6BD5"/>
    <w:rsid w:val="000F78BF"/>
    <w:rsid w:val="00115E80"/>
    <w:rsid w:val="001218AB"/>
    <w:rsid w:val="0013578D"/>
    <w:rsid w:val="00135F5B"/>
    <w:rsid w:val="00151870"/>
    <w:rsid w:val="00151D26"/>
    <w:rsid w:val="00154436"/>
    <w:rsid w:val="001630FD"/>
    <w:rsid w:val="001708A4"/>
    <w:rsid w:val="001720E5"/>
    <w:rsid w:val="001753E9"/>
    <w:rsid w:val="00195BC4"/>
    <w:rsid w:val="001A24D4"/>
    <w:rsid w:val="001B000F"/>
    <w:rsid w:val="001B627D"/>
    <w:rsid w:val="001D16EC"/>
    <w:rsid w:val="001E4870"/>
    <w:rsid w:val="0020460D"/>
    <w:rsid w:val="002048A3"/>
    <w:rsid w:val="00205787"/>
    <w:rsid w:val="002064DD"/>
    <w:rsid w:val="002128BE"/>
    <w:rsid w:val="002542D6"/>
    <w:rsid w:val="00266A4D"/>
    <w:rsid w:val="00287106"/>
    <w:rsid w:val="002907CF"/>
    <w:rsid w:val="002916E6"/>
    <w:rsid w:val="002957E1"/>
    <w:rsid w:val="00296E0A"/>
    <w:rsid w:val="002A7D17"/>
    <w:rsid w:val="002B172B"/>
    <w:rsid w:val="002B20EB"/>
    <w:rsid w:val="002B3952"/>
    <w:rsid w:val="002C3E76"/>
    <w:rsid w:val="002C55ED"/>
    <w:rsid w:val="002C68FF"/>
    <w:rsid w:val="002D663A"/>
    <w:rsid w:val="002E4C0D"/>
    <w:rsid w:val="002F2137"/>
    <w:rsid w:val="003002CE"/>
    <w:rsid w:val="00313921"/>
    <w:rsid w:val="00315894"/>
    <w:rsid w:val="00316834"/>
    <w:rsid w:val="0032277C"/>
    <w:rsid w:val="0033270D"/>
    <w:rsid w:val="0034091D"/>
    <w:rsid w:val="00342CE8"/>
    <w:rsid w:val="00345956"/>
    <w:rsid w:val="00356F56"/>
    <w:rsid w:val="00367B2F"/>
    <w:rsid w:val="00370330"/>
    <w:rsid w:val="003706A2"/>
    <w:rsid w:val="00374798"/>
    <w:rsid w:val="003835C8"/>
    <w:rsid w:val="00391EAA"/>
    <w:rsid w:val="0039419E"/>
    <w:rsid w:val="003A5CC3"/>
    <w:rsid w:val="003B1656"/>
    <w:rsid w:val="003C3325"/>
    <w:rsid w:val="003C7DD0"/>
    <w:rsid w:val="003D6233"/>
    <w:rsid w:val="003E5A16"/>
    <w:rsid w:val="003E7449"/>
    <w:rsid w:val="003E7CC7"/>
    <w:rsid w:val="003F0F2A"/>
    <w:rsid w:val="00402F8C"/>
    <w:rsid w:val="004059A2"/>
    <w:rsid w:val="004104DA"/>
    <w:rsid w:val="00413258"/>
    <w:rsid w:val="004157D8"/>
    <w:rsid w:val="00417940"/>
    <w:rsid w:val="004243F5"/>
    <w:rsid w:val="00425A66"/>
    <w:rsid w:val="004313F7"/>
    <w:rsid w:val="00437F45"/>
    <w:rsid w:val="004409AA"/>
    <w:rsid w:val="004426F5"/>
    <w:rsid w:val="00444815"/>
    <w:rsid w:val="00447317"/>
    <w:rsid w:val="00454E92"/>
    <w:rsid w:val="00455419"/>
    <w:rsid w:val="00460DD8"/>
    <w:rsid w:val="0047401A"/>
    <w:rsid w:val="004819CB"/>
    <w:rsid w:val="004872F5"/>
    <w:rsid w:val="00493555"/>
    <w:rsid w:val="004A2959"/>
    <w:rsid w:val="004A69C6"/>
    <w:rsid w:val="004B4996"/>
    <w:rsid w:val="004C2BB3"/>
    <w:rsid w:val="004C2FC5"/>
    <w:rsid w:val="004D3A6F"/>
    <w:rsid w:val="004D6909"/>
    <w:rsid w:val="004F46DB"/>
    <w:rsid w:val="004F4E7B"/>
    <w:rsid w:val="005006A0"/>
    <w:rsid w:val="00502312"/>
    <w:rsid w:val="00504AA7"/>
    <w:rsid w:val="00525B8F"/>
    <w:rsid w:val="00530871"/>
    <w:rsid w:val="005371EE"/>
    <w:rsid w:val="00556452"/>
    <w:rsid w:val="00556F4A"/>
    <w:rsid w:val="00560D87"/>
    <w:rsid w:val="0056692A"/>
    <w:rsid w:val="005720E9"/>
    <w:rsid w:val="00577D7F"/>
    <w:rsid w:val="00591850"/>
    <w:rsid w:val="00595630"/>
    <w:rsid w:val="005A1891"/>
    <w:rsid w:val="005A1D82"/>
    <w:rsid w:val="005C2EEE"/>
    <w:rsid w:val="005C4B2E"/>
    <w:rsid w:val="005D2CAE"/>
    <w:rsid w:val="005D3AE9"/>
    <w:rsid w:val="005D4F95"/>
    <w:rsid w:val="005E4F56"/>
    <w:rsid w:val="005E5DD9"/>
    <w:rsid w:val="00603196"/>
    <w:rsid w:val="00603C89"/>
    <w:rsid w:val="00633631"/>
    <w:rsid w:val="006404D5"/>
    <w:rsid w:val="00667C93"/>
    <w:rsid w:val="006714F9"/>
    <w:rsid w:val="00682E03"/>
    <w:rsid w:val="006850D0"/>
    <w:rsid w:val="00686B1D"/>
    <w:rsid w:val="006940B4"/>
    <w:rsid w:val="00695866"/>
    <w:rsid w:val="006A5EBF"/>
    <w:rsid w:val="006B7544"/>
    <w:rsid w:val="006C1013"/>
    <w:rsid w:val="006D4F23"/>
    <w:rsid w:val="006D5CFA"/>
    <w:rsid w:val="006D6AAA"/>
    <w:rsid w:val="006E4F94"/>
    <w:rsid w:val="006F177D"/>
    <w:rsid w:val="0070023F"/>
    <w:rsid w:val="00700601"/>
    <w:rsid w:val="00701BD3"/>
    <w:rsid w:val="00704A24"/>
    <w:rsid w:val="00704FCC"/>
    <w:rsid w:val="007137F2"/>
    <w:rsid w:val="007273B7"/>
    <w:rsid w:val="00731CE4"/>
    <w:rsid w:val="00735B80"/>
    <w:rsid w:val="007411E7"/>
    <w:rsid w:val="007502DD"/>
    <w:rsid w:val="00751E9B"/>
    <w:rsid w:val="0075251B"/>
    <w:rsid w:val="00753590"/>
    <w:rsid w:val="00755099"/>
    <w:rsid w:val="007608CF"/>
    <w:rsid w:val="00761734"/>
    <w:rsid w:val="00767755"/>
    <w:rsid w:val="00773687"/>
    <w:rsid w:val="007750FB"/>
    <w:rsid w:val="00797120"/>
    <w:rsid w:val="007B7F0A"/>
    <w:rsid w:val="007C5F61"/>
    <w:rsid w:val="007D1DD5"/>
    <w:rsid w:val="007E7C0A"/>
    <w:rsid w:val="00803587"/>
    <w:rsid w:val="00805BD3"/>
    <w:rsid w:val="00812ABB"/>
    <w:rsid w:val="008165A1"/>
    <w:rsid w:val="008175B9"/>
    <w:rsid w:val="00833A15"/>
    <w:rsid w:val="00836A7D"/>
    <w:rsid w:val="00844B08"/>
    <w:rsid w:val="00852B27"/>
    <w:rsid w:val="008540BA"/>
    <w:rsid w:val="00857A71"/>
    <w:rsid w:val="00861EED"/>
    <w:rsid w:val="00865C43"/>
    <w:rsid w:val="00874D4C"/>
    <w:rsid w:val="00875843"/>
    <w:rsid w:val="00880D7F"/>
    <w:rsid w:val="00884122"/>
    <w:rsid w:val="008850E1"/>
    <w:rsid w:val="00886E55"/>
    <w:rsid w:val="00890098"/>
    <w:rsid w:val="008A1E99"/>
    <w:rsid w:val="008A3E8E"/>
    <w:rsid w:val="008B45CD"/>
    <w:rsid w:val="008B4A1A"/>
    <w:rsid w:val="008B54C9"/>
    <w:rsid w:val="008C595D"/>
    <w:rsid w:val="008D6227"/>
    <w:rsid w:val="008E082D"/>
    <w:rsid w:val="008F4F51"/>
    <w:rsid w:val="00907BBB"/>
    <w:rsid w:val="00915D54"/>
    <w:rsid w:val="0094190B"/>
    <w:rsid w:val="00950DD1"/>
    <w:rsid w:val="0095181F"/>
    <w:rsid w:val="00963715"/>
    <w:rsid w:val="009651D6"/>
    <w:rsid w:val="00965D9D"/>
    <w:rsid w:val="009778C3"/>
    <w:rsid w:val="009859C7"/>
    <w:rsid w:val="009A0E13"/>
    <w:rsid w:val="009A5C77"/>
    <w:rsid w:val="009B2D73"/>
    <w:rsid w:val="009C63DB"/>
    <w:rsid w:val="009C73EA"/>
    <w:rsid w:val="009C7451"/>
    <w:rsid w:val="009D0B4C"/>
    <w:rsid w:val="009E1624"/>
    <w:rsid w:val="009E1731"/>
    <w:rsid w:val="009E431C"/>
    <w:rsid w:val="009E5A1B"/>
    <w:rsid w:val="009F1B56"/>
    <w:rsid w:val="009F366F"/>
    <w:rsid w:val="009F6B3E"/>
    <w:rsid w:val="009F7A4E"/>
    <w:rsid w:val="00A0242B"/>
    <w:rsid w:val="00A05DF1"/>
    <w:rsid w:val="00A10B2E"/>
    <w:rsid w:val="00A123D4"/>
    <w:rsid w:val="00A13833"/>
    <w:rsid w:val="00A20D25"/>
    <w:rsid w:val="00A24499"/>
    <w:rsid w:val="00A355E5"/>
    <w:rsid w:val="00A372BE"/>
    <w:rsid w:val="00A40839"/>
    <w:rsid w:val="00A654CC"/>
    <w:rsid w:val="00A65B3D"/>
    <w:rsid w:val="00A66812"/>
    <w:rsid w:val="00A670C4"/>
    <w:rsid w:val="00A70C54"/>
    <w:rsid w:val="00A754B1"/>
    <w:rsid w:val="00A7580B"/>
    <w:rsid w:val="00A816BB"/>
    <w:rsid w:val="00A90252"/>
    <w:rsid w:val="00A924F5"/>
    <w:rsid w:val="00AA266A"/>
    <w:rsid w:val="00AA7301"/>
    <w:rsid w:val="00AB115C"/>
    <w:rsid w:val="00AB6773"/>
    <w:rsid w:val="00AC7830"/>
    <w:rsid w:val="00AC7B33"/>
    <w:rsid w:val="00AD0245"/>
    <w:rsid w:val="00AD0319"/>
    <w:rsid w:val="00AE00CC"/>
    <w:rsid w:val="00AE1564"/>
    <w:rsid w:val="00AE4E48"/>
    <w:rsid w:val="00AE7892"/>
    <w:rsid w:val="00B048F3"/>
    <w:rsid w:val="00B27D0C"/>
    <w:rsid w:val="00B355B2"/>
    <w:rsid w:val="00B360B4"/>
    <w:rsid w:val="00B45705"/>
    <w:rsid w:val="00B47125"/>
    <w:rsid w:val="00B54969"/>
    <w:rsid w:val="00B6478D"/>
    <w:rsid w:val="00B662FA"/>
    <w:rsid w:val="00B76386"/>
    <w:rsid w:val="00B84E80"/>
    <w:rsid w:val="00B95C14"/>
    <w:rsid w:val="00BA306F"/>
    <w:rsid w:val="00BC64D9"/>
    <w:rsid w:val="00BD0AD7"/>
    <w:rsid w:val="00BD412D"/>
    <w:rsid w:val="00BD7383"/>
    <w:rsid w:val="00BE4956"/>
    <w:rsid w:val="00BF0D09"/>
    <w:rsid w:val="00C048FA"/>
    <w:rsid w:val="00C14945"/>
    <w:rsid w:val="00C219E7"/>
    <w:rsid w:val="00C22642"/>
    <w:rsid w:val="00C34ADF"/>
    <w:rsid w:val="00C359E2"/>
    <w:rsid w:val="00C41C60"/>
    <w:rsid w:val="00C57542"/>
    <w:rsid w:val="00C60487"/>
    <w:rsid w:val="00C6267D"/>
    <w:rsid w:val="00C63C26"/>
    <w:rsid w:val="00C75BB0"/>
    <w:rsid w:val="00C80A1B"/>
    <w:rsid w:val="00C85EF3"/>
    <w:rsid w:val="00C86666"/>
    <w:rsid w:val="00C9261F"/>
    <w:rsid w:val="00C92D40"/>
    <w:rsid w:val="00CB7384"/>
    <w:rsid w:val="00CC2903"/>
    <w:rsid w:val="00CC392E"/>
    <w:rsid w:val="00CD3B16"/>
    <w:rsid w:val="00CD3BAC"/>
    <w:rsid w:val="00CE7E4D"/>
    <w:rsid w:val="00CF2738"/>
    <w:rsid w:val="00CF3FE0"/>
    <w:rsid w:val="00D03C78"/>
    <w:rsid w:val="00D06357"/>
    <w:rsid w:val="00D10EF9"/>
    <w:rsid w:val="00D26579"/>
    <w:rsid w:val="00D413BE"/>
    <w:rsid w:val="00D63B8F"/>
    <w:rsid w:val="00D7292E"/>
    <w:rsid w:val="00D764D7"/>
    <w:rsid w:val="00D905B0"/>
    <w:rsid w:val="00D97E72"/>
    <w:rsid w:val="00DB0EC5"/>
    <w:rsid w:val="00DB150E"/>
    <w:rsid w:val="00DC1BB6"/>
    <w:rsid w:val="00DC5C6F"/>
    <w:rsid w:val="00DD655C"/>
    <w:rsid w:val="00DE04F7"/>
    <w:rsid w:val="00DE67CE"/>
    <w:rsid w:val="00DF3843"/>
    <w:rsid w:val="00DF59E6"/>
    <w:rsid w:val="00E03AFD"/>
    <w:rsid w:val="00E10167"/>
    <w:rsid w:val="00E119AD"/>
    <w:rsid w:val="00E311C2"/>
    <w:rsid w:val="00E3211C"/>
    <w:rsid w:val="00E3261A"/>
    <w:rsid w:val="00E424AD"/>
    <w:rsid w:val="00E5458B"/>
    <w:rsid w:val="00E55BC1"/>
    <w:rsid w:val="00E626E7"/>
    <w:rsid w:val="00E66AEF"/>
    <w:rsid w:val="00E74FE9"/>
    <w:rsid w:val="00E90370"/>
    <w:rsid w:val="00E91270"/>
    <w:rsid w:val="00E9734D"/>
    <w:rsid w:val="00EA6457"/>
    <w:rsid w:val="00EB6DB9"/>
    <w:rsid w:val="00EC7C96"/>
    <w:rsid w:val="00ED02FF"/>
    <w:rsid w:val="00ED3A37"/>
    <w:rsid w:val="00EE0A19"/>
    <w:rsid w:val="00EE42CD"/>
    <w:rsid w:val="00EE4E77"/>
    <w:rsid w:val="00EF6DEA"/>
    <w:rsid w:val="00F026FC"/>
    <w:rsid w:val="00F04A6D"/>
    <w:rsid w:val="00F13EE1"/>
    <w:rsid w:val="00F208E0"/>
    <w:rsid w:val="00F20957"/>
    <w:rsid w:val="00F21017"/>
    <w:rsid w:val="00F43B08"/>
    <w:rsid w:val="00F47208"/>
    <w:rsid w:val="00F600A1"/>
    <w:rsid w:val="00F63F8E"/>
    <w:rsid w:val="00F716C7"/>
    <w:rsid w:val="00F7417D"/>
    <w:rsid w:val="00F803A4"/>
    <w:rsid w:val="00F86AC3"/>
    <w:rsid w:val="00F91156"/>
    <w:rsid w:val="00FA3810"/>
    <w:rsid w:val="00FB0D81"/>
    <w:rsid w:val="00FB6573"/>
    <w:rsid w:val="00FC7542"/>
    <w:rsid w:val="00FD3E0C"/>
    <w:rsid w:val="00FD7876"/>
    <w:rsid w:val="00FF24FD"/>
    <w:rsid w:val="00FF26B9"/>
    <w:rsid w:val="00FF2744"/>
    <w:rsid w:val="00FF6E2D"/>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B17F12-19A4-4892-A3B2-D563FE10B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921"/>
    <w:rPr>
      <w:rFonts w:ascii="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4A2959"/>
    <w:rPr>
      <w:sz w:val="16"/>
      <w:szCs w:val="16"/>
    </w:rPr>
  </w:style>
  <w:style w:type="paragraph" w:styleId="Textocomentario">
    <w:name w:val="annotation text"/>
    <w:basedOn w:val="Normal"/>
    <w:link w:val="TextocomentarioCar"/>
    <w:uiPriority w:val="99"/>
    <w:semiHidden/>
    <w:unhideWhenUsed/>
    <w:rsid w:val="004A2959"/>
    <w:rPr>
      <w:sz w:val="20"/>
      <w:szCs w:val="20"/>
    </w:rPr>
  </w:style>
  <w:style w:type="character" w:customStyle="1" w:styleId="TextocomentarioCar">
    <w:name w:val="Texto comentario Car"/>
    <w:basedOn w:val="Fuentedeprrafopredeter"/>
    <w:link w:val="Textocomentario"/>
    <w:uiPriority w:val="99"/>
    <w:semiHidden/>
    <w:rsid w:val="004A2959"/>
    <w:rPr>
      <w:sz w:val="20"/>
      <w:szCs w:val="20"/>
    </w:rPr>
  </w:style>
  <w:style w:type="paragraph" w:styleId="Asuntodelcomentario">
    <w:name w:val="annotation subject"/>
    <w:basedOn w:val="Textocomentario"/>
    <w:next w:val="Textocomentario"/>
    <w:link w:val="AsuntodelcomentarioCar"/>
    <w:uiPriority w:val="99"/>
    <w:semiHidden/>
    <w:unhideWhenUsed/>
    <w:rsid w:val="004A2959"/>
    <w:rPr>
      <w:b/>
      <w:bCs/>
    </w:rPr>
  </w:style>
  <w:style w:type="character" w:customStyle="1" w:styleId="AsuntodelcomentarioCar">
    <w:name w:val="Asunto del comentario Car"/>
    <w:basedOn w:val="TextocomentarioCar"/>
    <w:link w:val="Asuntodelcomentario"/>
    <w:uiPriority w:val="99"/>
    <w:semiHidden/>
    <w:rsid w:val="004A2959"/>
    <w:rPr>
      <w:b/>
      <w:bCs/>
      <w:sz w:val="20"/>
      <w:szCs w:val="20"/>
    </w:rPr>
  </w:style>
  <w:style w:type="paragraph" w:styleId="Textodeglobo">
    <w:name w:val="Balloon Text"/>
    <w:basedOn w:val="Normal"/>
    <w:link w:val="TextodegloboCar"/>
    <w:uiPriority w:val="99"/>
    <w:semiHidden/>
    <w:unhideWhenUsed/>
    <w:rsid w:val="004A295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2959"/>
    <w:rPr>
      <w:rFonts w:ascii="Segoe UI" w:hAnsi="Segoe UI" w:cs="Segoe UI"/>
      <w:sz w:val="18"/>
      <w:szCs w:val="18"/>
    </w:rPr>
  </w:style>
  <w:style w:type="paragraph" w:styleId="Prrafodelista">
    <w:name w:val="List Paragraph"/>
    <w:basedOn w:val="Normal"/>
    <w:uiPriority w:val="34"/>
    <w:qFormat/>
    <w:rsid w:val="00735B80"/>
    <w:pPr>
      <w:ind w:left="720"/>
      <w:contextualSpacing/>
    </w:pPr>
  </w:style>
  <w:style w:type="paragraph" w:styleId="Textonotapie">
    <w:name w:val="footnote text"/>
    <w:basedOn w:val="Normal"/>
    <w:link w:val="TextonotapieCar"/>
    <w:unhideWhenUsed/>
    <w:rsid w:val="00FD7876"/>
  </w:style>
  <w:style w:type="character" w:customStyle="1" w:styleId="TextonotapieCar">
    <w:name w:val="Texto nota pie Car"/>
    <w:basedOn w:val="Fuentedeprrafopredeter"/>
    <w:link w:val="Textonotapie"/>
    <w:rsid w:val="00FD7876"/>
  </w:style>
  <w:style w:type="character" w:styleId="Refdenotaalpie">
    <w:name w:val="footnote reference"/>
    <w:basedOn w:val="Fuentedeprrafopredeter"/>
    <w:uiPriority w:val="99"/>
    <w:unhideWhenUsed/>
    <w:rsid w:val="00FD7876"/>
    <w:rPr>
      <w:vertAlign w:val="superscript"/>
    </w:rPr>
  </w:style>
  <w:style w:type="paragraph" w:styleId="Textonotaalfinal">
    <w:name w:val="endnote text"/>
    <w:basedOn w:val="Normal"/>
    <w:link w:val="TextonotaalfinalCar"/>
    <w:uiPriority w:val="99"/>
    <w:unhideWhenUsed/>
    <w:rsid w:val="00C359E2"/>
  </w:style>
  <w:style w:type="character" w:customStyle="1" w:styleId="TextonotaalfinalCar">
    <w:name w:val="Texto nota al final Car"/>
    <w:basedOn w:val="Fuentedeprrafopredeter"/>
    <w:link w:val="Textonotaalfinal"/>
    <w:uiPriority w:val="99"/>
    <w:rsid w:val="00C359E2"/>
  </w:style>
  <w:style w:type="character" w:styleId="Refdenotaalfinal">
    <w:name w:val="endnote reference"/>
    <w:basedOn w:val="Fuentedeprrafopredeter"/>
    <w:uiPriority w:val="99"/>
    <w:unhideWhenUsed/>
    <w:rsid w:val="00C359E2"/>
    <w:rPr>
      <w:vertAlign w:val="superscript"/>
    </w:rPr>
  </w:style>
  <w:style w:type="character" w:customStyle="1" w:styleId="Smbolodenotaalpie">
    <w:name w:val="Símbolo de nota al pie"/>
    <w:rsid w:val="00B6478D"/>
  </w:style>
  <w:style w:type="paragraph" w:styleId="Textoindependiente">
    <w:name w:val="Body Text"/>
    <w:basedOn w:val="Normal"/>
    <w:link w:val="TextoindependienteCar"/>
    <w:uiPriority w:val="1"/>
    <w:qFormat/>
    <w:rsid w:val="007411E7"/>
    <w:pPr>
      <w:widowControl w:val="0"/>
      <w:autoSpaceDE w:val="0"/>
      <w:autoSpaceDN w:val="0"/>
    </w:pPr>
    <w:rPr>
      <w:rFonts w:eastAsia="Times New Roman"/>
      <w:sz w:val="16"/>
      <w:szCs w:val="16"/>
      <w:lang w:val="en-US" w:bidi="en-US"/>
    </w:rPr>
  </w:style>
  <w:style w:type="character" w:customStyle="1" w:styleId="TextoindependienteCar">
    <w:name w:val="Texto independiente Car"/>
    <w:basedOn w:val="Fuentedeprrafopredeter"/>
    <w:link w:val="Textoindependiente"/>
    <w:uiPriority w:val="1"/>
    <w:rsid w:val="007411E7"/>
    <w:rPr>
      <w:rFonts w:ascii="Times New Roman" w:eastAsia="Times New Roman" w:hAnsi="Times New Roman" w:cs="Times New Roman"/>
      <w:sz w:val="16"/>
      <w:szCs w:val="16"/>
      <w:lang w:val="en-US" w:bidi="en-US"/>
    </w:rPr>
  </w:style>
  <w:style w:type="character" w:styleId="Hipervnculo">
    <w:name w:val="Hyperlink"/>
    <w:basedOn w:val="Fuentedeprrafopredeter"/>
    <w:uiPriority w:val="99"/>
    <w:unhideWhenUsed/>
    <w:rsid w:val="00CD3B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354312">
      <w:bodyDiv w:val="1"/>
      <w:marLeft w:val="0"/>
      <w:marRight w:val="0"/>
      <w:marTop w:val="0"/>
      <w:marBottom w:val="0"/>
      <w:divBdr>
        <w:top w:val="none" w:sz="0" w:space="0" w:color="auto"/>
        <w:left w:val="none" w:sz="0" w:space="0" w:color="auto"/>
        <w:bottom w:val="none" w:sz="0" w:space="0" w:color="auto"/>
        <w:right w:val="none" w:sz="0" w:space="0" w:color="auto"/>
      </w:divBdr>
    </w:div>
    <w:div w:id="740564489">
      <w:bodyDiv w:val="1"/>
      <w:marLeft w:val="0"/>
      <w:marRight w:val="0"/>
      <w:marTop w:val="0"/>
      <w:marBottom w:val="0"/>
      <w:divBdr>
        <w:top w:val="none" w:sz="0" w:space="0" w:color="auto"/>
        <w:left w:val="none" w:sz="0" w:space="0" w:color="auto"/>
        <w:bottom w:val="none" w:sz="0" w:space="0" w:color="auto"/>
        <w:right w:val="none" w:sz="0" w:space="0" w:color="auto"/>
      </w:divBdr>
    </w:div>
    <w:div w:id="1174957676">
      <w:bodyDiv w:val="1"/>
      <w:marLeft w:val="0"/>
      <w:marRight w:val="0"/>
      <w:marTop w:val="0"/>
      <w:marBottom w:val="0"/>
      <w:divBdr>
        <w:top w:val="none" w:sz="0" w:space="0" w:color="auto"/>
        <w:left w:val="none" w:sz="0" w:space="0" w:color="auto"/>
        <w:bottom w:val="none" w:sz="0" w:space="0" w:color="auto"/>
        <w:right w:val="none" w:sz="0" w:space="0" w:color="auto"/>
      </w:divBdr>
      <w:divsChild>
        <w:div w:id="968895129">
          <w:marLeft w:val="360"/>
          <w:marRight w:val="0"/>
          <w:marTop w:val="200"/>
          <w:marBottom w:val="0"/>
          <w:divBdr>
            <w:top w:val="none" w:sz="0" w:space="0" w:color="auto"/>
            <w:left w:val="none" w:sz="0" w:space="0" w:color="auto"/>
            <w:bottom w:val="none" w:sz="0" w:space="0" w:color="auto"/>
            <w:right w:val="none" w:sz="0" w:space="0" w:color="auto"/>
          </w:divBdr>
        </w:div>
        <w:div w:id="1364591763">
          <w:marLeft w:val="360"/>
          <w:marRight w:val="0"/>
          <w:marTop w:val="200"/>
          <w:marBottom w:val="0"/>
          <w:divBdr>
            <w:top w:val="none" w:sz="0" w:space="0" w:color="auto"/>
            <w:left w:val="none" w:sz="0" w:space="0" w:color="auto"/>
            <w:bottom w:val="none" w:sz="0" w:space="0" w:color="auto"/>
            <w:right w:val="none" w:sz="0" w:space="0" w:color="auto"/>
          </w:divBdr>
        </w:div>
        <w:div w:id="1085568274">
          <w:marLeft w:val="1080"/>
          <w:marRight w:val="0"/>
          <w:marTop w:val="100"/>
          <w:marBottom w:val="0"/>
          <w:divBdr>
            <w:top w:val="none" w:sz="0" w:space="0" w:color="auto"/>
            <w:left w:val="none" w:sz="0" w:space="0" w:color="auto"/>
            <w:bottom w:val="none" w:sz="0" w:space="0" w:color="auto"/>
            <w:right w:val="none" w:sz="0" w:space="0" w:color="auto"/>
          </w:divBdr>
        </w:div>
        <w:div w:id="738870026">
          <w:marLeft w:val="1080"/>
          <w:marRight w:val="0"/>
          <w:marTop w:val="100"/>
          <w:marBottom w:val="0"/>
          <w:divBdr>
            <w:top w:val="none" w:sz="0" w:space="0" w:color="auto"/>
            <w:left w:val="none" w:sz="0" w:space="0" w:color="auto"/>
            <w:bottom w:val="none" w:sz="0" w:space="0" w:color="auto"/>
            <w:right w:val="none" w:sz="0" w:space="0" w:color="auto"/>
          </w:divBdr>
        </w:div>
        <w:div w:id="1012420368">
          <w:marLeft w:val="360"/>
          <w:marRight w:val="0"/>
          <w:marTop w:val="200"/>
          <w:marBottom w:val="0"/>
          <w:divBdr>
            <w:top w:val="none" w:sz="0" w:space="0" w:color="auto"/>
            <w:left w:val="none" w:sz="0" w:space="0" w:color="auto"/>
            <w:bottom w:val="none" w:sz="0" w:space="0" w:color="auto"/>
            <w:right w:val="none" w:sz="0" w:space="0" w:color="auto"/>
          </w:divBdr>
        </w:div>
      </w:divsChild>
    </w:div>
    <w:div w:id="1713964648">
      <w:bodyDiv w:val="1"/>
      <w:marLeft w:val="0"/>
      <w:marRight w:val="0"/>
      <w:marTop w:val="0"/>
      <w:marBottom w:val="0"/>
      <w:divBdr>
        <w:top w:val="none" w:sz="0" w:space="0" w:color="auto"/>
        <w:left w:val="none" w:sz="0" w:space="0" w:color="auto"/>
        <w:bottom w:val="none" w:sz="0" w:space="0" w:color="auto"/>
        <w:right w:val="none" w:sz="0" w:space="0" w:color="auto"/>
      </w:divBdr>
      <w:divsChild>
        <w:div w:id="1566180330">
          <w:marLeft w:val="0"/>
          <w:marRight w:val="0"/>
          <w:marTop w:val="0"/>
          <w:marBottom w:val="0"/>
          <w:divBdr>
            <w:top w:val="none" w:sz="0" w:space="0" w:color="auto"/>
            <w:left w:val="none" w:sz="0" w:space="0" w:color="auto"/>
            <w:bottom w:val="none" w:sz="0" w:space="0" w:color="auto"/>
            <w:right w:val="none" w:sz="0" w:space="0" w:color="auto"/>
          </w:divBdr>
        </w:div>
      </w:divsChild>
    </w:div>
    <w:div w:id="1880896922">
      <w:bodyDiv w:val="1"/>
      <w:marLeft w:val="0"/>
      <w:marRight w:val="0"/>
      <w:marTop w:val="0"/>
      <w:marBottom w:val="0"/>
      <w:divBdr>
        <w:top w:val="none" w:sz="0" w:space="0" w:color="auto"/>
        <w:left w:val="none" w:sz="0" w:space="0" w:color="auto"/>
        <w:bottom w:val="none" w:sz="0" w:space="0" w:color="auto"/>
        <w:right w:val="none" w:sz="0" w:space="0" w:color="auto"/>
      </w:divBdr>
      <w:divsChild>
        <w:div w:id="1926693255">
          <w:marLeft w:val="0"/>
          <w:marRight w:val="0"/>
          <w:marTop w:val="0"/>
          <w:marBottom w:val="0"/>
          <w:divBdr>
            <w:top w:val="none" w:sz="0" w:space="0" w:color="auto"/>
            <w:left w:val="none" w:sz="0" w:space="0" w:color="auto"/>
            <w:bottom w:val="none" w:sz="0" w:space="0" w:color="auto"/>
            <w:right w:val="none" w:sz="0" w:space="0" w:color="auto"/>
          </w:divBdr>
        </w:div>
      </w:divsChild>
    </w:div>
    <w:div w:id="2126384902">
      <w:bodyDiv w:val="1"/>
      <w:marLeft w:val="0"/>
      <w:marRight w:val="0"/>
      <w:marTop w:val="0"/>
      <w:marBottom w:val="0"/>
      <w:divBdr>
        <w:top w:val="none" w:sz="0" w:space="0" w:color="auto"/>
        <w:left w:val="none" w:sz="0" w:space="0" w:color="auto"/>
        <w:bottom w:val="none" w:sz="0" w:space="0" w:color="auto"/>
        <w:right w:val="none" w:sz="0" w:space="0" w:color="auto"/>
      </w:divBdr>
    </w:div>
    <w:div w:id="2135710836">
      <w:bodyDiv w:val="1"/>
      <w:marLeft w:val="0"/>
      <w:marRight w:val="0"/>
      <w:marTop w:val="0"/>
      <w:marBottom w:val="0"/>
      <w:divBdr>
        <w:top w:val="none" w:sz="0" w:space="0" w:color="auto"/>
        <w:left w:val="none" w:sz="0" w:space="0" w:color="auto"/>
        <w:bottom w:val="none" w:sz="0" w:space="0" w:color="auto"/>
        <w:right w:val="none" w:sz="0" w:space="0" w:color="auto"/>
      </w:divBdr>
      <w:divsChild>
        <w:div w:id="134632749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dul76@gmail.com" TargetMode="Externa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tiff"/><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reginavidosa@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lavarel@gmail.com" TargetMode="External"/><Relationship Id="rId14" Type="http://schemas.openxmlformats.org/officeDocument/2006/relationships/image" Target="media/image3.tiff"/></Relationships>
</file>

<file path=word/charts/_rels/chart1.xml.rels><?xml version="1.0" encoding="UTF-8" standalone="yes"?>
<Relationships xmlns="http://schemas.openxmlformats.org/package/2006/relationships"><Relationship Id="rId1" Type="http://schemas.openxmlformats.org/officeDocument/2006/relationships/oleObject" Target="file:///C:\Users\Labarello\Dropbox\PROYECTO%20UE\Areas%20de%20Trabajo\Maquinaria%20Agricola\Estructura%20mercado%20mundial\Copia%20de%20market%20share.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ami&#225;n\Desktop\Cosas%20del%20Escritorio\CEUR%20-%20E%20de%20la%20C%20maq%20agr\Estad&#237;sticas\Empleo%20prod%20factu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Hoja1!$B$3</c:f>
              <c:strCache>
                <c:ptCount val="1"/>
                <c:pt idx="0">
                  <c:v>2007</c:v>
                </c:pt>
              </c:strCache>
            </c:strRef>
          </c:tx>
          <c:spPr>
            <a:solidFill>
              <a:schemeClr val="accent1"/>
            </a:solidFill>
            <a:ln>
              <a:noFill/>
            </a:ln>
            <a:effectLst/>
          </c:spPr>
          <c:invertIfNegative val="0"/>
          <c:cat>
            <c:strRef>
              <c:f>Hoja1!$A$4:$A$12</c:f>
              <c:strCache>
                <c:ptCount val="9"/>
                <c:pt idx="0">
                  <c:v>Iseki &amp; Company</c:v>
                </c:pt>
                <c:pt idx="1">
                  <c:v>Same Deutz-Fahr</c:v>
                </c:pt>
                <c:pt idx="2">
                  <c:v>Mahindra &amp; Mahindra</c:v>
                </c:pt>
                <c:pt idx="3">
                  <c:v>CLAAS</c:v>
                </c:pt>
                <c:pt idx="4">
                  <c:v>Yanmar Agricultural Eqp.</c:v>
                </c:pt>
                <c:pt idx="5">
                  <c:v>AGCO</c:v>
                </c:pt>
                <c:pt idx="6">
                  <c:v>Kubota</c:v>
                </c:pt>
                <c:pt idx="7">
                  <c:v>CNH Global</c:v>
                </c:pt>
                <c:pt idx="8">
                  <c:v>Deere &amp; Company</c:v>
                </c:pt>
              </c:strCache>
            </c:strRef>
          </c:cat>
          <c:val>
            <c:numRef>
              <c:f>Hoja1!$B$4:$B$12</c:f>
              <c:numCache>
                <c:formatCode>0%</c:formatCode>
                <c:ptCount val="9"/>
                <c:pt idx="0">
                  <c:v>1.4571062740076798E-2</c:v>
                </c:pt>
                <c:pt idx="1">
                  <c:v>1.6158770806658108E-2</c:v>
                </c:pt>
                <c:pt idx="2">
                  <c:v>1.4696011396011403E-2</c:v>
                </c:pt>
                <c:pt idx="3">
                  <c:v>4.3277848911651685E-2</c:v>
                </c:pt>
                <c:pt idx="4">
                  <c:v>3.611523687580033E-2</c:v>
                </c:pt>
                <c:pt idx="5">
                  <c:v>8.742637644046107E-2</c:v>
                </c:pt>
                <c:pt idx="6">
                  <c:v>6.988476312419975E-2</c:v>
                </c:pt>
                <c:pt idx="7">
                  <c:v>0.12737516005121588</c:v>
                </c:pt>
                <c:pt idx="8">
                  <c:v>0.15519846350832425</c:v>
                </c:pt>
              </c:numCache>
            </c:numRef>
          </c:val>
          <c:extLst xmlns:c16r2="http://schemas.microsoft.com/office/drawing/2015/06/chart">
            <c:ext xmlns:c16="http://schemas.microsoft.com/office/drawing/2014/chart" uri="{C3380CC4-5D6E-409C-BE32-E72D297353CC}">
              <c16:uniqueId val="{00000000-9EEF-414A-965C-B0596CD6779E}"/>
            </c:ext>
          </c:extLst>
        </c:ser>
        <c:ser>
          <c:idx val="1"/>
          <c:order val="1"/>
          <c:tx>
            <c:strRef>
              <c:f>Hoja1!$C$3</c:f>
              <c:strCache>
                <c:ptCount val="1"/>
                <c:pt idx="0">
                  <c:v>2013</c:v>
                </c:pt>
              </c:strCache>
            </c:strRef>
          </c:tx>
          <c:spPr>
            <a:solidFill>
              <a:schemeClr val="accent2"/>
            </a:solidFill>
            <a:ln>
              <a:noFill/>
            </a:ln>
            <a:effectLst/>
          </c:spPr>
          <c:invertIfNegative val="0"/>
          <c:cat>
            <c:strRef>
              <c:f>Hoja1!$A$4:$A$12</c:f>
              <c:strCache>
                <c:ptCount val="9"/>
                <c:pt idx="0">
                  <c:v>Iseki &amp; Company</c:v>
                </c:pt>
                <c:pt idx="1">
                  <c:v>Same Deutz-Fahr</c:v>
                </c:pt>
                <c:pt idx="2">
                  <c:v>Mahindra &amp; Mahindra</c:v>
                </c:pt>
                <c:pt idx="3">
                  <c:v>CLAAS</c:v>
                </c:pt>
                <c:pt idx="4">
                  <c:v>Yanmar Agricultural Eqp.</c:v>
                </c:pt>
                <c:pt idx="5">
                  <c:v>AGCO</c:v>
                </c:pt>
                <c:pt idx="6">
                  <c:v>Kubota</c:v>
                </c:pt>
                <c:pt idx="7">
                  <c:v>CNH Global</c:v>
                </c:pt>
                <c:pt idx="8">
                  <c:v>Deere &amp; Company</c:v>
                </c:pt>
              </c:strCache>
            </c:strRef>
          </c:cat>
          <c:val>
            <c:numRef>
              <c:f>Hoja1!$C$4:$C$12</c:f>
              <c:numCache>
                <c:formatCode>0%</c:formatCode>
                <c:ptCount val="9"/>
                <c:pt idx="0">
                  <c:v>7.234233975653457E-3</c:v>
                </c:pt>
                <c:pt idx="1">
                  <c:v>8.0790200000000027E-3</c:v>
                </c:pt>
                <c:pt idx="2">
                  <c:v>1.9729681654998901E-2</c:v>
                </c:pt>
                <c:pt idx="3">
                  <c:v>2.5497333333333302E-2</c:v>
                </c:pt>
                <c:pt idx="4">
                  <c:v>5.0000000000000017E-2</c:v>
                </c:pt>
                <c:pt idx="5">
                  <c:v>7.1912666666666722E-2</c:v>
                </c:pt>
                <c:pt idx="6">
                  <c:v>4.4450692281600118E-2</c:v>
                </c:pt>
                <c:pt idx="7">
                  <c:v>0.13871866666666699</c:v>
                </c:pt>
                <c:pt idx="8">
                  <c:v>0.19421333333333421</c:v>
                </c:pt>
              </c:numCache>
            </c:numRef>
          </c:val>
          <c:extLst xmlns:c16r2="http://schemas.microsoft.com/office/drawing/2015/06/chart">
            <c:ext xmlns:c16="http://schemas.microsoft.com/office/drawing/2014/chart" uri="{C3380CC4-5D6E-409C-BE32-E72D297353CC}">
              <c16:uniqueId val="{00000001-9EEF-414A-965C-B0596CD6779E}"/>
            </c:ext>
          </c:extLst>
        </c:ser>
        <c:ser>
          <c:idx val="2"/>
          <c:order val="2"/>
          <c:tx>
            <c:strRef>
              <c:f>Hoja1!$D$3</c:f>
              <c:strCache>
                <c:ptCount val="1"/>
                <c:pt idx="0">
                  <c:v>2017</c:v>
                </c:pt>
              </c:strCache>
            </c:strRef>
          </c:tx>
          <c:spPr>
            <a:solidFill>
              <a:schemeClr val="accent3"/>
            </a:solidFill>
            <a:ln>
              <a:noFill/>
            </a:ln>
            <a:effectLst/>
          </c:spPr>
          <c:invertIfNegative val="0"/>
          <c:cat>
            <c:strRef>
              <c:f>Hoja1!$A$4:$A$12</c:f>
              <c:strCache>
                <c:ptCount val="9"/>
                <c:pt idx="0">
                  <c:v>Iseki &amp; Company</c:v>
                </c:pt>
                <c:pt idx="1">
                  <c:v>Same Deutz-Fahr</c:v>
                </c:pt>
                <c:pt idx="2">
                  <c:v>Mahindra &amp; Mahindra</c:v>
                </c:pt>
                <c:pt idx="3">
                  <c:v>CLAAS</c:v>
                </c:pt>
                <c:pt idx="4">
                  <c:v>Yanmar Agricultural Eqp.</c:v>
                </c:pt>
                <c:pt idx="5">
                  <c:v>AGCO</c:v>
                </c:pt>
                <c:pt idx="6">
                  <c:v>Kubota</c:v>
                </c:pt>
                <c:pt idx="7">
                  <c:v>CNH Global</c:v>
                </c:pt>
                <c:pt idx="8">
                  <c:v>Deere &amp; Company</c:v>
                </c:pt>
              </c:strCache>
            </c:strRef>
          </c:cat>
          <c:val>
            <c:numRef>
              <c:f>Hoja1!$D$4:$D$12</c:f>
              <c:numCache>
                <c:formatCode>0%</c:formatCode>
                <c:ptCount val="9"/>
                <c:pt idx="0">
                  <c:v>8.6583690146666767E-3</c:v>
                </c:pt>
                <c:pt idx="1">
                  <c:v>8.9766888888889989E-3</c:v>
                </c:pt>
                <c:pt idx="2">
                  <c:v>2.2957073548888908E-2</c:v>
                </c:pt>
                <c:pt idx="3">
                  <c:v>2.7859259259259424E-2</c:v>
                </c:pt>
                <c:pt idx="4">
                  <c:v>3.4044444444444405E-2</c:v>
                </c:pt>
                <c:pt idx="5">
                  <c:v>6.1529629629629615E-2</c:v>
                </c:pt>
                <c:pt idx="6">
                  <c:v>7.970336296296314E-2</c:v>
                </c:pt>
                <c:pt idx="7">
                  <c:v>8.2444444444444431E-2</c:v>
                </c:pt>
                <c:pt idx="8">
                  <c:v>0.14938518518518612</c:v>
                </c:pt>
              </c:numCache>
            </c:numRef>
          </c:val>
          <c:extLst xmlns:c16r2="http://schemas.microsoft.com/office/drawing/2015/06/chart">
            <c:ext xmlns:c16="http://schemas.microsoft.com/office/drawing/2014/chart" uri="{C3380CC4-5D6E-409C-BE32-E72D297353CC}">
              <c16:uniqueId val="{00000002-9EEF-414A-965C-B0596CD6779E}"/>
            </c:ext>
          </c:extLst>
        </c:ser>
        <c:dLbls>
          <c:showLegendKey val="0"/>
          <c:showVal val="0"/>
          <c:showCatName val="0"/>
          <c:showSerName val="0"/>
          <c:showPercent val="0"/>
          <c:showBubbleSize val="0"/>
        </c:dLbls>
        <c:gapWidth val="182"/>
        <c:axId val="339838920"/>
        <c:axId val="339831864"/>
      </c:barChart>
      <c:catAx>
        <c:axId val="3398389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s-AR"/>
          </a:p>
        </c:txPr>
        <c:crossAx val="339831864"/>
        <c:crosses val="autoZero"/>
        <c:auto val="1"/>
        <c:lblAlgn val="ctr"/>
        <c:lblOffset val="100"/>
        <c:noMultiLvlLbl val="0"/>
      </c:catAx>
      <c:valAx>
        <c:axId val="339831864"/>
        <c:scaling>
          <c:orientation val="minMax"/>
          <c:max val="0.2"/>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es-AR"/>
          </a:p>
        </c:txPr>
        <c:crossAx val="339838920"/>
        <c:crosses val="autoZero"/>
        <c:crossBetween val="between"/>
      </c:valAx>
      <c:spPr>
        <a:noFill/>
        <a:ln>
          <a:noFill/>
        </a:ln>
        <a:effectLst/>
      </c:spPr>
    </c:plotArea>
    <c:legend>
      <c:legendPos val="b"/>
      <c:overlay val="0"/>
      <c:spPr>
        <a:noFill/>
        <a:ln>
          <a:noFill/>
        </a:ln>
        <a:effectLst/>
      </c:spPr>
      <c:txPr>
        <a:bodyPr rot="0" vert="horz"/>
        <a:lstStyle/>
        <a:p>
          <a:pPr>
            <a:defRPr/>
          </a:pPr>
          <a:endParaRPr lang="es-AR"/>
        </a:p>
      </c:txPr>
    </c:legend>
    <c:plotVisOnly val="1"/>
    <c:dispBlanksAs val="gap"/>
    <c:showDLblsOverMax val="0"/>
  </c:chart>
  <c:spPr>
    <a:noFill/>
    <a:ln>
      <a:noFill/>
    </a:ln>
    <a:effectLst/>
  </c:spPr>
  <c:txPr>
    <a:bodyPr/>
    <a:lstStyle/>
    <a:p>
      <a:pPr>
        <a:defRPr sz="800">
          <a:latin typeface="Times New Roman" pitchFamily="18" charset="0"/>
          <a:cs typeface="Times New Roman" pitchFamily="18" charset="0"/>
        </a:defRPr>
      </a:pPr>
      <a:endParaRPr lang="es-A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v>Nacionales</c:v>
          </c:tx>
          <c:spPr>
            <a:solidFill>
              <a:schemeClr val="accent5"/>
            </a:solidFill>
          </c:spPr>
          <c:invertIfNegative val="0"/>
          <c:cat>
            <c:numRef>
              <c:f>Facturación!$A$4:$A$20</c:f>
              <c:numCache>
                <c:formatCode>General</c:formatCode>
                <c:ptCount val="17"/>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numCache>
            </c:numRef>
          </c:cat>
          <c:val>
            <c:numRef>
              <c:f>Facturación!$AG$4:$AG$20</c:f>
              <c:numCache>
                <c:formatCode>#,##0.0</c:formatCode>
                <c:ptCount val="17"/>
                <c:pt idx="0">
                  <c:v>6676.2122565979216</c:v>
                </c:pt>
                <c:pt idx="1">
                  <c:v>10610.785978963102</c:v>
                </c:pt>
                <c:pt idx="2">
                  <c:v>12391.511555909759</c:v>
                </c:pt>
                <c:pt idx="3">
                  <c:v>12313.218240503507</c:v>
                </c:pt>
                <c:pt idx="4">
                  <c:v>12420.948009954491</c:v>
                </c:pt>
                <c:pt idx="5">
                  <c:v>15060.888712693313</c:v>
                </c:pt>
                <c:pt idx="6">
                  <c:v>12029.315179965708</c:v>
                </c:pt>
                <c:pt idx="7">
                  <c:v>9688.107099033763</c:v>
                </c:pt>
                <c:pt idx="8">
                  <c:v>12040.00380442256</c:v>
                </c:pt>
                <c:pt idx="9">
                  <c:v>14002.738868313614</c:v>
                </c:pt>
                <c:pt idx="10">
                  <c:v>12821.74873096338</c:v>
                </c:pt>
                <c:pt idx="11">
                  <c:v>18070.318241685047</c:v>
                </c:pt>
                <c:pt idx="12">
                  <c:v>14464.312472344574</c:v>
                </c:pt>
                <c:pt idx="13">
                  <c:v>14984.966893940926</c:v>
                </c:pt>
                <c:pt idx="14">
                  <c:v>18804.092962117546</c:v>
                </c:pt>
                <c:pt idx="15">
                  <c:v>21103.399999999961</c:v>
                </c:pt>
                <c:pt idx="16">
                  <c:v>15250.058583082302</c:v>
                </c:pt>
              </c:numCache>
            </c:numRef>
          </c:val>
          <c:extLst xmlns:c16r2="http://schemas.microsoft.com/office/drawing/2015/06/chart">
            <c:ext xmlns:c16="http://schemas.microsoft.com/office/drawing/2014/chart" uri="{C3380CC4-5D6E-409C-BE32-E72D297353CC}">
              <c16:uniqueId val="{00000000-E316-594A-956E-45AECE86A0CE}"/>
            </c:ext>
          </c:extLst>
        </c:ser>
        <c:ser>
          <c:idx val="1"/>
          <c:order val="1"/>
          <c:tx>
            <c:v>Importadas</c:v>
          </c:tx>
          <c:spPr>
            <a:solidFill>
              <a:schemeClr val="accent3">
                <a:lumMod val="75000"/>
              </a:schemeClr>
            </a:solidFill>
          </c:spPr>
          <c:invertIfNegative val="0"/>
          <c:cat>
            <c:numRef>
              <c:f>Facturación!$A$4:$A$20</c:f>
              <c:numCache>
                <c:formatCode>General</c:formatCode>
                <c:ptCount val="17"/>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numCache>
            </c:numRef>
          </c:cat>
          <c:val>
            <c:numRef>
              <c:f>Facturación!$AN$4:$AN$20</c:f>
              <c:numCache>
                <c:formatCode>#,##0.0</c:formatCode>
                <c:ptCount val="17"/>
                <c:pt idx="0">
                  <c:v>3895.7499870671923</c:v>
                </c:pt>
                <c:pt idx="1">
                  <c:v>14570.64682117681</c:v>
                </c:pt>
                <c:pt idx="2">
                  <c:v>22399.31249190406</c:v>
                </c:pt>
                <c:pt idx="3">
                  <c:v>18578.001046925416</c:v>
                </c:pt>
                <c:pt idx="4">
                  <c:v>14253.33107058663</c:v>
                </c:pt>
                <c:pt idx="5">
                  <c:v>19934.774343188958</c:v>
                </c:pt>
                <c:pt idx="6">
                  <c:v>20571.259483811122</c:v>
                </c:pt>
                <c:pt idx="7">
                  <c:v>7254.9968231731254</c:v>
                </c:pt>
                <c:pt idx="8">
                  <c:v>12758.284219831477</c:v>
                </c:pt>
                <c:pt idx="9">
                  <c:v>10136.872209048721</c:v>
                </c:pt>
                <c:pt idx="10">
                  <c:v>9066.1507569748428</c:v>
                </c:pt>
                <c:pt idx="11">
                  <c:v>11965.225718565012</c:v>
                </c:pt>
                <c:pt idx="12">
                  <c:v>4989.9316975522779</c:v>
                </c:pt>
                <c:pt idx="13">
                  <c:v>1809.1918586706929</c:v>
                </c:pt>
                <c:pt idx="14">
                  <c:v>5742.0064137380778</c:v>
                </c:pt>
                <c:pt idx="15">
                  <c:v>10094.799999999992</c:v>
                </c:pt>
                <c:pt idx="16">
                  <c:v>7507.8631268851386</c:v>
                </c:pt>
              </c:numCache>
            </c:numRef>
          </c:val>
          <c:extLst xmlns:c16r2="http://schemas.microsoft.com/office/drawing/2015/06/chart">
            <c:ext xmlns:c16="http://schemas.microsoft.com/office/drawing/2014/chart" uri="{C3380CC4-5D6E-409C-BE32-E72D297353CC}">
              <c16:uniqueId val="{00000001-E316-594A-956E-45AECE86A0CE}"/>
            </c:ext>
          </c:extLst>
        </c:ser>
        <c:dLbls>
          <c:showLegendKey val="0"/>
          <c:showVal val="0"/>
          <c:showCatName val="0"/>
          <c:showSerName val="0"/>
          <c:showPercent val="0"/>
          <c:showBubbleSize val="0"/>
        </c:dLbls>
        <c:gapWidth val="75"/>
        <c:overlap val="100"/>
        <c:axId val="339832648"/>
        <c:axId val="339833040"/>
      </c:barChart>
      <c:catAx>
        <c:axId val="339832648"/>
        <c:scaling>
          <c:orientation val="minMax"/>
        </c:scaling>
        <c:delete val="0"/>
        <c:axPos val="b"/>
        <c:numFmt formatCode="General" sourceLinked="1"/>
        <c:majorTickMark val="none"/>
        <c:minorTickMark val="none"/>
        <c:tickLblPos val="nextTo"/>
        <c:txPr>
          <a:bodyPr rot="-5400000" vert="horz"/>
          <a:lstStyle/>
          <a:p>
            <a:pPr>
              <a:defRPr lang="es-ES"/>
            </a:pPr>
            <a:endParaRPr lang="es-AR"/>
          </a:p>
        </c:txPr>
        <c:crossAx val="339833040"/>
        <c:crosses val="autoZero"/>
        <c:auto val="1"/>
        <c:lblAlgn val="ctr"/>
        <c:lblOffset val="100"/>
        <c:noMultiLvlLbl val="0"/>
      </c:catAx>
      <c:valAx>
        <c:axId val="339833040"/>
        <c:scaling>
          <c:orientation val="minMax"/>
        </c:scaling>
        <c:delete val="0"/>
        <c:axPos val="l"/>
        <c:majorGridlines/>
        <c:numFmt formatCode="#,##0" sourceLinked="0"/>
        <c:majorTickMark val="none"/>
        <c:minorTickMark val="none"/>
        <c:tickLblPos val="nextTo"/>
        <c:spPr>
          <a:ln w="9525">
            <a:noFill/>
          </a:ln>
        </c:spPr>
        <c:txPr>
          <a:bodyPr/>
          <a:lstStyle/>
          <a:p>
            <a:pPr>
              <a:defRPr lang="es-ES"/>
            </a:pPr>
            <a:endParaRPr lang="es-AR"/>
          </a:p>
        </c:txPr>
        <c:crossAx val="339832648"/>
        <c:crosses val="autoZero"/>
        <c:crossBetween val="between"/>
      </c:valAx>
    </c:plotArea>
    <c:legend>
      <c:legendPos val="b"/>
      <c:overlay val="0"/>
      <c:txPr>
        <a:bodyPr/>
        <a:lstStyle/>
        <a:p>
          <a:pPr>
            <a:defRPr lang="es-ES"/>
          </a:pPr>
          <a:endParaRPr lang="es-AR"/>
        </a:p>
      </c:txPr>
    </c:legend>
    <c:plotVisOnly val="1"/>
    <c:dispBlanksAs val="gap"/>
    <c:showDLblsOverMax val="0"/>
  </c:chart>
  <c:txPr>
    <a:bodyPr/>
    <a:lstStyle/>
    <a:p>
      <a:pPr>
        <a:defRPr sz="800">
          <a:latin typeface="Times New Roman" pitchFamily="18" charset="0"/>
          <a:cs typeface="Times New Roman" pitchFamily="18" charset="0"/>
        </a:defRPr>
      </a:pPr>
      <a:endParaRPr lang="es-AR"/>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8204672-E0E4-48FF-A60F-01E515403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8256</Words>
  <Characters>45412</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Damián</cp:lastModifiedBy>
  <cp:revision>2</cp:revision>
  <cp:lastPrinted>2018-11-05T19:06:00Z</cp:lastPrinted>
  <dcterms:created xsi:type="dcterms:W3CDTF">2019-08-12T01:24:00Z</dcterms:created>
  <dcterms:modified xsi:type="dcterms:W3CDTF">2019-08-12T01:24:00Z</dcterms:modified>
</cp:coreProperties>
</file>