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E6E04" w14:textId="2CCE973C" w:rsidR="003D3F21" w:rsidRPr="00723AA9" w:rsidRDefault="00D14834" w:rsidP="00A17782">
      <w:pPr>
        <w:spacing w:before="120" w:after="120" w:line="360" w:lineRule="auto"/>
        <w:contextualSpacing/>
        <w:jc w:val="center"/>
        <w:rPr>
          <w:rFonts w:ascii="Times New Roman" w:hAnsi="Times New Roman" w:cs="Times New Roman"/>
          <w:b/>
          <w:sz w:val="24"/>
          <w:szCs w:val="24"/>
        </w:rPr>
      </w:pPr>
      <w:r w:rsidRPr="00723AA9">
        <w:rPr>
          <w:rFonts w:ascii="Times New Roman" w:hAnsi="Times New Roman" w:cs="Times New Roman"/>
          <w:b/>
          <w:sz w:val="24"/>
          <w:szCs w:val="24"/>
        </w:rPr>
        <w:t>CAMBIO DE USO DE SUELO AGRÍCOLA EN LA PROVINCIA DE MENDOZA: AVANCES SOBRE LA DINÁMICA HORTÍCOLA Y LAS ESTRATEGIAS DE REPRODUCCIÓN SOCIAL DE SUS AGENTES.</w:t>
      </w:r>
    </w:p>
    <w:p w14:paraId="0E386FE9" w14:textId="77777777" w:rsidR="00A17782" w:rsidRDefault="00A17782" w:rsidP="00A17782">
      <w:pPr>
        <w:spacing w:before="120" w:after="120" w:line="360" w:lineRule="auto"/>
        <w:contextualSpacing/>
        <w:rPr>
          <w:rFonts w:ascii="Times New Roman" w:hAnsi="Times New Roman" w:cs="Times New Roman"/>
          <w:sz w:val="24"/>
          <w:szCs w:val="24"/>
        </w:rPr>
      </w:pPr>
      <w:bookmarkStart w:id="0" w:name="_GoBack"/>
      <w:bookmarkEnd w:id="0"/>
    </w:p>
    <w:p w14:paraId="104F7A14" w14:textId="474CA83F" w:rsidR="00C17483" w:rsidRPr="0064458F" w:rsidRDefault="00C17483" w:rsidP="0064458F">
      <w:pPr>
        <w:spacing w:before="120" w:after="120" w:line="360" w:lineRule="auto"/>
        <w:contextualSpacing/>
        <w:jc w:val="both"/>
        <w:rPr>
          <w:rFonts w:ascii="Times New Roman" w:hAnsi="Times New Roman" w:cs="Times New Roman"/>
          <w:b/>
          <w:sz w:val="24"/>
          <w:szCs w:val="24"/>
        </w:rPr>
      </w:pPr>
      <w:r w:rsidRPr="0064458F">
        <w:rPr>
          <w:rFonts w:ascii="Times New Roman" w:hAnsi="Times New Roman" w:cs="Times New Roman"/>
          <w:b/>
          <w:bCs/>
          <w:sz w:val="24"/>
          <w:szCs w:val="24"/>
        </w:rPr>
        <w:t>Eje temático</w:t>
      </w:r>
      <w:r w:rsidR="00D14834" w:rsidRPr="0064458F">
        <w:rPr>
          <w:rFonts w:ascii="Times New Roman" w:hAnsi="Times New Roman" w:cs="Times New Roman"/>
          <w:b/>
          <w:bCs/>
          <w:sz w:val="24"/>
          <w:szCs w:val="24"/>
        </w:rPr>
        <w:t>:</w:t>
      </w:r>
      <w:r w:rsidRPr="0064458F">
        <w:rPr>
          <w:rFonts w:ascii="Times New Roman" w:hAnsi="Times New Roman" w:cs="Times New Roman"/>
          <w:b/>
          <w:bCs/>
          <w:sz w:val="24"/>
          <w:szCs w:val="24"/>
        </w:rPr>
        <w:t xml:space="preserve"> </w:t>
      </w:r>
      <w:r w:rsidR="00D14834" w:rsidRPr="0064458F">
        <w:rPr>
          <w:rFonts w:ascii="Times New Roman" w:hAnsi="Times New Roman" w:cs="Times New Roman"/>
          <w:sz w:val="24"/>
          <w:szCs w:val="24"/>
        </w:rPr>
        <w:t>3</w:t>
      </w:r>
    </w:p>
    <w:p w14:paraId="540B16F3" w14:textId="090FA2EB" w:rsidR="00B3613A" w:rsidRPr="0064458F" w:rsidRDefault="00D14834" w:rsidP="0064458F">
      <w:pPr>
        <w:spacing w:before="120" w:after="120" w:line="360" w:lineRule="auto"/>
        <w:contextualSpacing/>
        <w:jc w:val="both"/>
        <w:rPr>
          <w:rFonts w:ascii="Times New Roman" w:hAnsi="Times New Roman" w:cs="Times New Roman"/>
          <w:sz w:val="24"/>
          <w:szCs w:val="24"/>
          <w:vertAlign w:val="superscript"/>
        </w:rPr>
      </w:pPr>
      <w:r w:rsidRPr="0064458F">
        <w:rPr>
          <w:rFonts w:ascii="Times New Roman" w:hAnsi="Times New Roman" w:cs="Times New Roman"/>
          <w:b/>
          <w:bCs/>
          <w:sz w:val="24"/>
          <w:szCs w:val="24"/>
        </w:rPr>
        <w:t xml:space="preserve">Autores: </w:t>
      </w:r>
      <w:r w:rsidR="00C45D89" w:rsidRPr="0064458F">
        <w:rPr>
          <w:rFonts w:ascii="Times New Roman" w:hAnsi="Times New Roman" w:cs="Times New Roman"/>
          <w:sz w:val="24"/>
          <w:szCs w:val="24"/>
        </w:rPr>
        <w:t>DALMASSO,</w:t>
      </w:r>
      <w:r w:rsidR="00C17483" w:rsidRPr="0064458F">
        <w:rPr>
          <w:rFonts w:ascii="Times New Roman" w:hAnsi="Times New Roman" w:cs="Times New Roman"/>
          <w:sz w:val="24"/>
          <w:szCs w:val="24"/>
        </w:rPr>
        <w:t xml:space="preserve"> </w:t>
      </w:r>
      <w:r w:rsidR="0002120F" w:rsidRPr="0064458F">
        <w:rPr>
          <w:rFonts w:ascii="Times New Roman" w:hAnsi="Times New Roman" w:cs="Times New Roman"/>
          <w:sz w:val="24"/>
          <w:szCs w:val="24"/>
        </w:rPr>
        <w:t>Caterina</w:t>
      </w:r>
      <w:r w:rsidR="003F1A3B" w:rsidRPr="0064458F">
        <w:rPr>
          <w:rFonts w:ascii="Times New Roman" w:hAnsi="Times New Roman" w:cs="Times New Roman"/>
          <w:sz w:val="24"/>
          <w:szCs w:val="24"/>
          <w:vertAlign w:val="superscript"/>
        </w:rPr>
        <w:t>1</w:t>
      </w:r>
      <w:r w:rsidR="0064458F">
        <w:rPr>
          <w:rFonts w:ascii="Times New Roman" w:hAnsi="Times New Roman" w:cs="Times New Roman"/>
          <w:sz w:val="24"/>
          <w:szCs w:val="24"/>
        </w:rPr>
        <w:t>;</w:t>
      </w:r>
      <w:r w:rsidR="0002120F" w:rsidRPr="0064458F">
        <w:rPr>
          <w:rFonts w:ascii="Times New Roman" w:hAnsi="Times New Roman" w:cs="Times New Roman"/>
          <w:sz w:val="24"/>
          <w:szCs w:val="24"/>
        </w:rPr>
        <w:t xml:space="preserve"> </w:t>
      </w:r>
      <w:r w:rsidR="00C45D89" w:rsidRPr="0064458F">
        <w:rPr>
          <w:rFonts w:ascii="Times New Roman" w:hAnsi="Times New Roman" w:cs="Times New Roman"/>
          <w:sz w:val="24"/>
          <w:szCs w:val="24"/>
        </w:rPr>
        <w:t>ALOY</w:t>
      </w:r>
      <w:r w:rsidR="0002120F" w:rsidRPr="0064458F">
        <w:rPr>
          <w:rFonts w:ascii="Times New Roman" w:hAnsi="Times New Roman" w:cs="Times New Roman"/>
          <w:sz w:val="24"/>
          <w:szCs w:val="24"/>
        </w:rPr>
        <w:t xml:space="preserve"> Gustavo</w:t>
      </w:r>
      <w:r w:rsidR="003F1A3B" w:rsidRPr="0064458F">
        <w:rPr>
          <w:rFonts w:ascii="Times New Roman" w:hAnsi="Times New Roman" w:cs="Times New Roman"/>
          <w:sz w:val="24"/>
          <w:szCs w:val="24"/>
          <w:vertAlign w:val="superscript"/>
        </w:rPr>
        <w:t>2</w:t>
      </w:r>
      <w:r w:rsidR="0064458F">
        <w:rPr>
          <w:rFonts w:ascii="Times New Roman" w:hAnsi="Times New Roman" w:cs="Times New Roman"/>
          <w:sz w:val="24"/>
          <w:szCs w:val="24"/>
        </w:rPr>
        <w:t>;</w:t>
      </w:r>
      <w:r w:rsidR="0002120F" w:rsidRPr="0064458F">
        <w:rPr>
          <w:rFonts w:ascii="Times New Roman" w:hAnsi="Times New Roman" w:cs="Times New Roman"/>
          <w:sz w:val="24"/>
          <w:szCs w:val="24"/>
        </w:rPr>
        <w:t xml:space="preserve"> </w:t>
      </w:r>
      <w:r w:rsidR="00C45D89" w:rsidRPr="0064458F">
        <w:rPr>
          <w:rFonts w:ascii="Times New Roman" w:hAnsi="Times New Roman" w:cs="Times New Roman"/>
          <w:sz w:val="24"/>
          <w:szCs w:val="24"/>
        </w:rPr>
        <w:t xml:space="preserve">VITALE </w:t>
      </w:r>
      <w:r w:rsidR="0002120F" w:rsidRPr="0064458F">
        <w:rPr>
          <w:rFonts w:ascii="Times New Roman" w:hAnsi="Times New Roman" w:cs="Times New Roman"/>
          <w:sz w:val="24"/>
          <w:szCs w:val="24"/>
        </w:rPr>
        <w:t>Javier</w:t>
      </w:r>
      <w:r w:rsidR="003F1A3B" w:rsidRPr="0064458F">
        <w:rPr>
          <w:rFonts w:ascii="Times New Roman" w:hAnsi="Times New Roman" w:cs="Times New Roman"/>
          <w:sz w:val="24"/>
          <w:szCs w:val="24"/>
          <w:vertAlign w:val="superscript"/>
        </w:rPr>
        <w:t>1</w:t>
      </w:r>
    </w:p>
    <w:p w14:paraId="487C3F45" w14:textId="37828C44" w:rsidR="00B3613A" w:rsidRPr="0064458F" w:rsidRDefault="0064458F" w:rsidP="0064458F">
      <w:pPr>
        <w:spacing w:before="120" w:after="120" w:line="360" w:lineRule="auto"/>
        <w:contextualSpacing/>
        <w:jc w:val="both"/>
        <w:rPr>
          <w:rFonts w:ascii="Times New Roman" w:hAnsi="Times New Roman" w:cs="Times New Roman"/>
          <w:sz w:val="24"/>
          <w:szCs w:val="24"/>
        </w:rPr>
      </w:pPr>
      <w:r w:rsidRPr="0064458F">
        <w:rPr>
          <w:rFonts w:ascii="Times New Roman" w:hAnsi="Times New Roman" w:cs="Times New Roman"/>
          <w:b/>
          <w:bCs/>
          <w:sz w:val="24"/>
          <w:szCs w:val="24"/>
        </w:rPr>
        <w:t>Pertenencia institucional:</w:t>
      </w:r>
      <w:r w:rsidRPr="0064458F">
        <w:rPr>
          <w:rFonts w:ascii="Times New Roman" w:hAnsi="Times New Roman" w:cs="Times New Roman"/>
          <w:sz w:val="24"/>
          <w:szCs w:val="24"/>
        </w:rPr>
        <w:t xml:space="preserve"> </w:t>
      </w:r>
      <w:r w:rsidR="003F1A3B" w:rsidRPr="0064458F">
        <w:rPr>
          <w:rFonts w:ascii="Times New Roman" w:hAnsi="Times New Roman" w:cs="Times New Roman"/>
          <w:sz w:val="24"/>
          <w:szCs w:val="24"/>
          <w:vertAlign w:val="superscript"/>
        </w:rPr>
        <w:t>1</w:t>
      </w:r>
      <w:r w:rsidR="00C17483" w:rsidRPr="0064458F">
        <w:rPr>
          <w:rFonts w:ascii="Times New Roman" w:hAnsi="Times New Roman" w:cs="Times New Roman"/>
          <w:sz w:val="24"/>
          <w:szCs w:val="24"/>
        </w:rPr>
        <w:t xml:space="preserve">Centro Regional Mendoza- San Juan-INTA; </w:t>
      </w:r>
      <w:r w:rsidR="003F1A3B" w:rsidRPr="0064458F">
        <w:rPr>
          <w:rFonts w:ascii="Times New Roman" w:hAnsi="Times New Roman" w:cs="Times New Roman"/>
          <w:sz w:val="24"/>
          <w:szCs w:val="24"/>
          <w:vertAlign w:val="superscript"/>
        </w:rPr>
        <w:t>2</w:t>
      </w:r>
      <w:r w:rsidR="00671F50" w:rsidRPr="0064458F">
        <w:rPr>
          <w:rFonts w:ascii="Times New Roman" w:hAnsi="Times New Roman" w:cs="Times New Roman"/>
          <w:sz w:val="24"/>
          <w:szCs w:val="24"/>
        </w:rPr>
        <w:t>F</w:t>
      </w:r>
      <w:r w:rsidR="00C17483" w:rsidRPr="0064458F">
        <w:rPr>
          <w:rFonts w:ascii="Times New Roman" w:hAnsi="Times New Roman" w:cs="Times New Roman"/>
          <w:sz w:val="24"/>
          <w:szCs w:val="24"/>
        </w:rPr>
        <w:t xml:space="preserve">acultad de </w:t>
      </w:r>
      <w:r w:rsidR="003F1A3B" w:rsidRPr="0064458F">
        <w:rPr>
          <w:rFonts w:ascii="Times New Roman" w:hAnsi="Times New Roman" w:cs="Times New Roman"/>
          <w:sz w:val="24"/>
          <w:szCs w:val="24"/>
        </w:rPr>
        <w:t>Filosofía y Letras</w:t>
      </w:r>
      <w:r w:rsidR="00C17483" w:rsidRPr="0064458F">
        <w:rPr>
          <w:rFonts w:ascii="Times New Roman" w:hAnsi="Times New Roman" w:cs="Times New Roman"/>
          <w:sz w:val="24"/>
          <w:szCs w:val="24"/>
        </w:rPr>
        <w:t>-</w:t>
      </w:r>
      <w:r w:rsidR="00671F50" w:rsidRPr="0064458F">
        <w:rPr>
          <w:rFonts w:ascii="Times New Roman" w:hAnsi="Times New Roman" w:cs="Times New Roman"/>
          <w:sz w:val="24"/>
          <w:szCs w:val="24"/>
        </w:rPr>
        <w:t xml:space="preserve">UNCUYO. </w:t>
      </w:r>
    </w:p>
    <w:p w14:paraId="61940F7C" w14:textId="6D46836A" w:rsidR="00671F50" w:rsidRPr="0064458F" w:rsidRDefault="0064458F" w:rsidP="0064458F">
      <w:pPr>
        <w:spacing w:before="120" w:after="120" w:line="360" w:lineRule="auto"/>
        <w:contextualSpacing/>
        <w:jc w:val="both"/>
        <w:rPr>
          <w:rFonts w:ascii="Times New Roman" w:hAnsi="Times New Roman" w:cs="Times New Roman"/>
          <w:sz w:val="24"/>
          <w:szCs w:val="24"/>
        </w:rPr>
      </w:pPr>
      <w:r w:rsidRPr="0064458F">
        <w:rPr>
          <w:rFonts w:ascii="Times New Roman" w:hAnsi="Times New Roman" w:cs="Times New Roman"/>
          <w:b/>
          <w:bCs/>
          <w:sz w:val="24"/>
          <w:szCs w:val="24"/>
        </w:rPr>
        <w:t>Dirección de correo electrónico:</w:t>
      </w:r>
      <w:r w:rsidRPr="0064458F">
        <w:rPr>
          <w:rFonts w:ascii="Times New Roman" w:hAnsi="Times New Roman" w:cs="Times New Roman"/>
          <w:sz w:val="24"/>
          <w:szCs w:val="24"/>
        </w:rPr>
        <w:t xml:space="preserve"> </w:t>
      </w:r>
      <w:hyperlink r:id="rId8" w:history="1">
        <w:r w:rsidRPr="0064458F">
          <w:rPr>
            <w:rStyle w:val="Hipervnculo"/>
            <w:rFonts w:ascii="Times New Roman" w:hAnsi="Times New Roman" w:cs="Times New Roman"/>
            <w:sz w:val="24"/>
            <w:szCs w:val="24"/>
          </w:rPr>
          <w:t>dalmasso.caterina@inta.gob.ar</w:t>
        </w:r>
      </w:hyperlink>
      <w:r w:rsidR="00C17483" w:rsidRPr="0064458F">
        <w:rPr>
          <w:rFonts w:ascii="Times New Roman" w:hAnsi="Times New Roman" w:cs="Times New Roman"/>
          <w:sz w:val="24"/>
          <w:szCs w:val="24"/>
        </w:rPr>
        <w:t>;</w:t>
      </w:r>
      <w:r>
        <w:rPr>
          <w:rFonts w:ascii="Times New Roman" w:hAnsi="Times New Roman" w:cs="Times New Roman"/>
          <w:sz w:val="24"/>
          <w:szCs w:val="24"/>
        </w:rPr>
        <w:t xml:space="preserve"> </w:t>
      </w:r>
      <w:hyperlink r:id="rId9" w:history="1">
        <w:r w:rsidRPr="007564BE">
          <w:rPr>
            <w:rStyle w:val="Hipervnculo"/>
            <w:rFonts w:ascii="Times New Roman" w:hAnsi="Times New Roman" w:cs="Times New Roman"/>
            <w:sz w:val="24"/>
            <w:szCs w:val="24"/>
          </w:rPr>
          <w:t>gustavoaloy72@gmail.com</w:t>
        </w:r>
      </w:hyperlink>
      <w:r w:rsidR="00C45D89" w:rsidRPr="0064458F">
        <w:rPr>
          <w:rFonts w:ascii="Times New Roman" w:hAnsi="Times New Roman" w:cs="Times New Roman"/>
          <w:sz w:val="24"/>
          <w:szCs w:val="24"/>
        </w:rPr>
        <w:t xml:space="preserve">; </w:t>
      </w:r>
      <w:hyperlink r:id="rId10" w:history="1">
        <w:r w:rsidR="00C45D89" w:rsidRPr="0064458F">
          <w:rPr>
            <w:rStyle w:val="Hipervnculo"/>
            <w:rFonts w:ascii="Times New Roman" w:hAnsi="Times New Roman" w:cs="Times New Roman"/>
            <w:sz w:val="24"/>
            <w:szCs w:val="24"/>
          </w:rPr>
          <w:t>vitale.javier@inta.gob.ar</w:t>
        </w:r>
      </w:hyperlink>
      <w:r w:rsidR="00C45D89" w:rsidRPr="0064458F">
        <w:rPr>
          <w:rFonts w:ascii="Times New Roman" w:hAnsi="Times New Roman" w:cs="Times New Roman"/>
          <w:sz w:val="24"/>
          <w:szCs w:val="24"/>
        </w:rPr>
        <w:t xml:space="preserve"> </w:t>
      </w:r>
    </w:p>
    <w:p w14:paraId="0822E496" w14:textId="77777777" w:rsidR="00B3613A" w:rsidRPr="00723AA9" w:rsidRDefault="00B3613A" w:rsidP="00723AA9">
      <w:pPr>
        <w:spacing w:before="120" w:after="120" w:line="360" w:lineRule="auto"/>
        <w:ind w:firstLine="709"/>
        <w:contextualSpacing/>
        <w:rPr>
          <w:rFonts w:ascii="Times New Roman" w:hAnsi="Times New Roman" w:cs="Times New Roman"/>
          <w:sz w:val="24"/>
          <w:szCs w:val="24"/>
        </w:rPr>
      </w:pPr>
    </w:p>
    <w:p w14:paraId="3DA80E7B" w14:textId="77777777" w:rsidR="00671F50" w:rsidRPr="00723AA9" w:rsidRDefault="00671F50" w:rsidP="00723AA9">
      <w:pPr>
        <w:spacing w:before="120" w:after="120" w:line="360" w:lineRule="auto"/>
        <w:ind w:firstLine="709"/>
        <w:contextualSpacing/>
        <w:rPr>
          <w:rFonts w:ascii="Times New Roman" w:hAnsi="Times New Roman" w:cs="Times New Roman"/>
          <w:b/>
          <w:sz w:val="24"/>
          <w:szCs w:val="24"/>
        </w:rPr>
      </w:pPr>
      <w:r w:rsidRPr="00723AA9">
        <w:rPr>
          <w:rFonts w:ascii="Times New Roman" w:hAnsi="Times New Roman" w:cs="Times New Roman"/>
          <w:b/>
          <w:sz w:val="24"/>
          <w:szCs w:val="24"/>
        </w:rPr>
        <w:t xml:space="preserve">RESUMEN: </w:t>
      </w:r>
    </w:p>
    <w:p w14:paraId="7340632A" w14:textId="77777777" w:rsidR="00671F50" w:rsidRPr="00723AA9" w:rsidRDefault="00671F50"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En Mendoza, como en otras regiones del país y del mundo, el proceso de urbanización sobre tierras productivas se ha incrementado en los últimos años, expandiéndose la ciudad sobre los suelos tradicionalmente aptos para la producción. En particular, el oasis norte esto ha tenido esto como correlato la desarticulación el cinturón verde hortícola y la infraestructura de riego asociada, construidos a lo largo de la historia del oasis. </w:t>
      </w:r>
    </w:p>
    <w:p w14:paraId="08294456" w14:textId="77777777" w:rsidR="00671F50" w:rsidRPr="00723AA9" w:rsidRDefault="00462DC5"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Si </w:t>
      </w:r>
      <w:r w:rsidR="00671F50" w:rsidRPr="00723AA9">
        <w:rPr>
          <w:rFonts w:ascii="Times New Roman" w:hAnsi="Times New Roman" w:cs="Times New Roman"/>
          <w:sz w:val="24"/>
          <w:szCs w:val="24"/>
        </w:rPr>
        <w:t xml:space="preserve">bien el fenómeno no ha sido estudiado en profundidad, estudios recientes en base a datos extraídos del CNA 2008, identifican una expansión de explotaciones hacia áreas de frontera agropecuaria, </w:t>
      </w:r>
      <w:r w:rsidR="00CD1377" w:rsidRPr="00723AA9">
        <w:rPr>
          <w:rFonts w:ascii="Times New Roman" w:hAnsi="Times New Roman" w:cs="Times New Roman"/>
          <w:sz w:val="24"/>
          <w:szCs w:val="24"/>
        </w:rPr>
        <w:t xml:space="preserve">que explicarían el mantenimiento de la superficie implantada, pese al avance de la urbanización. </w:t>
      </w:r>
    </w:p>
    <w:p w14:paraId="322F574F" w14:textId="77777777" w:rsidR="00671F50" w:rsidRPr="00723AA9" w:rsidRDefault="00671F50" w:rsidP="001805D2">
      <w:pPr>
        <w:tabs>
          <w:tab w:val="left" w:pos="851"/>
        </w:tabs>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El objetivo del presente trabajo es mostrar los avances de investigación sobre el análisis de las nuevas configuraciones de los espacios rurales y articulación con los espacios urbanos y </w:t>
      </w:r>
      <w:proofErr w:type="gramStart"/>
      <w:r w:rsidRPr="00723AA9">
        <w:rPr>
          <w:rFonts w:ascii="Times New Roman" w:hAnsi="Times New Roman" w:cs="Times New Roman"/>
          <w:sz w:val="24"/>
          <w:szCs w:val="24"/>
        </w:rPr>
        <w:t>peri-urbanos</w:t>
      </w:r>
      <w:proofErr w:type="gramEnd"/>
      <w:r w:rsidRPr="00723AA9">
        <w:rPr>
          <w:rFonts w:ascii="Times New Roman" w:hAnsi="Times New Roman" w:cs="Times New Roman"/>
          <w:sz w:val="24"/>
          <w:szCs w:val="24"/>
        </w:rPr>
        <w:t xml:space="preserve">, como resultado de estrategias de reproducción social de los agricultores. Para ello se analiza la dinámica hortícola reciente del Cinturón Verde mendocino, buscando dar cuenta de procesos de </w:t>
      </w:r>
      <w:r w:rsidRPr="00723AA9">
        <w:rPr>
          <w:rFonts w:ascii="Times New Roman" w:hAnsi="Times New Roman" w:cs="Times New Roman"/>
          <w:i/>
          <w:sz w:val="24"/>
          <w:szCs w:val="24"/>
        </w:rPr>
        <w:t>reconversión</w:t>
      </w:r>
      <w:r w:rsidRPr="00723AA9">
        <w:rPr>
          <w:rFonts w:ascii="Times New Roman" w:hAnsi="Times New Roman" w:cs="Times New Roman"/>
          <w:sz w:val="24"/>
          <w:szCs w:val="24"/>
        </w:rPr>
        <w:t xml:space="preserve"> (hacia la horticultura) o de </w:t>
      </w:r>
      <w:r w:rsidRPr="00723AA9">
        <w:rPr>
          <w:rFonts w:ascii="Times New Roman" w:hAnsi="Times New Roman" w:cs="Times New Roman"/>
          <w:i/>
          <w:sz w:val="24"/>
          <w:szCs w:val="24"/>
        </w:rPr>
        <w:t>relocalización de explotaciones</w:t>
      </w:r>
      <w:r w:rsidRPr="00723AA9">
        <w:rPr>
          <w:rFonts w:ascii="Times New Roman" w:hAnsi="Times New Roman" w:cs="Times New Roman"/>
          <w:sz w:val="24"/>
          <w:szCs w:val="24"/>
        </w:rPr>
        <w:t>. En particular, se aborda el distrito de Fray Luis Beltrán</w:t>
      </w:r>
      <w:r w:rsidR="00462DC5" w:rsidRPr="00723AA9">
        <w:rPr>
          <w:rFonts w:ascii="Times New Roman" w:hAnsi="Times New Roman" w:cs="Times New Roman"/>
          <w:sz w:val="24"/>
          <w:szCs w:val="24"/>
        </w:rPr>
        <w:t xml:space="preserve"> (Maipú, Mendoza)</w:t>
      </w:r>
      <w:r w:rsidRPr="00723AA9">
        <w:rPr>
          <w:rFonts w:ascii="Times New Roman" w:hAnsi="Times New Roman" w:cs="Times New Roman"/>
          <w:sz w:val="24"/>
          <w:szCs w:val="24"/>
        </w:rPr>
        <w:t xml:space="preserve"> como escenario de estas transformaciones. </w:t>
      </w:r>
    </w:p>
    <w:p w14:paraId="5C9D8CF9" w14:textId="77777777" w:rsidR="003A0A8A" w:rsidRPr="00723AA9" w:rsidRDefault="003A0A8A" w:rsidP="00723AA9">
      <w:pPr>
        <w:spacing w:before="120" w:after="120" w:line="360" w:lineRule="auto"/>
        <w:ind w:firstLine="709"/>
        <w:contextualSpacing/>
        <w:rPr>
          <w:rFonts w:ascii="Times New Roman" w:hAnsi="Times New Roman" w:cs="Times New Roman"/>
          <w:sz w:val="24"/>
          <w:szCs w:val="24"/>
        </w:rPr>
      </w:pPr>
    </w:p>
    <w:p w14:paraId="23361343" w14:textId="77777777" w:rsidR="003A0A8A" w:rsidRPr="00723AA9" w:rsidRDefault="003A0A8A" w:rsidP="001805D2">
      <w:pPr>
        <w:pStyle w:val="Prrafodelista"/>
        <w:numPr>
          <w:ilvl w:val="0"/>
          <w:numId w:val="1"/>
        </w:numPr>
        <w:spacing w:before="120" w:after="120" w:line="360" w:lineRule="auto"/>
        <w:ind w:left="0" w:firstLine="567"/>
        <w:jc w:val="both"/>
        <w:rPr>
          <w:rFonts w:ascii="Times New Roman" w:hAnsi="Times New Roman" w:cs="Times New Roman"/>
          <w:b/>
          <w:sz w:val="24"/>
          <w:szCs w:val="24"/>
        </w:rPr>
      </w:pPr>
      <w:r w:rsidRPr="00723AA9">
        <w:rPr>
          <w:rFonts w:ascii="Times New Roman" w:hAnsi="Times New Roman" w:cs="Times New Roman"/>
          <w:b/>
          <w:sz w:val="24"/>
          <w:szCs w:val="24"/>
        </w:rPr>
        <w:t>INTRODUCCIÓN</w:t>
      </w:r>
    </w:p>
    <w:p w14:paraId="1D756646" w14:textId="485F6AC9" w:rsidR="0015520E" w:rsidRPr="000A46E2" w:rsidRDefault="0015520E" w:rsidP="00E85481">
      <w:pPr>
        <w:spacing w:before="120" w:after="120" w:line="360" w:lineRule="auto"/>
        <w:ind w:firstLine="708"/>
        <w:jc w:val="both"/>
        <w:rPr>
          <w:rFonts w:ascii="Times New Roman" w:eastAsia="Times New Roman" w:hAnsi="Times New Roman" w:cs="Times New Roman"/>
          <w:bCs/>
          <w:sz w:val="24"/>
          <w:szCs w:val="24"/>
          <w:lang w:eastAsia="es-ES"/>
        </w:rPr>
      </w:pPr>
      <w:r w:rsidRPr="0015520E">
        <w:rPr>
          <w:rFonts w:ascii="Times New Roman" w:eastAsia="Times New Roman" w:hAnsi="Times New Roman" w:cs="Times New Roman"/>
          <w:bCs/>
          <w:sz w:val="24"/>
          <w:szCs w:val="24"/>
          <w:lang w:eastAsia="es-ES"/>
        </w:rPr>
        <w:t xml:space="preserve">La provincia de Mendoza no ha estado exenta de la tendencia de urbanización a nivel mundial, y en particular, el avance de ésta sobre tierras productivas, provocando </w:t>
      </w:r>
      <w:r w:rsidRPr="0015520E">
        <w:rPr>
          <w:rFonts w:ascii="Times New Roman" w:eastAsia="Times New Roman" w:hAnsi="Times New Roman" w:cs="Times New Roman"/>
          <w:bCs/>
          <w:sz w:val="24"/>
          <w:szCs w:val="24"/>
          <w:lang w:eastAsia="es-ES"/>
        </w:rPr>
        <w:lastRenderedPageBreak/>
        <w:t xml:space="preserve">transformaciones en la estructura social de las áreas agrícolas. </w:t>
      </w:r>
      <w:r w:rsidRPr="0015520E">
        <w:rPr>
          <w:rFonts w:ascii="Times New Roman" w:hAnsi="Times New Roman" w:cs="Times New Roman"/>
          <w:sz w:val="24"/>
          <w:szCs w:val="24"/>
        </w:rPr>
        <w:t>En particular, interesa ahondar en la nueva configuración de los territorios agrícolas de la provincia de Mendoza frente al avance de la urbanización. La provincia posee características físico- ambientales que ponen límite tanto a su crecimiento agrícola como urbano. Sin embargo</w:t>
      </w:r>
      <w:r>
        <w:rPr>
          <w:rFonts w:ascii="Times New Roman" w:hAnsi="Times New Roman" w:cs="Times New Roman"/>
          <w:sz w:val="24"/>
          <w:szCs w:val="24"/>
        </w:rPr>
        <w:t>, pese a</w:t>
      </w:r>
      <w:r w:rsidR="00E85481">
        <w:rPr>
          <w:rFonts w:ascii="Times New Roman" w:hAnsi="Times New Roman" w:cs="Times New Roman"/>
          <w:sz w:val="24"/>
          <w:szCs w:val="24"/>
        </w:rPr>
        <w:t>l crecimiento urbano, la evidencia indica el mantenimiento de la superficie agrícola, e incluso</w:t>
      </w:r>
      <w:r w:rsidRPr="0015520E">
        <w:rPr>
          <w:rFonts w:ascii="Times New Roman" w:eastAsia="Times New Roman" w:hAnsi="Times New Roman" w:cs="Times New Roman"/>
          <w:bCs/>
          <w:sz w:val="24"/>
          <w:szCs w:val="24"/>
          <w:lang w:eastAsia="es-ES"/>
        </w:rPr>
        <w:t xml:space="preserve"> procesos de expansión hortícola </w:t>
      </w:r>
      <w:r w:rsidR="00E85481">
        <w:rPr>
          <w:rFonts w:ascii="Times New Roman" w:eastAsia="Times New Roman" w:hAnsi="Times New Roman" w:cs="Times New Roman"/>
          <w:bCs/>
          <w:sz w:val="24"/>
          <w:szCs w:val="24"/>
          <w:lang w:eastAsia="es-ES"/>
        </w:rPr>
        <w:t>agrícola</w:t>
      </w:r>
      <w:r w:rsidRPr="0015520E">
        <w:rPr>
          <w:rFonts w:ascii="Times New Roman" w:eastAsia="Times New Roman" w:hAnsi="Times New Roman" w:cs="Times New Roman"/>
          <w:bCs/>
          <w:sz w:val="24"/>
          <w:szCs w:val="24"/>
          <w:lang w:eastAsia="es-ES"/>
        </w:rPr>
        <w:t xml:space="preserve"> </w:t>
      </w:r>
      <w:r w:rsidR="00E85481">
        <w:rPr>
          <w:rFonts w:ascii="Times New Roman" w:eastAsia="Times New Roman" w:hAnsi="Times New Roman" w:cs="Times New Roman"/>
          <w:bCs/>
          <w:sz w:val="24"/>
          <w:szCs w:val="24"/>
          <w:lang w:eastAsia="es-ES"/>
        </w:rPr>
        <w:t>propias</w:t>
      </w:r>
      <w:r w:rsidRPr="0015520E">
        <w:rPr>
          <w:rFonts w:ascii="Times New Roman" w:eastAsia="Times New Roman" w:hAnsi="Times New Roman" w:cs="Times New Roman"/>
          <w:bCs/>
          <w:sz w:val="24"/>
          <w:szCs w:val="24"/>
          <w:lang w:eastAsia="es-ES"/>
        </w:rPr>
        <w:t xml:space="preserve"> del cinturón verde de</w:t>
      </w:r>
      <w:r w:rsidR="00E85481">
        <w:rPr>
          <w:rFonts w:ascii="Times New Roman" w:eastAsia="Times New Roman" w:hAnsi="Times New Roman" w:cs="Times New Roman"/>
          <w:bCs/>
          <w:sz w:val="24"/>
          <w:szCs w:val="24"/>
          <w:lang w:eastAsia="es-ES"/>
        </w:rPr>
        <w:t>l Área Metropolitana de Mendoza (</w:t>
      </w:r>
      <w:r w:rsidR="00E85481" w:rsidRPr="000A46E2">
        <w:rPr>
          <w:rFonts w:ascii="Times New Roman" w:eastAsia="Times New Roman" w:hAnsi="Times New Roman" w:cs="Times New Roman"/>
          <w:bCs/>
          <w:sz w:val="24"/>
          <w:szCs w:val="24"/>
          <w:lang w:eastAsia="es-ES"/>
        </w:rPr>
        <w:t>AMM), atribuibles a la “relocalización” de explotaciones hacia áreas de frontera</w:t>
      </w:r>
      <w:r w:rsidRPr="000A46E2">
        <w:rPr>
          <w:rFonts w:ascii="Times New Roman" w:eastAsia="Times New Roman" w:hAnsi="Times New Roman" w:cs="Times New Roman"/>
          <w:bCs/>
          <w:sz w:val="24"/>
          <w:szCs w:val="24"/>
          <w:lang w:eastAsia="es-ES"/>
        </w:rPr>
        <w:t xml:space="preserve">. </w:t>
      </w:r>
    </w:p>
    <w:p w14:paraId="3811DB9C" w14:textId="56099CE4" w:rsidR="0012789C" w:rsidRPr="00723AA9" w:rsidRDefault="0012789C" w:rsidP="00723AA9">
      <w:pPr>
        <w:spacing w:before="120" w:after="120" w:line="360" w:lineRule="auto"/>
        <w:ind w:firstLine="709"/>
        <w:contextualSpacing/>
        <w:jc w:val="both"/>
        <w:rPr>
          <w:rFonts w:ascii="Times New Roman" w:eastAsia="Times New Roman" w:hAnsi="Times New Roman" w:cs="Times New Roman"/>
          <w:bCs/>
          <w:sz w:val="24"/>
          <w:szCs w:val="24"/>
          <w:lang w:eastAsia="es-ES"/>
        </w:rPr>
      </w:pPr>
      <w:r w:rsidRPr="000A46E2">
        <w:rPr>
          <w:rFonts w:ascii="Times New Roman" w:eastAsia="Times New Roman" w:hAnsi="Times New Roman" w:cs="Times New Roman"/>
          <w:bCs/>
          <w:sz w:val="24"/>
          <w:szCs w:val="24"/>
          <w:lang w:eastAsia="es-ES"/>
        </w:rPr>
        <w:t>El cinturón verde se reconfigura a la par del crecimiento de la ciudad</w:t>
      </w:r>
      <w:r w:rsidR="000A46E2">
        <w:rPr>
          <w:rFonts w:ascii="Times New Roman" w:eastAsia="Times New Roman" w:hAnsi="Times New Roman" w:cs="Times New Roman"/>
          <w:bCs/>
          <w:sz w:val="24"/>
          <w:szCs w:val="24"/>
          <w:lang w:eastAsia="es-ES"/>
        </w:rPr>
        <w:t xml:space="preserve"> </w:t>
      </w:r>
      <w:r w:rsidRPr="000A46E2">
        <w:rPr>
          <w:rFonts w:ascii="Times New Roman" w:eastAsia="Times New Roman" w:hAnsi="Times New Roman" w:cs="Times New Roman"/>
          <w:bCs/>
          <w:sz w:val="24"/>
          <w:szCs w:val="24"/>
          <w:lang w:eastAsia="es-ES"/>
        </w:rPr>
        <w:t>mostrando una estructura agraria</w:t>
      </w:r>
      <w:r w:rsidR="000A46E2">
        <w:rPr>
          <w:rFonts w:ascii="Times New Roman" w:eastAsia="Times New Roman" w:hAnsi="Times New Roman" w:cs="Times New Roman"/>
          <w:bCs/>
          <w:sz w:val="24"/>
          <w:szCs w:val="24"/>
          <w:lang w:eastAsia="es-ES"/>
        </w:rPr>
        <w:t>,</w:t>
      </w:r>
      <w:r w:rsidRPr="000A46E2">
        <w:rPr>
          <w:rFonts w:ascii="Times New Roman" w:eastAsia="Times New Roman" w:hAnsi="Times New Roman" w:cs="Times New Roman"/>
          <w:bCs/>
          <w:sz w:val="24"/>
          <w:szCs w:val="24"/>
          <w:lang w:eastAsia="es-ES"/>
        </w:rPr>
        <w:t xml:space="preserve"> </w:t>
      </w:r>
      <w:r w:rsidR="000A46E2" w:rsidRPr="000A46E2">
        <w:rPr>
          <w:rFonts w:ascii="Times New Roman" w:eastAsia="Times New Roman" w:hAnsi="Times New Roman" w:cs="Times New Roman"/>
          <w:bCs/>
          <w:sz w:val="24"/>
          <w:szCs w:val="24"/>
          <w:lang w:eastAsia="es-ES"/>
        </w:rPr>
        <w:t>hasta el año 2008</w:t>
      </w:r>
      <w:r w:rsidR="000A46E2">
        <w:rPr>
          <w:rFonts w:ascii="Times New Roman" w:eastAsia="Times New Roman" w:hAnsi="Times New Roman" w:cs="Times New Roman"/>
          <w:bCs/>
          <w:sz w:val="24"/>
          <w:szCs w:val="24"/>
          <w:lang w:eastAsia="es-ES"/>
        </w:rPr>
        <w:t>,</w:t>
      </w:r>
      <w:r w:rsidR="000A46E2" w:rsidRPr="000A46E2">
        <w:rPr>
          <w:rFonts w:ascii="Times New Roman" w:eastAsia="Times New Roman" w:hAnsi="Times New Roman" w:cs="Times New Roman"/>
          <w:bCs/>
          <w:sz w:val="24"/>
          <w:szCs w:val="24"/>
          <w:lang w:eastAsia="es-ES"/>
        </w:rPr>
        <w:t xml:space="preserve"> </w:t>
      </w:r>
      <w:r w:rsidR="00E85481" w:rsidRPr="000A46E2">
        <w:rPr>
          <w:rFonts w:ascii="Times New Roman" w:eastAsia="Times New Roman" w:hAnsi="Times New Roman" w:cs="Times New Roman"/>
          <w:bCs/>
          <w:sz w:val="24"/>
          <w:szCs w:val="24"/>
          <w:lang w:eastAsia="es-ES"/>
        </w:rPr>
        <w:t>constituida por una</w:t>
      </w:r>
      <w:r w:rsidRPr="000A46E2">
        <w:rPr>
          <w:rFonts w:ascii="Times New Roman" w:eastAsia="Times New Roman" w:hAnsi="Times New Roman" w:cs="Times New Roman"/>
          <w:bCs/>
          <w:sz w:val="24"/>
          <w:szCs w:val="24"/>
          <w:lang w:eastAsia="es-ES"/>
        </w:rPr>
        <w:t xml:space="preserve"> gran proporción de productores de tipo familiar</w:t>
      </w:r>
      <w:r w:rsidR="00E85481" w:rsidRPr="000A46E2">
        <w:rPr>
          <w:rFonts w:ascii="Times New Roman" w:eastAsia="Times New Roman" w:hAnsi="Times New Roman" w:cs="Times New Roman"/>
          <w:bCs/>
          <w:sz w:val="24"/>
          <w:szCs w:val="24"/>
          <w:lang w:eastAsia="es-ES"/>
        </w:rPr>
        <w:t xml:space="preserve">, de </w:t>
      </w:r>
      <w:r w:rsidRPr="000A46E2">
        <w:rPr>
          <w:rFonts w:ascii="Times New Roman" w:eastAsia="Times New Roman" w:hAnsi="Times New Roman" w:cs="Times New Roman"/>
          <w:bCs/>
          <w:sz w:val="24"/>
          <w:szCs w:val="24"/>
          <w:lang w:eastAsia="es-ES"/>
        </w:rPr>
        <w:t xml:space="preserve">origen boliviano; </w:t>
      </w:r>
      <w:r w:rsidR="00E85481" w:rsidRPr="000A46E2">
        <w:rPr>
          <w:rFonts w:ascii="Times New Roman" w:eastAsia="Times New Roman" w:hAnsi="Times New Roman" w:cs="Times New Roman"/>
          <w:bCs/>
          <w:sz w:val="24"/>
          <w:szCs w:val="24"/>
          <w:lang w:eastAsia="es-ES"/>
        </w:rPr>
        <w:t xml:space="preserve">pero atravesado por </w:t>
      </w:r>
      <w:r w:rsidRPr="000A46E2">
        <w:rPr>
          <w:rFonts w:ascii="Times New Roman" w:eastAsia="Times New Roman" w:hAnsi="Times New Roman" w:cs="Times New Roman"/>
          <w:bCs/>
          <w:sz w:val="24"/>
          <w:szCs w:val="24"/>
          <w:lang w:eastAsia="es-ES"/>
        </w:rPr>
        <w:t xml:space="preserve">un aumento de productores capitalizados </w:t>
      </w:r>
      <w:r w:rsidR="00E85481" w:rsidRPr="000A46E2">
        <w:rPr>
          <w:rFonts w:ascii="Times New Roman" w:eastAsia="Times New Roman" w:hAnsi="Times New Roman" w:cs="Times New Roman"/>
          <w:bCs/>
          <w:sz w:val="24"/>
          <w:szCs w:val="24"/>
          <w:lang w:eastAsia="es-ES"/>
        </w:rPr>
        <w:t>-</w:t>
      </w:r>
      <w:r w:rsidRPr="000A46E2">
        <w:rPr>
          <w:rFonts w:ascii="Times New Roman" w:eastAsia="Times New Roman" w:hAnsi="Times New Roman" w:cs="Times New Roman"/>
          <w:bCs/>
          <w:sz w:val="24"/>
          <w:szCs w:val="24"/>
          <w:lang w:eastAsia="es-ES"/>
        </w:rPr>
        <w:t xml:space="preserve">figuras que </w:t>
      </w:r>
      <w:r w:rsidR="00E85481" w:rsidRPr="000A46E2">
        <w:rPr>
          <w:rFonts w:ascii="Times New Roman" w:eastAsia="Times New Roman" w:hAnsi="Times New Roman" w:cs="Times New Roman"/>
          <w:bCs/>
          <w:sz w:val="24"/>
          <w:szCs w:val="24"/>
          <w:lang w:eastAsia="es-ES"/>
        </w:rPr>
        <w:t xml:space="preserve">incorporan </w:t>
      </w:r>
      <w:r w:rsidRPr="000A46E2">
        <w:rPr>
          <w:rFonts w:ascii="Times New Roman" w:eastAsia="Times New Roman" w:hAnsi="Times New Roman" w:cs="Times New Roman"/>
          <w:bCs/>
          <w:sz w:val="24"/>
          <w:szCs w:val="24"/>
          <w:lang w:eastAsia="es-ES"/>
        </w:rPr>
        <w:t>mediería y asalariados</w:t>
      </w:r>
      <w:r w:rsidR="00E85481" w:rsidRPr="000A46E2">
        <w:rPr>
          <w:rFonts w:ascii="Times New Roman" w:eastAsia="Times New Roman" w:hAnsi="Times New Roman" w:cs="Times New Roman"/>
          <w:bCs/>
          <w:sz w:val="24"/>
          <w:szCs w:val="24"/>
          <w:lang w:eastAsia="es-ES"/>
        </w:rPr>
        <w:t>-, concomitantemente a una</w:t>
      </w:r>
      <w:r w:rsidRPr="000A46E2">
        <w:rPr>
          <w:rFonts w:ascii="Times New Roman" w:eastAsia="Times New Roman" w:hAnsi="Times New Roman" w:cs="Times New Roman"/>
          <w:bCs/>
          <w:sz w:val="24"/>
          <w:szCs w:val="24"/>
          <w:lang w:eastAsia="es-ES"/>
        </w:rPr>
        <w:t xml:space="preserve"> </w:t>
      </w:r>
      <w:r w:rsidR="00E85481" w:rsidRPr="000A46E2">
        <w:rPr>
          <w:rFonts w:ascii="Times New Roman" w:eastAsia="Times New Roman" w:hAnsi="Times New Roman" w:cs="Times New Roman"/>
          <w:bCs/>
          <w:sz w:val="24"/>
          <w:szCs w:val="24"/>
          <w:lang w:eastAsia="es-ES"/>
        </w:rPr>
        <w:t>disminución</w:t>
      </w:r>
      <w:r w:rsidRPr="000A46E2">
        <w:rPr>
          <w:rFonts w:ascii="Times New Roman" w:eastAsia="Times New Roman" w:hAnsi="Times New Roman" w:cs="Times New Roman"/>
          <w:bCs/>
          <w:sz w:val="24"/>
          <w:szCs w:val="24"/>
          <w:lang w:eastAsia="es-ES"/>
        </w:rPr>
        <w:t xml:space="preserve"> de explotaciones pequeñas y aumento de </w:t>
      </w:r>
      <w:r w:rsidR="00E85481" w:rsidRPr="000A46E2">
        <w:rPr>
          <w:rFonts w:ascii="Times New Roman" w:eastAsia="Times New Roman" w:hAnsi="Times New Roman" w:cs="Times New Roman"/>
          <w:bCs/>
          <w:sz w:val="24"/>
          <w:szCs w:val="24"/>
          <w:lang w:eastAsia="es-ES"/>
        </w:rPr>
        <w:t>aquellas que poseen más de 100 ha (Muy</w:t>
      </w:r>
      <w:r w:rsidRPr="000A46E2">
        <w:rPr>
          <w:rFonts w:ascii="Times New Roman" w:eastAsia="Times New Roman" w:hAnsi="Times New Roman" w:cs="Times New Roman"/>
          <w:bCs/>
          <w:sz w:val="24"/>
          <w:szCs w:val="24"/>
          <w:lang w:eastAsia="es-ES"/>
        </w:rPr>
        <w:t xml:space="preserve"> grandes</w:t>
      </w:r>
      <w:r w:rsidR="00E85481" w:rsidRPr="000A46E2">
        <w:rPr>
          <w:rFonts w:ascii="Times New Roman" w:eastAsia="Times New Roman" w:hAnsi="Times New Roman" w:cs="Times New Roman"/>
          <w:bCs/>
          <w:sz w:val="24"/>
          <w:szCs w:val="24"/>
          <w:lang w:eastAsia="es-ES"/>
        </w:rPr>
        <w:t>)</w:t>
      </w:r>
      <w:r w:rsidRPr="000A46E2">
        <w:rPr>
          <w:rFonts w:ascii="Times New Roman" w:eastAsia="Times New Roman" w:hAnsi="Times New Roman" w:cs="Times New Roman"/>
          <w:bCs/>
          <w:sz w:val="24"/>
          <w:szCs w:val="24"/>
          <w:lang w:eastAsia="es-ES"/>
        </w:rPr>
        <w:t xml:space="preserve">. </w:t>
      </w:r>
    </w:p>
    <w:p w14:paraId="6C912EC6" w14:textId="03790B9E" w:rsidR="0012789C" w:rsidRPr="00723AA9" w:rsidRDefault="0012789C"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Las explicaciones sobre esta dinámica </w:t>
      </w:r>
      <w:r w:rsidR="00723AA9" w:rsidRPr="00723AA9">
        <w:rPr>
          <w:rFonts w:ascii="Times New Roman" w:hAnsi="Times New Roman" w:cs="Times New Roman"/>
          <w:sz w:val="24"/>
          <w:szCs w:val="24"/>
        </w:rPr>
        <w:t>aún</w:t>
      </w:r>
      <w:r w:rsidRPr="00723AA9">
        <w:rPr>
          <w:rFonts w:ascii="Times New Roman" w:hAnsi="Times New Roman" w:cs="Times New Roman"/>
          <w:sz w:val="24"/>
          <w:szCs w:val="24"/>
        </w:rPr>
        <w:t xml:space="preserve"> son una vacancia y generalmente se preocupa por los procesos de </w:t>
      </w:r>
      <w:r w:rsidRPr="00723AA9">
        <w:rPr>
          <w:rFonts w:ascii="Times New Roman" w:hAnsi="Times New Roman" w:cs="Times New Roman"/>
          <w:i/>
          <w:sz w:val="24"/>
          <w:szCs w:val="24"/>
        </w:rPr>
        <w:t>concentración agrícola</w:t>
      </w:r>
      <w:r w:rsidRPr="00723AA9">
        <w:rPr>
          <w:rFonts w:ascii="Times New Roman" w:hAnsi="Times New Roman" w:cs="Times New Roman"/>
          <w:sz w:val="24"/>
          <w:szCs w:val="24"/>
        </w:rPr>
        <w:t xml:space="preserve">. No obstante, es factible </w:t>
      </w:r>
      <w:r w:rsidR="00723AA9" w:rsidRPr="00723AA9">
        <w:rPr>
          <w:rFonts w:ascii="Times New Roman" w:hAnsi="Times New Roman" w:cs="Times New Roman"/>
          <w:sz w:val="24"/>
          <w:szCs w:val="24"/>
        </w:rPr>
        <w:t>que,</w:t>
      </w:r>
      <w:r w:rsidRPr="00723AA9">
        <w:rPr>
          <w:rFonts w:ascii="Times New Roman" w:hAnsi="Times New Roman" w:cs="Times New Roman"/>
          <w:sz w:val="24"/>
          <w:szCs w:val="24"/>
        </w:rPr>
        <w:t xml:space="preserve"> si la urbanización avanza sobre tierra productiva, las áreas agrícolas crecen en otros lugares, se “relocali</w:t>
      </w:r>
      <w:r w:rsidR="000A46E2">
        <w:rPr>
          <w:rFonts w:ascii="Times New Roman" w:hAnsi="Times New Roman" w:cs="Times New Roman"/>
          <w:sz w:val="24"/>
          <w:szCs w:val="24"/>
        </w:rPr>
        <w:t>ce</w:t>
      </w:r>
      <w:r w:rsidRPr="00723AA9">
        <w:rPr>
          <w:rFonts w:ascii="Times New Roman" w:hAnsi="Times New Roman" w:cs="Times New Roman"/>
          <w:sz w:val="24"/>
          <w:szCs w:val="24"/>
        </w:rPr>
        <w:t xml:space="preserve">n” o se ponen en producción áreas no explotadas previamente, o en su defecto, desaparecen definitivamente. </w:t>
      </w:r>
    </w:p>
    <w:p w14:paraId="27584733" w14:textId="16AAB141" w:rsidR="0012789C" w:rsidRPr="00723AA9" w:rsidRDefault="0012789C"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El presente trabajo </w:t>
      </w:r>
      <w:r w:rsidR="000A46E2">
        <w:rPr>
          <w:rFonts w:ascii="Times New Roman" w:hAnsi="Times New Roman" w:cs="Times New Roman"/>
          <w:sz w:val="24"/>
          <w:szCs w:val="24"/>
        </w:rPr>
        <w:t>expone</w:t>
      </w:r>
      <w:r w:rsidRPr="00723AA9">
        <w:rPr>
          <w:rFonts w:ascii="Times New Roman" w:hAnsi="Times New Roman" w:cs="Times New Roman"/>
          <w:sz w:val="24"/>
          <w:szCs w:val="24"/>
        </w:rPr>
        <w:t xml:space="preserve"> avances de investigación sobre el estudio de la posible relocalización de explotaciones de áreas agrícolas cercanas al Área Metropolitana de Mendoza, hacia zonas de borde del oasis</w:t>
      </w:r>
      <w:r w:rsidR="000A46E2">
        <w:rPr>
          <w:rFonts w:ascii="Times New Roman" w:hAnsi="Times New Roman" w:cs="Times New Roman"/>
          <w:sz w:val="24"/>
          <w:szCs w:val="24"/>
        </w:rPr>
        <w:t xml:space="preserve"> que expliquen el mantenimiento de la superficie</w:t>
      </w:r>
      <w:r w:rsidRPr="00723AA9">
        <w:rPr>
          <w:rFonts w:ascii="Times New Roman" w:hAnsi="Times New Roman" w:cs="Times New Roman"/>
          <w:sz w:val="24"/>
          <w:szCs w:val="24"/>
        </w:rPr>
        <w:t xml:space="preserve">. Particularmente, se analiza la dinámica hortícola del departamento de Maipú, fundamentalmente el distrito de Fray Luis Beltrán, el cual presenta algunos indicios de procesos expansivos de superficie y cambio de uso de suelo agrícola. </w:t>
      </w:r>
    </w:p>
    <w:p w14:paraId="27F96C85" w14:textId="2D5EB88C" w:rsidR="00FA3037" w:rsidRDefault="00146327" w:rsidP="00723AA9">
      <w:pPr>
        <w:spacing w:before="120" w:after="120" w:line="360" w:lineRule="auto"/>
        <w:ind w:firstLine="709"/>
        <w:contextualSpacing/>
        <w:jc w:val="both"/>
        <w:rPr>
          <w:rFonts w:ascii="Times New Roman" w:eastAsia="Times New Roman" w:hAnsi="Times New Roman" w:cs="Times New Roman"/>
          <w:bCs/>
          <w:sz w:val="24"/>
          <w:szCs w:val="24"/>
          <w:lang w:eastAsia="es-ES"/>
        </w:rPr>
      </w:pPr>
      <w:r w:rsidRPr="00723AA9">
        <w:rPr>
          <w:rFonts w:ascii="Times New Roman" w:eastAsia="Times New Roman" w:hAnsi="Times New Roman" w:cs="Times New Roman"/>
          <w:bCs/>
          <w:sz w:val="24"/>
          <w:szCs w:val="24"/>
          <w:lang w:eastAsia="es-ES"/>
        </w:rPr>
        <w:t>Con ello, se pretende contribuir a</w:t>
      </w:r>
      <w:r w:rsidR="00FA3037" w:rsidRPr="00723AA9">
        <w:rPr>
          <w:rFonts w:ascii="Times New Roman" w:eastAsia="Times New Roman" w:hAnsi="Times New Roman" w:cs="Times New Roman"/>
          <w:bCs/>
          <w:sz w:val="24"/>
          <w:szCs w:val="24"/>
          <w:lang w:eastAsia="es-ES"/>
        </w:rPr>
        <w:t xml:space="preserve"> saldar la vacancia explicativa del proceso de transformación de las áreas hortícolas en Mendoza respecto a la influencia de la urbanización y a las características socio-productivas de los agentes involucrados, brindar conocimientos empíricos que contribuyan a la </w:t>
      </w:r>
      <w:proofErr w:type="gramStart"/>
      <w:r w:rsidR="00FA3037" w:rsidRPr="00723AA9">
        <w:rPr>
          <w:rFonts w:ascii="Times New Roman" w:eastAsia="Times New Roman" w:hAnsi="Times New Roman" w:cs="Times New Roman"/>
          <w:bCs/>
          <w:sz w:val="24"/>
          <w:szCs w:val="24"/>
          <w:lang w:eastAsia="es-ES"/>
        </w:rPr>
        <w:t>re-definición</w:t>
      </w:r>
      <w:proofErr w:type="gramEnd"/>
      <w:r w:rsidR="00FA3037" w:rsidRPr="00723AA9">
        <w:rPr>
          <w:rFonts w:ascii="Times New Roman" w:eastAsia="Times New Roman" w:hAnsi="Times New Roman" w:cs="Times New Roman"/>
          <w:bCs/>
          <w:sz w:val="24"/>
          <w:szCs w:val="24"/>
          <w:lang w:eastAsia="es-ES"/>
        </w:rPr>
        <w:t xml:space="preserve"> de los procesos de interfaz urbano-rural</w:t>
      </w:r>
      <w:r w:rsidR="000A46E2">
        <w:rPr>
          <w:rFonts w:ascii="Times New Roman" w:eastAsia="Times New Roman" w:hAnsi="Times New Roman" w:cs="Times New Roman"/>
          <w:bCs/>
          <w:sz w:val="24"/>
          <w:szCs w:val="24"/>
          <w:lang w:eastAsia="es-ES"/>
        </w:rPr>
        <w:t>,</w:t>
      </w:r>
      <w:r w:rsidR="00FA3037" w:rsidRPr="00723AA9">
        <w:rPr>
          <w:rFonts w:ascii="Times New Roman" w:eastAsia="Times New Roman" w:hAnsi="Times New Roman" w:cs="Times New Roman"/>
          <w:bCs/>
          <w:sz w:val="24"/>
          <w:szCs w:val="24"/>
          <w:lang w:eastAsia="es-ES"/>
        </w:rPr>
        <w:t xml:space="preserve"> y avanzar en estudios sobre el sector hortícola mendocino, el cual ha sido poco explorado desde la perspectiva sociológica. </w:t>
      </w:r>
    </w:p>
    <w:p w14:paraId="36CB9B43" w14:textId="77777777" w:rsidR="00723AA9" w:rsidRPr="00723AA9" w:rsidRDefault="00723AA9" w:rsidP="00723AA9">
      <w:pPr>
        <w:spacing w:before="120" w:after="120" w:line="360" w:lineRule="auto"/>
        <w:ind w:firstLine="709"/>
        <w:contextualSpacing/>
        <w:jc w:val="both"/>
        <w:rPr>
          <w:rFonts w:ascii="Times New Roman" w:eastAsia="Times New Roman" w:hAnsi="Times New Roman" w:cs="Times New Roman"/>
          <w:bCs/>
          <w:sz w:val="24"/>
          <w:szCs w:val="24"/>
          <w:lang w:eastAsia="es-ES"/>
        </w:rPr>
      </w:pPr>
    </w:p>
    <w:p w14:paraId="77FB4188" w14:textId="00B02D1F" w:rsidR="00CA15CE" w:rsidRPr="00723AA9" w:rsidRDefault="00CA15CE" w:rsidP="001805D2">
      <w:pPr>
        <w:pStyle w:val="Prrafodelista"/>
        <w:numPr>
          <w:ilvl w:val="0"/>
          <w:numId w:val="1"/>
        </w:numPr>
        <w:spacing w:before="120" w:after="120" w:line="360" w:lineRule="auto"/>
        <w:ind w:left="0" w:firstLine="567"/>
        <w:jc w:val="both"/>
        <w:rPr>
          <w:rFonts w:ascii="Times New Roman" w:hAnsi="Times New Roman" w:cs="Times New Roman"/>
          <w:b/>
          <w:sz w:val="24"/>
          <w:szCs w:val="24"/>
        </w:rPr>
      </w:pPr>
      <w:r w:rsidRPr="00723AA9">
        <w:rPr>
          <w:rFonts w:ascii="Times New Roman" w:hAnsi="Times New Roman" w:cs="Times New Roman"/>
          <w:b/>
          <w:sz w:val="24"/>
          <w:szCs w:val="24"/>
        </w:rPr>
        <w:t>MARCO CONCEPTUAL</w:t>
      </w:r>
    </w:p>
    <w:p w14:paraId="5D0852FE" w14:textId="27C58BB1" w:rsidR="00AF48E7" w:rsidRPr="00723AA9" w:rsidRDefault="00975FFC"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lastRenderedPageBreak/>
        <w:t>Las transformaciones recientes de los espacios rurales han sido ampliamente estudiadas en los ámbitos académicos</w:t>
      </w:r>
      <w:r w:rsidR="00AF48E7" w:rsidRPr="00723AA9">
        <w:rPr>
          <w:rFonts w:ascii="Times New Roman" w:hAnsi="Times New Roman" w:cs="Times New Roman"/>
          <w:sz w:val="24"/>
          <w:szCs w:val="24"/>
        </w:rPr>
        <w:t xml:space="preserve">, pues éstas implican cambios en los usos del suelo, tales como el proceso de </w:t>
      </w:r>
      <w:proofErr w:type="spellStart"/>
      <w:r w:rsidR="00AF48E7" w:rsidRPr="00723AA9">
        <w:rPr>
          <w:rFonts w:ascii="Times New Roman" w:hAnsi="Times New Roman" w:cs="Times New Roman"/>
          <w:i/>
          <w:sz w:val="24"/>
          <w:szCs w:val="24"/>
        </w:rPr>
        <w:t>agriculturización</w:t>
      </w:r>
      <w:proofErr w:type="spellEnd"/>
      <w:r w:rsidR="00AF48E7" w:rsidRPr="00723AA9">
        <w:rPr>
          <w:rFonts w:ascii="Times New Roman" w:hAnsi="Times New Roman" w:cs="Times New Roman"/>
          <w:sz w:val="24"/>
          <w:szCs w:val="24"/>
        </w:rPr>
        <w:t xml:space="preserve"> o los </w:t>
      </w:r>
      <w:r w:rsidR="00AF48E7" w:rsidRPr="00723AA9">
        <w:rPr>
          <w:rFonts w:ascii="Times New Roman" w:hAnsi="Times New Roman" w:cs="Times New Roman"/>
          <w:i/>
          <w:sz w:val="24"/>
          <w:szCs w:val="24"/>
        </w:rPr>
        <w:t>procesos de urbanización</w:t>
      </w:r>
      <w:r w:rsidR="00AF48E7" w:rsidRPr="00723AA9">
        <w:rPr>
          <w:rFonts w:ascii="Times New Roman" w:hAnsi="Times New Roman" w:cs="Times New Roman"/>
          <w:sz w:val="24"/>
          <w:szCs w:val="24"/>
        </w:rPr>
        <w:t xml:space="preserve"> que indefectiblemente dejan ganadores y perdedores, e incluso </w:t>
      </w:r>
      <w:r w:rsidR="0038761D" w:rsidRPr="00723AA9">
        <w:rPr>
          <w:rFonts w:ascii="Times New Roman" w:hAnsi="Times New Roman" w:cs="Times New Roman"/>
          <w:sz w:val="24"/>
          <w:szCs w:val="24"/>
        </w:rPr>
        <w:t>el desplazamiento</w:t>
      </w:r>
      <w:r w:rsidR="00AF48E7" w:rsidRPr="00723AA9">
        <w:rPr>
          <w:rFonts w:ascii="Times New Roman" w:hAnsi="Times New Roman" w:cs="Times New Roman"/>
          <w:sz w:val="24"/>
          <w:szCs w:val="24"/>
        </w:rPr>
        <w:t xml:space="preserve"> de sujetos agrarios.</w:t>
      </w:r>
    </w:p>
    <w:p w14:paraId="74E58004" w14:textId="77777777" w:rsidR="0038761D" w:rsidRPr="00723AA9" w:rsidRDefault="0038761D"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La emergencia de los renovados debates sobre los espacios de interfaz urbano-rural y los </w:t>
      </w:r>
      <w:r w:rsidRPr="00723AA9">
        <w:rPr>
          <w:rFonts w:ascii="Times New Roman" w:hAnsi="Times New Roman" w:cs="Times New Roman"/>
          <w:b/>
          <w:sz w:val="24"/>
          <w:szCs w:val="24"/>
        </w:rPr>
        <w:t>periurbanos</w:t>
      </w:r>
      <w:r w:rsidRPr="00723AA9">
        <w:rPr>
          <w:rFonts w:ascii="Times New Roman" w:hAnsi="Times New Roman" w:cs="Times New Roman"/>
          <w:sz w:val="24"/>
          <w:szCs w:val="24"/>
        </w:rPr>
        <w:t xml:space="preserve"> surgen de los grandes procesos globales de urbanización que ponen en cuestión la sustentabilidad de los espacios agrícolas como parte de servicios ecosistémicos y, sobre todo, como abastecedores de alimentos a las ciudades. </w:t>
      </w:r>
    </w:p>
    <w:p w14:paraId="60CCA1F7" w14:textId="709A07F1" w:rsidR="0038761D" w:rsidRPr="00723AA9" w:rsidRDefault="0038761D"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La </w:t>
      </w:r>
      <w:r w:rsidR="00DC31D2" w:rsidRPr="00723AA9">
        <w:rPr>
          <w:rFonts w:ascii="Times New Roman" w:hAnsi="Times New Roman" w:cs="Times New Roman"/>
          <w:sz w:val="24"/>
          <w:szCs w:val="24"/>
        </w:rPr>
        <w:t xml:space="preserve">mirada hacia </w:t>
      </w:r>
      <w:r w:rsidRPr="00723AA9">
        <w:rPr>
          <w:rFonts w:ascii="Times New Roman" w:hAnsi="Times New Roman" w:cs="Times New Roman"/>
          <w:sz w:val="24"/>
          <w:szCs w:val="24"/>
        </w:rPr>
        <w:t xml:space="preserve">los cinturones verdes o cinturones hortícolas adquirió notoria relevancia en el </w:t>
      </w:r>
      <w:r w:rsidR="003D2B8F" w:rsidRPr="00723AA9">
        <w:rPr>
          <w:rFonts w:ascii="Times New Roman" w:hAnsi="Times New Roman" w:cs="Times New Roman"/>
          <w:sz w:val="24"/>
          <w:szCs w:val="24"/>
        </w:rPr>
        <w:t xml:space="preserve">ámbito </w:t>
      </w:r>
      <w:r w:rsidRPr="00723AA9">
        <w:rPr>
          <w:rFonts w:ascii="Times New Roman" w:hAnsi="Times New Roman" w:cs="Times New Roman"/>
          <w:sz w:val="24"/>
          <w:szCs w:val="24"/>
        </w:rPr>
        <w:t>académicos y científico</w:t>
      </w:r>
      <w:r w:rsidR="003D2B8F" w:rsidRPr="00723AA9">
        <w:rPr>
          <w:rFonts w:ascii="Times New Roman" w:hAnsi="Times New Roman" w:cs="Times New Roman"/>
          <w:sz w:val="24"/>
          <w:szCs w:val="24"/>
        </w:rPr>
        <w:t>-</w:t>
      </w:r>
      <w:r w:rsidRPr="00723AA9">
        <w:rPr>
          <w:rFonts w:ascii="Times New Roman" w:hAnsi="Times New Roman" w:cs="Times New Roman"/>
          <w:sz w:val="24"/>
          <w:szCs w:val="24"/>
        </w:rPr>
        <w:t xml:space="preserve">tecnológico por sus particularidades, tanto desde el punto de vista tecnológico como </w:t>
      </w:r>
      <w:r w:rsidR="003D2B8F" w:rsidRPr="00723AA9">
        <w:rPr>
          <w:rFonts w:ascii="Times New Roman" w:hAnsi="Times New Roman" w:cs="Times New Roman"/>
          <w:sz w:val="24"/>
          <w:szCs w:val="24"/>
        </w:rPr>
        <w:t>social y espacial</w:t>
      </w:r>
      <w:r w:rsidRPr="00723AA9">
        <w:rPr>
          <w:rFonts w:ascii="Times New Roman" w:hAnsi="Times New Roman" w:cs="Times New Roman"/>
          <w:sz w:val="24"/>
          <w:szCs w:val="24"/>
        </w:rPr>
        <w:t xml:space="preserve">. </w:t>
      </w:r>
      <w:r w:rsidR="00DC31D2" w:rsidRPr="00723AA9">
        <w:rPr>
          <w:rFonts w:ascii="Times New Roman" w:hAnsi="Times New Roman" w:cs="Times New Roman"/>
          <w:sz w:val="24"/>
          <w:szCs w:val="24"/>
        </w:rPr>
        <w:t>La agricultura intensiva de pequeña escala, cuya proximidad otorga su valor fundamental (Ávila Sánchez, H., 2001, Barsky, 2012), que incluso</w:t>
      </w:r>
      <w:r w:rsidR="003D2B8F" w:rsidRPr="00723AA9">
        <w:rPr>
          <w:rFonts w:ascii="Times New Roman" w:hAnsi="Times New Roman" w:cs="Times New Roman"/>
          <w:sz w:val="24"/>
          <w:szCs w:val="24"/>
        </w:rPr>
        <w:t xml:space="preserve"> </w:t>
      </w:r>
      <w:r w:rsidR="00DC31D2" w:rsidRPr="00723AA9">
        <w:rPr>
          <w:rFonts w:ascii="Times New Roman" w:hAnsi="Times New Roman" w:cs="Times New Roman"/>
          <w:sz w:val="24"/>
          <w:szCs w:val="24"/>
        </w:rPr>
        <w:t xml:space="preserve">en el caso </w:t>
      </w:r>
      <w:r w:rsidR="003D2B8F" w:rsidRPr="00723AA9">
        <w:rPr>
          <w:rFonts w:ascii="Times New Roman" w:hAnsi="Times New Roman" w:cs="Times New Roman"/>
          <w:sz w:val="24"/>
          <w:szCs w:val="24"/>
        </w:rPr>
        <w:t>de La Plata</w:t>
      </w:r>
      <w:r w:rsidR="00DC31D2" w:rsidRPr="00723AA9">
        <w:rPr>
          <w:rFonts w:ascii="Times New Roman" w:hAnsi="Times New Roman" w:cs="Times New Roman"/>
          <w:sz w:val="24"/>
          <w:szCs w:val="24"/>
        </w:rPr>
        <w:t xml:space="preserve">, ha compensado sus pérdidas de tierras productivas a través de avances sobre la productividad de la superficie mediante cultivos bajo cubierta (García y </w:t>
      </w:r>
      <w:proofErr w:type="spellStart"/>
      <w:r w:rsidR="00DC31D2" w:rsidRPr="00723AA9">
        <w:rPr>
          <w:rFonts w:ascii="Times New Roman" w:hAnsi="Times New Roman" w:cs="Times New Roman"/>
          <w:sz w:val="24"/>
          <w:szCs w:val="24"/>
        </w:rPr>
        <w:t>Kevat</w:t>
      </w:r>
      <w:proofErr w:type="spellEnd"/>
      <w:r w:rsidR="00DC31D2" w:rsidRPr="00723AA9">
        <w:rPr>
          <w:rFonts w:ascii="Times New Roman" w:hAnsi="Times New Roman" w:cs="Times New Roman"/>
          <w:sz w:val="24"/>
          <w:szCs w:val="24"/>
        </w:rPr>
        <w:t>, 2008).</w:t>
      </w:r>
    </w:p>
    <w:p w14:paraId="701A57FA" w14:textId="68222EC7" w:rsidR="000436D5" w:rsidRPr="00723AA9" w:rsidRDefault="003D2B8F"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Desde el punto de vista sociológico, los cinturones verdes en diferentes puntos del país fueron protagonistas </w:t>
      </w:r>
      <w:r w:rsidR="006B5FD1">
        <w:rPr>
          <w:rFonts w:ascii="Times New Roman" w:hAnsi="Times New Roman" w:cs="Times New Roman"/>
          <w:sz w:val="24"/>
          <w:szCs w:val="24"/>
        </w:rPr>
        <w:t xml:space="preserve">de procesos como </w:t>
      </w:r>
      <w:r w:rsidR="000436D5" w:rsidRPr="00723AA9">
        <w:rPr>
          <w:rFonts w:ascii="Times New Roman" w:hAnsi="Times New Roman" w:cs="Times New Roman"/>
          <w:sz w:val="24"/>
          <w:szCs w:val="24"/>
        </w:rPr>
        <w:t xml:space="preserve">la modernización tecnológica de la horticultura platense, el alcance territorial de la migración boliviana y </w:t>
      </w:r>
      <w:r w:rsidR="00306817" w:rsidRPr="00723AA9">
        <w:rPr>
          <w:rFonts w:ascii="Times New Roman" w:hAnsi="Times New Roman" w:cs="Times New Roman"/>
          <w:sz w:val="24"/>
          <w:szCs w:val="24"/>
        </w:rPr>
        <w:t xml:space="preserve">sus </w:t>
      </w:r>
      <w:r w:rsidR="000436D5" w:rsidRPr="00723AA9">
        <w:rPr>
          <w:rFonts w:ascii="Times New Roman" w:hAnsi="Times New Roman" w:cs="Times New Roman"/>
          <w:sz w:val="24"/>
          <w:szCs w:val="24"/>
        </w:rPr>
        <w:t xml:space="preserve">procesos de movilidad social </w:t>
      </w:r>
      <w:r w:rsidR="000C3FCA" w:rsidRPr="00723AA9">
        <w:rPr>
          <w:rFonts w:ascii="Times New Roman" w:hAnsi="Times New Roman" w:cs="Times New Roman"/>
          <w:sz w:val="24"/>
          <w:szCs w:val="24"/>
        </w:rPr>
        <w:t>(</w:t>
      </w:r>
      <w:r w:rsidR="006B5FD1">
        <w:rPr>
          <w:rFonts w:ascii="Times New Roman" w:hAnsi="Times New Roman" w:cs="Times New Roman"/>
          <w:sz w:val="24"/>
          <w:szCs w:val="24"/>
        </w:rPr>
        <w:t xml:space="preserve">García, 2007; </w:t>
      </w:r>
      <w:proofErr w:type="spellStart"/>
      <w:r w:rsidR="006B5FD1" w:rsidRPr="00723AA9">
        <w:rPr>
          <w:rFonts w:ascii="Times New Roman" w:hAnsi="Times New Roman" w:cs="Times New Roman"/>
          <w:sz w:val="24"/>
          <w:szCs w:val="24"/>
        </w:rPr>
        <w:t>Benencia</w:t>
      </w:r>
      <w:proofErr w:type="spellEnd"/>
      <w:r w:rsidR="006B5FD1" w:rsidRPr="00723AA9">
        <w:rPr>
          <w:rFonts w:ascii="Times New Roman" w:hAnsi="Times New Roman" w:cs="Times New Roman"/>
          <w:sz w:val="24"/>
          <w:szCs w:val="24"/>
        </w:rPr>
        <w:t>,</w:t>
      </w:r>
      <w:r w:rsidR="006B5FD1">
        <w:rPr>
          <w:rFonts w:ascii="Times New Roman" w:hAnsi="Times New Roman" w:cs="Times New Roman"/>
          <w:sz w:val="24"/>
          <w:szCs w:val="24"/>
        </w:rPr>
        <w:t xml:space="preserve"> 2005;</w:t>
      </w:r>
      <w:r w:rsidR="006B5FD1" w:rsidRPr="00723AA9">
        <w:rPr>
          <w:rFonts w:ascii="Times New Roman" w:hAnsi="Times New Roman" w:cs="Times New Roman"/>
          <w:sz w:val="24"/>
          <w:szCs w:val="24"/>
        </w:rPr>
        <w:t xml:space="preserve"> Ataide,</w:t>
      </w:r>
      <w:r w:rsidR="006B5FD1">
        <w:rPr>
          <w:rFonts w:ascii="Times New Roman" w:hAnsi="Times New Roman" w:cs="Times New Roman"/>
          <w:sz w:val="24"/>
          <w:szCs w:val="24"/>
        </w:rPr>
        <w:t xml:space="preserve"> 2018;</w:t>
      </w:r>
      <w:r w:rsidR="006B5FD1" w:rsidRPr="00723AA9">
        <w:rPr>
          <w:rFonts w:ascii="Times New Roman" w:hAnsi="Times New Roman" w:cs="Times New Roman"/>
          <w:sz w:val="24"/>
          <w:szCs w:val="24"/>
        </w:rPr>
        <w:t xml:space="preserve"> Rivero Sierra</w:t>
      </w:r>
      <w:r w:rsidR="006B5FD1">
        <w:rPr>
          <w:rFonts w:ascii="Times New Roman" w:hAnsi="Times New Roman" w:cs="Times New Roman"/>
          <w:sz w:val="24"/>
          <w:szCs w:val="24"/>
        </w:rPr>
        <w:t xml:space="preserve"> y Álamo, 2017, </w:t>
      </w:r>
      <w:proofErr w:type="spellStart"/>
      <w:r w:rsidR="000C3FCA" w:rsidRPr="00723AA9">
        <w:rPr>
          <w:rFonts w:ascii="Times New Roman" w:hAnsi="Times New Roman" w:cs="Times New Roman"/>
          <w:sz w:val="24"/>
          <w:szCs w:val="24"/>
        </w:rPr>
        <w:t>Benencia</w:t>
      </w:r>
      <w:proofErr w:type="spellEnd"/>
      <w:r w:rsidR="000C3FCA" w:rsidRPr="00723AA9">
        <w:rPr>
          <w:rFonts w:ascii="Times New Roman" w:hAnsi="Times New Roman" w:cs="Times New Roman"/>
          <w:sz w:val="24"/>
          <w:szCs w:val="24"/>
        </w:rPr>
        <w:t xml:space="preserve"> y </w:t>
      </w:r>
      <w:proofErr w:type="spellStart"/>
      <w:r w:rsidR="000C3FCA" w:rsidRPr="00723AA9">
        <w:rPr>
          <w:rFonts w:ascii="Times New Roman" w:hAnsi="Times New Roman" w:cs="Times New Roman"/>
          <w:sz w:val="24"/>
          <w:szCs w:val="24"/>
        </w:rPr>
        <w:t>Quaranta</w:t>
      </w:r>
      <w:proofErr w:type="spellEnd"/>
      <w:r w:rsidR="000C3FCA" w:rsidRPr="00723AA9">
        <w:rPr>
          <w:rFonts w:ascii="Times New Roman" w:hAnsi="Times New Roman" w:cs="Times New Roman"/>
          <w:sz w:val="24"/>
          <w:szCs w:val="24"/>
        </w:rPr>
        <w:t>,</w:t>
      </w:r>
      <w:r w:rsidR="000A46E2">
        <w:rPr>
          <w:rFonts w:ascii="Times New Roman" w:hAnsi="Times New Roman" w:cs="Times New Roman"/>
          <w:sz w:val="24"/>
          <w:szCs w:val="24"/>
        </w:rPr>
        <w:t xml:space="preserve"> 2006</w:t>
      </w:r>
      <w:r w:rsidR="006B5FD1">
        <w:rPr>
          <w:rFonts w:ascii="Times New Roman" w:hAnsi="Times New Roman" w:cs="Times New Roman"/>
          <w:sz w:val="24"/>
          <w:szCs w:val="24"/>
        </w:rPr>
        <w:t xml:space="preserve">). </w:t>
      </w:r>
    </w:p>
    <w:p w14:paraId="171AB904" w14:textId="1B3BA2E2" w:rsidR="00834423" w:rsidRPr="00723AA9" w:rsidRDefault="006B5FD1" w:rsidP="00723AA9">
      <w:pPr>
        <w:spacing w:before="120"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Estas dinámicas antes mencionadas</w:t>
      </w:r>
      <w:r w:rsidR="000436D5" w:rsidRPr="00723AA9">
        <w:rPr>
          <w:rFonts w:ascii="Times New Roman" w:hAnsi="Times New Roman" w:cs="Times New Roman"/>
          <w:sz w:val="24"/>
          <w:szCs w:val="24"/>
        </w:rPr>
        <w:t xml:space="preserve"> también tuvieron un correlato territorial, como la conformación de nuevas coronas</w:t>
      </w:r>
      <w:r>
        <w:rPr>
          <w:rFonts w:ascii="Times New Roman" w:hAnsi="Times New Roman" w:cs="Times New Roman"/>
          <w:sz w:val="24"/>
          <w:szCs w:val="24"/>
        </w:rPr>
        <w:t xml:space="preserve"> metropolitanas</w:t>
      </w:r>
      <w:r w:rsidR="000436D5" w:rsidRPr="00723AA9">
        <w:rPr>
          <w:rFonts w:ascii="Times New Roman" w:hAnsi="Times New Roman" w:cs="Times New Roman"/>
          <w:sz w:val="24"/>
          <w:szCs w:val="24"/>
        </w:rPr>
        <w:t xml:space="preserve"> (</w:t>
      </w:r>
      <w:proofErr w:type="spellStart"/>
      <w:r w:rsidR="000436D5" w:rsidRPr="00723AA9">
        <w:rPr>
          <w:rFonts w:ascii="Times New Roman" w:hAnsi="Times New Roman" w:cs="Times New Roman"/>
          <w:sz w:val="24"/>
          <w:szCs w:val="24"/>
        </w:rPr>
        <w:t>Barsky</w:t>
      </w:r>
      <w:proofErr w:type="spellEnd"/>
      <w:r>
        <w:rPr>
          <w:rFonts w:ascii="Times New Roman" w:hAnsi="Times New Roman" w:cs="Times New Roman"/>
          <w:sz w:val="24"/>
          <w:szCs w:val="24"/>
        </w:rPr>
        <w:t>, 2007</w:t>
      </w:r>
      <w:r w:rsidR="000436D5" w:rsidRPr="00723AA9">
        <w:rPr>
          <w:rFonts w:ascii="Times New Roman" w:hAnsi="Times New Roman" w:cs="Times New Roman"/>
          <w:sz w:val="24"/>
          <w:szCs w:val="24"/>
        </w:rPr>
        <w:t xml:space="preserve">) y hasta incluso a estos </w:t>
      </w:r>
      <w:r w:rsidR="000436D5" w:rsidRPr="00723AA9">
        <w:rPr>
          <w:rFonts w:ascii="Times New Roman" w:hAnsi="Times New Roman" w:cs="Times New Roman"/>
          <w:i/>
          <w:sz w:val="24"/>
          <w:szCs w:val="24"/>
        </w:rPr>
        <w:t>nuevos actores</w:t>
      </w:r>
      <w:r w:rsidR="000436D5" w:rsidRPr="00723AA9">
        <w:rPr>
          <w:rFonts w:ascii="Times New Roman" w:hAnsi="Times New Roman" w:cs="Times New Roman"/>
          <w:sz w:val="24"/>
          <w:szCs w:val="24"/>
        </w:rPr>
        <w:t xml:space="preserve"> se les adjudica </w:t>
      </w:r>
      <w:r w:rsidR="00DC31D2" w:rsidRPr="00723AA9">
        <w:rPr>
          <w:rFonts w:ascii="Times New Roman" w:hAnsi="Times New Roman" w:cs="Times New Roman"/>
          <w:sz w:val="24"/>
          <w:szCs w:val="24"/>
        </w:rPr>
        <w:t>“</w:t>
      </w:r>
      <w:r w:rsidR="00DC31D2" w:rsidRPr="00723AA9">
        <w:rPr>
          <w:rFonts w:ascii="Times New Roman" w:hAnsi="Times New Roman" w:cs="Times New Roman"/>
          <w:i/>
          <w:sz w:val="24"/>
          <w:szCs w:val="24"/>
        </w:rPr>
        <w:t>la ruptura y consolidación del archipiélago verde</w:t>
      </w:r>
      <w:r w:rsidR="00DC31D2" w:rsidRPr="00723AA9">
        <w:rPr>
          <w:rFonts w:ascii="Times New Roman" w:hAnsi="Times New Roman" w:cs="Times New Roman"/>
          <w:sz w:val="24"/>
          <w:szCs w:val="24"/>
        </w:rPr>
        <w:t>” en el AMBA, pues su localización y las redes sociales de inmigrantes, permitieron la emergencia de nuevas redes metropolitanas</w:t>
      </w:r>
      <w:r>
        <w:rPr>
          <w:rFonts w:ascii="Times New Roman" w:hAnsi="Times New Roman" w:cs="Times New Roman"/>
          <w:sz w:val="24"/>
          <w:szCs w:val="24"/>
        </w:rPr>
        <w:t xml:space="preserve"> en el </w:t>
      </w:r>
      <w:r w:rsidR="00DC31D2" w:rsidRPr="00723AA9">
        <w:rPr>
          <w:rFonts w:ascii="Times New Roman" w:hAnsi="Times New Roman" w:cs="Times New Roman"/>
          <w:sz w:val="24"/>
          <w:szCs w:val="24"/>
        </w:rPr>
        <w:t>sur y norte del AMBA</w:t>
      </w:r>
      <w:r>
        <w:rPr>
          <w:rFonts w:ascii="Times New Roman" w:hAnsi="Times New Roman" w:cs="Times New Roman"/>
          <w:sz w:val="24"/>
          <w:szCs w:val="24"/>
        </w:rPr>
        <w:t xml:space="preserve"> </w:t>
      </w:r>
      <w:r w:rsidR="00DC31D2" w:rsidRPr="00723AA9">
        <w:rPr>
          <w:rFonts w:ascii="Times New Roman" w:hAnsi="Times New Roman" w:cs="Times New Roman"/>
          <w:sz w:val="24"/>
          <w:szCs w:val="24"/>
        </w:rPr>
        <w:t xml:space="preserve">(Le Gall y García, 2010). </w:t>
      </w:r>
      <w:r w:rsidR="00DC4009" w:rsidRPr="00723AA9">
        <w:rPr>
          <w:rFonts w:ascii="Times New Roman" w:hAnsi="Times New Roman" w:cs="Times New Roman"/>
          <w:sz w:val="24"/>
          <w:szCs w:val="24"/>
        </w:rPr>
        <w:t xml:space="preserve">Del mismo modo, </w:t>
      </w:r>
      <w:proofErr w:type="spellStart"/>
      <w:r w:rsidR="00DC4009" w:rsidRPr="00723AA9">
        <w:rPr>
          <w:rFonts w:ascii="Times New Roman" w:hAnsi="Times New Roman" w:cs="Times New Roman"/>
          <w:sz w:val="24"/>
          <w:szCs w:val="24"/>
        </w:rPr>
        <w:t>Benencia</w:t>
      </w:r>
      <w:proofErr w:type="spellEnd"/>
      <w:r w:rsidR="00DC4009" w:rsidRPr="00723AA9">
        <w:rPr>
          <w:rFonts w:ascii="Times New Roman" w:hAnsi="Times New Roman" w:cs="Times New Roman"/>
          <w:sz w:val="24"/>
          <w:szCs w:val="24"/>
        </w:rPr>
        <w:t xml:space="preserve"> </w:t>
      </w:r>
      <w:r w:rsidR="00306817" w:rsidRPr="00723AA9">
        <w:rPr>
          <w:rFonts w:ascii="Times New Roman" w:hAnsi="Times New Roman" w:cs="Times New Roman"/>
          <w:sz w:val="24"/>
          <w:szCs w:val="24"/>
        </w:rPr>
        <w:t>indica que</w:t>
      </w:r>
      <w:r>
        <w:rPr>
          <w:rFonts w:ascii="Times New Roman" w:hAnsi="Times New Roman" w:cs="Times New Roman"/>
          <w:sz w:val="24"/>
          <w:szCs w:val="24"/>
        </w:rPr>
        <w:t xml:space="preserve"> los migrantes bolivianos</w:t>
      </w:r>
      <w:r w:rsidR="00306817" w:rsidRPr="00723AA9">
        <w:rPr>
          <w:rFonts w:ascii="Times New Roman" w:hAnsi="Times New Roman" w:cs="Times New Roman"/>
          <w:sz w:val="24"/>
          <w:szCs w:val="24"/>
        </w:rPr>
        <w:t xml:space="preserve"> </w:t>
      </w:r>
      <w:r w:rsidR="00DC4009" w:rsidRPr="00723AA9">
        <w:rPr>
          <w:rFonts w:ascii="Times New Roman" w:hAnsi="Times New Roman" w:cs="Times New Roman"/>
          <w:sz w:val="24"/>
          <w:szCs w:val="24"/>
        </w:rPr>
        <w:t>“…</w:t>
      </w:r>
      <w:r w:rsidR="00DC4009" w:rsidRPr="00723AA9">
        <w:rPr>
          <w:rFonts w:ascii="Times New Roman" w:hAnsi="Times New Roman" w:cs="Times New Roman"/>
          <w:i/>
          <w:sz w:val="24"/>
          <w:szCs w:val="24"/>
        </w:rPr>
        <w:t>se establecen en tierras, más baratas, no dedicadas con anterioridad a la horticultura, sino a la ganadería de cría o tambo, actividades que el corrimiento de la línea urbana va desplazando hacia afuera de la periferia urbana</w:t>
      </w:r>
      <w:r w:rsidR="00DC4009" w:rsidRPr="00723AA9">
        <w:rPr>
          <w:rFonts w:ascii="Times New Roman" w:hAnsi="Times New Roman" w:cs="Times New Roman"/>
          <w:sz w:val="24"/>
          <w:szCs w:val="24"/>
        </w:rPr>
        <w:t>" (</w:t>
      </w:r>
      <w:proofErr w:type="spellStart"/>
      <w:r w:rsidR="00DC4009" w:rsidRPr="00723AA9">
        <w:rPr>
          <w:rFonts w:ascii="Times New Roman" w:hAnsi="Times New Roman" w:cs="Times New Roman"/>
          <w:sz w:val="24"/>
          <w:szCs w:val="24"/>
        </w:rPr>
        <w:t>Benencia</w:t>
      </w:r>
      <w:proofErr w:type="spellEnd"/>
      <w:r w:rsidR="00DC4009" w:rsidRPr="00723AA9">
        <w:rPr>
          <w:rFonts w:ascii="Times New Roman" w:hAnsi="Times New Roman" w:cs="Times New Roman"/>
          <w:sz w:val="24"/>
          <w:szCs w:val="24"/>
        </w:rPr>
        <w:t xml:space="preserve">, 1999: 84). Otro caso es, por ejemplo, el traslado de empresas hortícolas de Buenos Aires hacia zonas como la planicie </w:t>
      </w:r>
      <w:proofErr w:type="spellStart"/>
      <w:r w:rsidR="00DC4009" w:rsidRPr="00723AA9">
        <w:rPr>
          <w:rFonts w:ascii="Times New Roman" w:hAnsi="Times New Roman" w:cs="Times New Roman"/>
          <w:sz w:val="24"/>
          <w:szCs w:val="24"/>
        </w:rPr>
        <w:t>tupungatina</w:t>
      </w:r>
      <w:proofErr w:type="spellEnd"/>
      <w:r w:rsidR="00DC4009" w:rsidRPr="00723AA9">
        <w:rPr>
          <w:rFonts w:ascii="Times New Roman" w:hAnsi="Times New Roman" w:cs="Times New Roman"/>
          <w:sz w:val="24"/>
          <w:szCs w:val="24"/>
        </w:rPr>
        <w:t xml:space="preserve"> de Mendoza ante el agotamiento de suelos en el sur bonaerense durante los años ’70 (</w:t>
      </w:r>
      <w:proofErr w:type="spellStart"/>
      <w:r w:rsidR="00DC4009" w:rsidRPr="00723AA9">
        <w:rPr>
          <w:rFonts w:ascii="Times New Roman" w:hAnsi="Times New Roman" w:cs="Times New Roman"/>
          <w:sz w:val="24"/>
          <w:szCs w:val="24"/>
        </w:rPr>
        <w:t>Pedone</w:t>
      </w:r>
      <w:proofErr w:type="spellEnd"/>
      <w:r w:rsidR="00DC4009" w:rsidRPr="00723AA9">
        <w:rPr>
          <w:rFonts w:ascii="Times New Roman" w:hAnsi="Times New Roman" w:cs="Times New Roman"/>
          <w:sz w:val="24"/>
          <w:szCs w:val="24"/>
        </w:rPr>
        <w:t xml:space="preserve">, 1999). Mientras que en Tucumán vuelve a aparecer el correlato territorial, donde la preocupación por la </w:t>
      </w:r>
      <w:proofErr w:type="spellStart"/>
      <w:r w:rsidR="00DC4009" w:rsidRPr="00723AA9">
        <w:rPr>
          <w:rFonts w:ascii="Times New Roman" w:hAnsi="Times New Roman" w:cs="Times New Roman"/>
          <w:sz w:val="24"/>
          <w:szCs w:val="24"/>
        </w:rPr>
        <w:t>bolivianización</w:t>
      </w:r>
      <w:proofErr w:type="spellEnd"/>
      <w:r w:rsidR="00DC4009" w:rsidRPr="00723AA9">
        <w:rPr>
          <w:rFonts w:ascii="Times New Roman" w:hAnsi="Times New Roman" w:cs="Times New Roman"/>
          <w:sz w:val="24"/>
          <w:szCs w:val="24"/>
        </w:rPr>
        <w:t xml:space="preserve"> de la horticultura y sus procesos </w:t>
      </w:r>
      <w:r>
        <w:rPr>
          <w:rFonts w:ascii="Times New Roman" w:hAnsi="Times New Roman" w:cs="Times New Roman"/>
          <w:sz w:val="24"/>
          <w:szCs w:val="24"/>
        </w:rPr>
        <w:t>d</w:t>
      </w:r>
      <w:r w:rsidR="00DC4009" w:rsidRPr="00723AA9">
        <w:rPr>
          <w:rFonts w:ascii="Times New Roman" w:hAnsi="Times New Roman" w:cs="Times New Roman"/>
          <w:sz w:val="24"/>
          <w:szCs w:val="24"/>
        </w:rPr>
        <w:t xml:space="preserve">e movilidad ascendente también </w:t>
      </w:r>
      <w:r w:rsidR="00DC4009" w:rsidRPr="00723AA9">
        <w:rPr>
          <w:rFonts w:ascii="Times New Roman" w:hAnsi="Times New Roman" w:cs="Times New Roman"/>
          <w:sz w:val="24"/>
          <w:szCs w:val="24"/>
        </w:rPr>
        <w:lastRenderedPageBreak/>
        <w:t>encontraron su correlato espacial bajo el concepto de “</w:t>
      </w:r>
      <w:r w:rsidR="00DC4009" w:rsidRPr="00723AA9">
        <w:rPr>
          <w:rFonts w:ascii="Times New Roman" w:hAnsi="Times New Roman" w:cs="Times New Roman"/>
          <w:i/>
          <w:sz w:val="24"/>
          <w:szCs w:val="24"/>
        </w:rPr>
        <w:t>diseminación”</w:t>
      </w:r>
      <w:r w:rsidR="00DC4009" w:rsidRPr="00723AA9">
        <w:rPr>
          <w:rFonts w:ascii="Times New Roman" w:hAnsi="Times New Roman" w:cs="Times New Roman"/>
          <w:sz w:val="24"/>
          <w:szCs w:val="24"/>
        </w:rPr>
        <w:t xml:space="preserve"> (</w:t>
      </w:r>
      <w:proofErr w:type="spellStart"/>
      <w:r w:rsidR="00DC4009" w:rsidRPr="00723AA9">
        <w:rPr>
          <w:rFonts w:ascii="Times New Roman" w:hAnsi="Times New Roman" w:cs="Times New Roman"/>
          <w:sz w:val="24"/>
          <w:szCs w:val="24"/>
        </w:rPr>
        <w:t>Benencia</w:t>
      </w:r>
      <w:proofErr w:type="spellEnd"/>
      <w:r w:rsidR="00DC4009" w:rsidRPr="00723AA9">
        <w:rPr>
          <w:rFonts w:ascii="Times New Roman" w:hAnsi="Times New Roman" w:cs="Times New Roman"/>
          <w:sz w:val="24"/>
          <w:szCs w:val="24"/>
        </w:rPr>
        <w:t>, 2005), pues esta estrategia permite continuar la movilidad ascendente en otros espacios frente al agotamiento de las tierras disponibles. Para el caso tucumano, los territorios objeto de la diseminación – Casa Viejas- poseen una ubicación estratégica de accesibilidad a los mercados donde se pueden reproducir las prácticas precedentes (Rivero Sierra y Álamo, 2017)</w:t>
      </w:r>
      <w:r w:rsidR="00306817" w:rsidRPr="00723AA9">
        <w:rPr>
          <w:rFonts w:ascii="Times New Roman" w:hAnsi="Times New Roman" w:cs="Times New Roman"/>
          <w:sz w:val="24"/>
          <w:szCs w:val="24"/>
        </w:rPr>
        <w:t>.</w:t>
      </w:r>
      <w:r w:rsidR="00306817" w:rsidRPr="00723AA9">
        <w:rPr>
          <w:rFonts w:ascii="Times New Roman" w:hAnsi="Times New Roman" w:cs="Times New Roman"/>
          <w:sz w:val="24"/>
          <w:szCs w:val="24"/>
        </w:rPr>
        <w:tab/>
      </w:r>
      <w:r w:rsidR="00306817" w:rsidRPr="00723AA9">
        <w:rPr>
          <w:rFonts w:ascii="Times New Roman" w:hAnsi="Times New Roman" w:cs="Times New Roman"/>
          <w:sz w:val="24"/>
          <w:szCs w:val="24"/>
        </w:rPr>
        <w:tab/>
      </w:r>
    </w:p>
    <w:p w14:paraId="265657D9" w14:textId="2C4C3993" w:rsidR="00834423" w:rsidRPr="00723AA9" w:rsidRDefault="00834423"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Si bien existe amplia bibliografía sobre los procesos de descomposición de los sujetos agrarios, el reemplazo de unos por otros (Ataide,</w:t>
      </w:r>
      <w:r w:rsidR="001B5089">
        <w:rPr>
          <w:rFonts w:ascii="Times New Roman" w:hAnsi="Times New Roman" w:cs="Times New Roman"/>
          <w:sz w:val="24"/>
          <w:szCs w:val="24"/>
        </w:rPr>
        <w:t xml:space="preserve"> 2018; </w:t>
      </w:r>
      <w:r w:rsidRPr="00723AA9">
        <w:rPr>
          <w:rFonts w:ascii="Times New Roman" w:hAnsi="Times New Roman" w:cs="Times New Roman"/>
          <w:sz w:val="24"/>
          <w:szCs w:val="24"/>
        </w:rPr>
        <w:t>Rivero Sierra</w:t>
      </w:r>
      <w:r w:rsidR="001B5089">
        <w:rPr>
          <w:rFonts w:ascii="Times New Roman" w:hAnsi="Times New Roman" w:cs="Times New Roman"/>
          <w:sz w:val="24"/>
          <w:szCs w:val="24"/>
        </w:rPr>
        <w:t>, 2017</w:t>
      </w:r>
      <w:r w:rsidRPr="00723AA9">
        <w:rPr>
          <w:rFonts w:ascii="Times New Roman" w:hAnsi="Times New Roman" w:cs="Times New Roman"/>
          <w:sz w:val="24"/>
          <w:szCs w:val="24"/>
        </w:rPr>
        <w:t>), o la existencia de “</w:t>
      </w:r>
      <w:proofErr w:type="spellStart"/>
      <w:r w:rsidRPr="00723AA9">
        <w:rPr>
          <w:rFonts w:ascii="Times New Roman" w:hAnsi="Times New Roman" w:cs="Times New Roman"/>
          <w:sz w:val="24"/>
          <w:szCs w:val="24"/>
        </w:rPr>
        <w:t>insterticios</w:t>
      </w:r>
      <w:proofErr w:type="spellEnd"/>
      <w:r w:rsidRPr="00723AA9">
        <w:rPr>
          <w:rFonts w:ascii="Times New Roman" w:hAnsi="Times New Roman" w:cs="Times New Roman"/>
          <w:sz w:val="24"/>
          <w:szCs w:val="24"/>
        </w:rPr>
        <w:t xml:space="preserve">” que permiten su persistencia (Preda, 2013, </w:t>
      </w:r>
      <w:proofErr w:type="spellStart"/>
      <w:r w:rsidRPr="00723AA9">
        <w:rPr>
          <w:rFonts w:ascii="Times New Roman" w:hAnsi="Times New Roman" w:cs="Times New Roman"/>
          <w:sz w:val="24"/>
          <w:szCs w:val="24"/>
        </w:rPr>
        <w:t>Cowan</w:t>
      </w:r>
      <w:proofErr w:type="spellEnd"/>
      <w:r w:rsidRPr="00723AA9">
        <w:rPr>
          <w:rFonts w:ascii="Times New Roman" w:hAnsi="Times New Roman" w:cs="Times New Roman"/>
          <w:sz w:val="24"/>
          <w:szCs w:val="24"/>
        </w:rPr>
        <w:t xml:space="preserve"> Ros, 2007; </w:t>
      </w:r>
      <w:proofErr w:type="spellStart"/>
      <w:r w:rsidRPr="00723AA9">
        <w:rPr>
          <w:rFonts w:ascii="Times New Roman" w:hAnsi="Times New Roman" w:cs="Times New Roman"/>
          <w:sz w:val="24"/>
          <w:szCs w:val="24"/>
        </w:rPr>
        <w:t>Cowan</w:t>
      </w:r>
      <w:proofErr w:type="spellEnd"/>
      <w:r w:rsidRPr="00723AA9">
        <w:rPr>
          <w:rFonts w:ascii="Times New Roman" w:hAnsi="Times New Roman" w:cs="Times New Roman"/>
          <w:sz w:val="24"/>
          <w:szCs w:val="24"/>
        </w:rPr>
        <w:t xml:space="preserve"> Ros y Schneider, 2008), no se ha profundizado en el componente espacial de las estrategias, tales como la relocalización, hacia tierras menos productivas como modo de subsistencia (</w:t>
      </w:r>
      <w:proofErr w:type="spellStart"/>
      <w:r w:rsidRPr="00723AA9">
        <w:rPr>
          <w:rFonts w:ascii="Times New Roman" w:hAnsi="Times New Roman" w:cs="Times New Roman"/>
          <w:sz w:val="24"/>
          <w:szCs w:val="24"/>
        </w:rPr>
        <w:t>Kuusaana</w:t>
      </w:r>
      <w:proofErr w:type="spellEnd"/>
      <w:r w:rsidRPr="00723AA9">
        <w:rPr>
          <w:rFonts w:ascii="Times New Roman" w:hAnsi="Times New Roman" w:cs="Times New Roman"/>
          <w:sz w:val="24"/>
          <w:szCs w:val="24"/>
        </w:rPr>
        <w:t xml:space="preserve">, y </w:t>
      </w:r>
      <w:proofErr w:type="spellStart"/>
      <w:r w:rsidRPr="00723AA9">
        <w:rPr>
          <w:rFonts w:ascii="Times New Roman" w:hAnsi="Times New Roman" w:cs="Times New Roman"/>
          <w:sz w:val="24"/>
          <w:szCs w:val="24"/>
        </w:rPr>
        <w:t>Eledi</w:t>
      </w:r>
      <w:proofErr w:type="spellEnd"/>
      <w:r w:rsidRPr="00723AA9">
        <w:rPr>
          <w:rFonts w:ascii="Times New Roman" w:hAnsi="Times New Roman" w:cs="Times New Roman"/>
          <w:sz w:val="24"/>
          <w:szCs w:val="24"/>
        </w:rPr>
        <w:t>, 2015).</w:t>
      </w:r>
    </w:p>
    <w:p w14:paraId="14768139" w14:textId="3E825F3E" w:rsidR="00E64547" w:rsidRPr="00723AA9" w:rsidRDefault="00834423" w:rsidP="00723AA9">
      <w:pPr>
        <w:pStyle w:val="Prrafodelista"/>
        <w:spacing w:before="120" w:after="120" w:line="360" w:lineRule="auto"/>
        <w:ind w:left="0" w:firstLine="709"/>
        <w:jc w:val="both"/>
        <w:rPr>
          <w:rFonts w:ascii="Times New Roman" w:hAnsi="Times New Roman" w:cs="Times New Roman"/>
          <w:sz w:val="24"/>
          <w:szCs w:val="24"/>
        </w:rPr>
      </w:pPr>
      <w:r w:rsidRPr="00723AA9">
        <w:rPr>
          <w:rFonts w:ascii="Times New Roman" w:hAnsi="Times New Roman" w:cs="Times New Roman"/>
          <w:sz w:val="24"/>
          <w:szCs w:val="24"/>
        </w:rPr>
        <w:t xml:space="preserve">En este sentido, consideramos que los procesos de urbanización poseen implicancias en estos términos y es necesario estudiarlos para conocer las tendencias del movimiento. </w:t>
      </w:r>
      <w:r w:rsidR="00E64547" w:rsidRPr="00723AA9">
        <w:rPr>
          <w:rFonts w:ascii="Times New Roman" w:hAnsi="Times New Roman" w:cs="Times New Roman"/>
          <w:sz w:val="24"/>
          <w:szCs w:val="24"/>
        </w:rPr>
        <w:t xml:space="preserve"> El avance de frontera agropecuaria hacia los bordes del oasis, identificado por Van den, Bosch (2016, 2018) en la provincia de Mendoza puede ser claramente identificado el caso de la nueva vitivinicultura que trepó aguas arriba instalándose en el Valle de </w:t>
      </w:r>
      <w:proofErr w:type="spellStart"/>
      <w:r w:rsidR="00E64547" w:rsidRPr="00723AA9">
        <w:rPr>
          <w:rFonts w:ascii="Times New Roman" w:hAnsi="Times New Roman" w:cs="Times New Roman"/>
          <w:sz w:val="24"/>
          <w:szCs w:val="24"/>
        </w:rPr>
        <w:t>Uco</w:t>
      </w:r>
      <w:proofErr w:type="spellEnd"/>
      <w:r w:rsidR="00E64547" w:rsidRPr="00723AA9">
        <w:rPr>
          <w:rFonts w:ascii="Times New Roman" w:hAnsi="Times New Roman" w:cs="Times New Roman"/>
          <w:sz w:val="24"/>
          <w:szCs w:val="24"/>
        </w:rPr>
        <w:t xml:space="preserve"> (Martín, 2007). Sin embargo, </w:t>
      </w:r>
      <w:r w:rsidR="001B5089">
        <w:rPr>
          <w:rFonts w:ascii="Times New Roman" w:hAnsi="Times New Roman" w:cs="Times New Roman"/>
          <w:sz w:val="24"/>
          <w:szCs w:val="24"/>
        </w:rPr>
        <w:t xml:space="preserve">el crecimiento de la ciudad </w:t>
      </w:r>
      <w:r w:rsidR="00E64547" w:rsidRPr="00723AA9">
        <w:rPr>
          <w:rFonts w:ascii="Times New Roman" w:hAnsi="Times New Roman" w:cs="Times New Roman"/>
          <w:sz w:val="24"/>
          <w:szCs w:val="24"/>
        </w:rPr>
        <w:t xml:space="preserve">también requiere de una organización territorial específica de su cinturón verde, sin que necesariamente implique una </w:t>
      </w:r>
      <w:r w:rsidR="001B5089">
        <w:rPr>
          <w:rFonts w:ascii="Times New Roman" w:hAnsi="Times New Roman" w:cs="Times New Roman"/>
          <w:sz w:val="24"/>
          <w:szCs w:val="24"/>
        </w:rPr>
        <w:t>reducción</w:t>
      </w:r>
      <w:r w:rsidR="00E64547" w:rsidRPr="00723AA9">
        <w:rPr>
          <w:rFonts w:ascii="Times New Roman" w:hAnsi="Times New Roman" w:cs="Times New Roman"/>
          <w:sz w:val="24"/>
          <w:szCs w:val="24"/>
        </w:rPr>
        <w:t xml:space="preserve"> de superficie cultivada, sino que ésta incluso puede aumentar o compensar las pérdidas de un lugar en otro. </w:t>
      </w:r>
    </w:p>
    <w:p w14:paraId="1498CFB4" w14:textId="1CC4E194" w:rsidR="00E64547" w:rsidRPr="00723AA9" w:rsidRDefault="001D6B83" w:rsidP="00723AA9">
      <w:pPr>
        <w:pStyle w:val="Prrafodelista"/>
        <w:spacing w:before="120" w:after="120" w:line="360" w:lineRule="auto"/>
        <w:ind w:left="0" w:firstLine="709"/>
        <w:jc w:val="both"/>
        <w:rPr>
          <w:rFonts w:ascii="Times New Roman" w:hAnsi="Times New Roman" w:cs="Times New Roman"/>
          <w:color w:val="7030A0"/>
          <w:sz w:val="24"/>
          <w:szCs w:val="24"/>
        </w:rPr>
      </w:pPr>
      <w:r w:rsidRPr="00723AA9">
        <w:rPr>
          <w:rFonts w:ascii="Times New Roman" w:hAnsi="Times New Roman" w:cs="Times New Roman"/>
          <w:sz w:val="24"/>
          <w:szCs w:val="24"/>
        </w:rPr>
        <w:t xml:space="preserve">Indicios de esto, es la tendencia sostenida que presenta la provincia, según datos preliminares del CNA 2018 y </w:t>
      </w:r>
      <w:proofErr w:type="gramStart"/>
      <w:r w:rsidRPr="00723AA9">
        <w:rPr>
          <w:rFonts w:ascii="Times New Roman" w:hAnsi="Times New Roman" w:cs="Times New Roman"/>
          <w:sz w:val="24"/>
          <w:szCs w:val="24"/>
        </w:rPr>
        <w:t>antecedentes previos</w:t>
      </w:r>
      <w:proofErr w:type="gramEnd"/>
      <w:r w:rsidRPr="00723AA9">
        <w:rPr>
          <w:rFonts w:ascii="Times New Roman" w:hAnsi="Times New Roman" w:cs="Times New Roman"/>
          <w:sz w:val="24"/>
          <w:szCs w:val="24"/>
        </w:rPr>
        <w:t xml:space="preserve"> de la dinámica </w:t>
      </w:r>
      <w:proofErr w:type="spellStart"/>
      <w:r w:rsidRPr="00723AA9">
        <w:rPr>
          <w:rFonts w:ascii="Times New Roman" w:hAnsi="Times New Roman" w:cs="Times New Roman"/>
          <w:sz w:val="24"/>
          <w:szCs w:val="24"/>
        </w:rPr>
        <w:t>interecensal</w:t>
      </w:r>
      <w:proofErr w:type="spellEnd"/>
      <w:r w:rsidRPr="00723AA9">
        <w:rPr>
          <w:rFonts w:ascii="Times New Roman" w:hAnsi="Times New Roman" w:cs="Times New Roman"/>
          <w:sz w:val="24"/>
          <w:szCs w:val="24"/>
        </w:rPr>
        <w:t xml:space="preserve"> 1988- 2008 (Van den Bosch, 2016, 2018) donde se indica que “</w:t>
      </w:r>
      <w:r w:rsidRPr="00723AA9">
        <w:rPr>
          <w:rFonts w:ascii="Times New Roman" w:hAnsi="Times New Roman" w:cs="Times New Roman"/>
          <w:i/>
          <w:sz w:val="24"/>
          <w:szCs w:val="24"/>
        </w:rPr>
        <w:t>las hectáreas destinadas a la producción agrícola, ganadera y forestal en Mendoza se mantuvieron estables en los últimos 16 años. Sin embargo, el número de propiedades se redujo un 26%, lo que evidencia que ha disminuido el número de productores primarios</w:t>
      </w:r>
      <w:r w:rsidRPr="00723AA9">
        <w:rPr>
          <w:rFonts w:ascii="Times New Roman" w:hAnsi="Times New Roman" w:cs="Times New Roman"/>
          <w:sz w:val="24"/>
          <w:szCs w:val="24"/>
        </w:rPr>
        <w:t xml:space="preserve">” (Diario Los Andes, abril 2019). Esto, se complementa con los análisis previos (dinámica intercensal 88-08) </w:t>
      </w:r>
      <w:r w:rsidR="00580D4F">
        <w:rPr>
          <w:rFonts w:ascii="Times New Roman" w:hAnsi="Times New Roman" w:cs="Times New Roman"/>
          <w:sz w:val="24"/>
          <w:szCs w:val="24"/>
        </w:rPr>
        <w:t xml:space="preserve">los cuales muestran </w:t>
      </w:r>
      <w:r w:rsidRPr="00723AA9">
        <w:rPr>
          <w:rFonts w:ascii="Times New Roman" w:hAnsi="Times New Roman" w:cs="Times New Roman"/>
          <w:sz w:val="24"/>
          <w:szCs w:val="24"/>
        </w:rPr>
        <w:t>una significativa pérdida de unidades productivas en el cinturón verde (</w:t>
      </w:r>
      <w:r w:rsidR="00580D4F">
        <w:rPr>
          <w:rFonts w:ascii="Times New Roman" w:hAnsi="Times New Roman" w:cs="Times New Roman"/>
          <w:sz w:val="24"/>
          <w:szCs w:val="24"/>
        </w:rPr>
        <w:t>-</w:t>
      </w:r>
      <w:r w:rsidRPr="00723AA9">
        <w:rPr>
          <w:rFonts w:ascii="Times New Roman" w:hAnsi="Times New Roman" w:cs="Times New Roman"/>
          <w:sz w:val="24"/>
          <w:szCs w:val="24"/>
        </w:rPr>
        <w:t>51%), mientras que la superficie implantada creció un 6%, compensando las pérdidas de las pequeñas explotaciones mediante ampliación de las más grandes. Pero el dato importante es que las explotaciones de mayor escala crecieron, pero no sobre la anexión de las pequeñas, sino por expansión de superficie (Van den Bosch, 2016).</w:t>
      </w:r>
    </w:p>
    <w:p w14:paraId="033362D3" w14:textId="715EB36C" w:rsidR="00E64547" w:rsidRPr="00723AA9" w:rsidRDefault="00E64547" w:rsidP="00723AA9">
      <w:pPr>
        <w:pStyle w:val="Prrafodelista"/>
        <w:spacing w:before="120" w:after="120" w:line="360" w:lineRule="auto"/>
        <w:ind w:left="0" w:firstLine="709"/>
        <w:jc w:val="both"/>
        <w:rPr>
          <w:rFonts w:ascii="Times New Roman" w:hAnsi="Times New Roman" w:cs="Times New Roman"/>
          <w:sz w:val="24"/>
          <w:szCs w:val="24"/>
        </w:rPr>
      </w:pPr>
      <w:r w:rsidRPr="00723AA9">
        <w:rPr>
          <w:rFonts w:ascii="Times New Roman" w:hAnsi="Times New Roman" w:cs="Times New Roman"/>
          <w:sz w:val="24"/>
          <w:szCs w:val="24"/>
        </w:rPr>
        <w:lastRenderedPageBreak/>
        <w:t xml:space="preserve">Para el caso, partimos de la noción de frontera agraria aportado por </w:t>
      </w:r>
      <w:proofErr w:type="spellStart"/>
      <w:r w:rsidRPr="00723AA9">
        <w:rPr>
          <w:rFonts w:ascii="Times New Roman" w:hAnsi="Times New Roman" w:cs="Times New Roman"/>
          <w:sz w:val="24"/>
          <w:szCs w:val="24"/>
        </w:rPr>
        <w:t>Reboratti</w:t>
      </w:r>
      <w:proofErr w:type="spellEnd"/>
      <w:r w:rsidRPr="00723AA9">
        <w:rPr>
          <w:rFonts w:ascii="Times New Roman" w:hAnsi="Times New Roman" w:cs="Times New Roman"/>
          <w:sz w:val="24"/>
          <w:szCs w:val="24"/>
        </w:rPr>
        <w:t xml:space="preserve"> concebidas como una “</w:t>
      </w:r>
      <w:r w:rsidRPr="00723AA9">
        <w:rPr>
          <w:rFonts w:ascii="Times New Roman" w:hAnsi="Times New Roman" w:cs="Times New Roman"/>
          <w:i/>
          <w:sz w:val="24"/>
          <w:szCs w:val="24"/>
        </w:rPr>
        <w:t>franja que existe entre un territorio que no se encuentra ocupado en forma constante por una sociedad y otro donde esta ocupación ya se ha consolidado</w:t>
      </w:r>
      <w:r w:rsidRPr="00723AA9">
        <w:rPr>
          <w:rFonts w:ascii="Times New Roman" w:hAnsi="Times New Roman" w:cs="Times New Roman"/>
          <w:sz w:val="24"/>
          <w:szCs w:val="24"/>
        </w:rPr>
        <w:t>” (</w:t>
      </w:r>
      <w:proofErr w:type="spellStart"/>
      <w:r w:rsidRPr="00723AA9">
        <w:rPr>
          <w:rFonts w:ascii="Times New Roman" w:hAnsi="Times New Roman" w:cs="Times New Roman"/>
          <w:sz w:val="24"/>
          <w:szCs w:val="24"/>
        </w:rPr>
        <w:t>Reboratti</w:t>
      </w:r>
      <w:proofErr w:type="spellEnd"/>
      <w:r w:rsidRPr="00723AA9">
        <w:rPr>
          <w:rFonts w:ascii="Times New Roman" w:hAnsi="Times New Roman" w:cs="Times New Roman"/>
          <w:sz w:val="24"/>
          <w:szCs w:val="24"/>
        </w:rPr>
        <w:t>, 2008: 5). Esto implica que, a nivel territorial, las explicaciones pueden estar en el avance sobre tierra virgen o tierra abandonada, es decir que no se encuentra ocupado en forma constante. Por otra parte, la investigación está orientada a conocer las racionalidades detrás del avance de frontera o los procesos de relocalización, teniendo en cuenta que la</w:t>
      </w:r>
      <w:r w:rsidR="001D6B83" w:rsidRPr="00723AA9">
        <w:rPr>
          <w:rFonts w:ascii="Times New Roman" w:hAnsi="Times New Roman" w:cs="Times New Roman"/>
          <w:sz w:val="24"/>
          <w:szCs w:val="24"/>
        </w:rPr>
        <w:t xml:space="preserve"> expansión agrícola reciente </w:t>
      </w:r>
      <w:r w:rsidRPr="00723AA9">
        <w:rPr>
          <w:rFonts w:ascii="Times New Roman" w:hAnsi="Times New Roman" w:cs="Times New Roman"/>
          <w:sz w:val="24"/>
          <w:szCs w:val="24"/>
        </w:rPr>
        <w:t>estaría dada por expansión territorial</w:t>
      </w:r>
      <w:r w:rsidR="001D6B83" w:rsidRPr="00723AA9">
        <w:rPr>
          <w:rFonts w:ascii="Times New Roman" w:hAnsi="Times New Roman" w:cs="Times New Roman"/>
          <w:sz w:val="24"/>
          <w:szCs w:val="24"/>
        </w:rPr>
        <w:t xml:space="preserve">. </w:t>
      </w:r>
      <w:r w:rsidRPr="00723AA9">
        <w:rPr>
          <w:rFonts w:ascii="Times New Roman" w:hAnsi="Times New Roman" w:cs="Times New Roman"/>
          <w:sz w:val="24"/>
          <w:szCs w:val="24"/>
        </w:rPr>
        <w:t xml:space="preserve">Por tanto, se torna un interrogante conocer cuáles son los sujetos y racionalidades detrás de la </w:t>
      </w:r>
      <w:r w:rsidR="00580D4F">
        <w:rPr>
          <w:rFonts w:ascii="Times New Roman" w:hAnsi="Times New Roman" w:cs="Times New Roman"/>
          <w:sz w:val="24"/>
          <w:szCs w:val="24"/>
        </w:rPr>
        <w:t>misma</w:t>
      </w:r>
      <w:r w:rsidR="001D6B83" w:rsidRPr="00723AA9">
        <w:rPr>
          <w:rFonts w:ascii="Times New Roman" w:hAnsi="Times New Roman" w:cs="Times New Roman"/>
          <w:sz w:val="24"/>
          <w:szCs w:val="24"/>
        </w:rPr>
        <w:t>, teniendo en cuenta el rol que tiene el ambiente o las restricciones ambientales y/o la conexión con los recursos naturales en las estrategias de reproducción</w:t>
      </w:r>
      <w:r w:rsidR="00580D4F">
        <w:rPr>
          <w:rFonts w:ascii="Times New Roman" w:hAnsi="Times New Roman" w:cs="Times New Roman"/>
          <w:sz w:val="24"/>
          <w:szCs w:val="24"/>
        </w:rPr>
        <w:t xml:space="preserve"> social de estos actores</w:t>
      </w:r>
      <w:r w:rsidR="00580D4F" w:rsidRPr="00723AA9">
        <w:rPr>
          <w:rFonts w:ascii="Times New Roman" w:hAnsi="Times New Roman" w:cs="Times New Roman"/>
          <w:sz w:val="24"/>
          <w:szCs w:val="24"/>
        </w:rPr>
        <w:t xml:space="preserve"> (Torres et al., 2014)</w:t>
      </w:r>
      <w:r w:rsidR="00580D4F">
        <w:rPr>
          <w:rFonts w:ascii="Times New Roman" w:hAnsi="Times New Roman" w:cs="Times New Roman"/>
          <w:sz w:val="24"/>
          <w:szCs w:val="24"/>
        </w:rPr>
        <w:t>.</w:t>
      </w:r>
    </w:p>
    <w:p w14:paraId="435CE373" w14:textId="634F42C0" w:rsidR="00834423" w:rsidRPr="00723AA9" w:rsidRDefault="006F6A43"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A continuación, se avanzará en el carácter adquirido por la urbanización y el cinturón verde mendocino, para luego ahondar en el caso y los resultados iniciales que permiten localizar geográficamente los posibles procesos de relocalización, a constatar. </w:t>
      </w:r>
    </w:p>
    <w:p w14:paraId="06AD6470" w14:textId="77777777" w:rsidR="008856B9" w:rsidRPr="00723AA9" w:rsidRDefault="008856B9" w:rsidP="00723AA9">
      <w:pPr>
        <w:spacing w:before="120" w:after="120" w:line="360" w:lineRule="auto"/>
        <w:ind w:firstLine="709"/>
        <w:contextualSpacing/>
        <w:jc w:val="both"/>
        <w:rPr>
          <w:rFonts w:ascii="Times New Roman" w:hAnsi="Times New Roman" w:cs="Times New Roman"/>
          <w:sz w:val="24"/>
          <w:szCs w:val="24"/>
        </w:rPr>
      </w:pPr>
    </w:p>
    <w:p w14:paraId="31C2EF3E" w14:textId="2D989552" w:rsidR="00834423" w:rsidRPr="001805D2" w:rsidRDefault="00BC4F4D" w:rsidP="001805D2">
      <w:pPr>
        <w:pStyle w:val="Prrafodelista"/>
        <w:numPr>
          <w:ilvl w:val="0"/>
          <w:numId w:val="1"/>
        </w:numPr>
        <w:tabs>
          <w:tab w:val="left" w:pos="426"/>
        </w:tabs>
        <w:spacing w:before="120" w:after="120" w:line="360" w:lineRule="auto"/>
        <w:ind w:left="142" w:firstLine="142"/>
        <w:jc w:val="both"/>
        <w:rPr>
          <w:rFonts w:ascii="Times New Roman" w:hAnsi="Times New Roman" w:cs="Times New Roman"/>
          <w:sz w:val="24"/>
          <w:szCs w:val="24"/>
        </w:rPr>
      </w:pPr>
      <w:r w:rsidRPr="00723AA9">
        <w:rPr>
          <w:rFonts w:ascii="Times New Roman" w:hAnsi="Times New Roman" w:cs="Times New Roman"/>
          <w:b/>
          <w:sz w:val="24"/>
          <w:szCs w:val="24"/>
        </w:rPr>
        <w:t>PROCESOS DE TRANSFORMACIÓN DEL CINTURÓN VERDE DE MENDOZA</w:t>
      </w:r>
    </w:p>
    <w:p w14:paraId="51A52AED" w14:textId="77777777" w:rsidR="001805D2" w:rsidRPr="00723AA9" w:rsidRDefault="001805D2" w:rsidP="001805D2">
      <w:pPr>
        <w:pStyle w:val="Prrafodelista"/>
        <w:spacing w:before="120" w:after="120" w:line="360" w:lineRule="auto"/>
        <w:ind w:left="284"/>
        <w:jc w:val="both"/>
        <w:rPr>
          <w:rFonts w:ascii="Times New Roman" w:hAnsi="Times New Roman" w:cs="Times New Roman"/>
          <w:sz w:val="24"/>
          <w:szCs w:val="24"/>
        </w:rPr>
      </w:pPr>
    </w:p>
    <w:p w14:paraId="152827C1" w14:textId="0398BFA7" w:rsidR="00764704" w:rsidRPr="00723AA9" w:rsidRDefault="00E0182F" w:rsidP="00723AA9">
      <w:pPr>
        <w:pStyle w:val="Prrafodelista"/>
        <w:numPr>
          <w:ilvl w:val="1"/>
          <w:numId w:val="1"/>
        </w:numPr>
        <w:spacing w:before="120" w:after="120" w:line="360" w:lineRule="auto"/>
        <w:ind w:left="0" w:firstLine="709"/>
        <w:jc w:val="both"/>
        <w:rPr>
          <w:rFonts w:ascii="Times New Roman" w:hAnsi="Times New Roman" w:cs="Times New Roman"/>
          <w:i/>
          <w:sz w:val="24"/>
          <w:szCs w:val="24"/>
        </w:rPr>
      </w:pPr>
      <w:r w:rsidRPr="00723AA9">
        <w:rPr>
          <w:rFonts w:ascii="Times New Roman" w:hAnsi="Times New Roman" w:cs="Times New Roman"/>
          <w:i/>
          <w:sz w:val="24"/>
          <w:szCs w:val="24"/>
        </w:rPr>
        <w:t>Principales dinámicas de transformación territorial.</w:t>
      </w:r>
    </w:p>
    <w:p w14:paraId="368CBDE0" w14:textId="512A7161" w:rsidR="00087724" w:rsidRPr="00723AA9" w:rsidRDefault="00BC4F4D" w:rsidP="00723AA9">
      <w:pPr>
        <w:pStyle w:val="Prrafodelista"/>
        <w:spacing w:before="120" w:after="120" w:line="360" w:lineRule="auto"/>
        <w:ind w:left="0" w:firstLine="709"/>
        <w:jc w:val="both"/>
        <w:rPr>
          <w:rFonts w:ascii="Times New Roman" w:hAnsi="Times New Roman" w:cs="Times New Roman"/>
          <w:sz w:val="24"/>
          <w:szCs w:val="24"/>
        </w:rPr>
      </w:pPr>
      <w:r w:rsidRPr="00723AA9">
        <w:rPr>
          <w:rFonts w:ascii="Times New Roman" w:hAnsi="Times New Roman" w:cs="Times New Roman"/>
          <w:sz w:val="24"/>
          <w:szCs w:val="24"/>
        </w:rPr>
        <w:t>Los</w:t>
      </w:r>
      <w:r w:rsidR="00087724" w:rsidRPr="00723AA9">
        <w:rPr>
          <w:rFonts w:ascii="Times New Roman" w:hAnsi="Times New Roman" w:cs="Times New Roman"/>
          <w:sz w:val="24"/>
          <w:szCs w:val="24"/>
        </w:rPr>
        <w:t xml:space="preserve"> procesos globales de urbanización sobre áreas agrícolas se presentan para el caso de la provincia de Mendoza, no sólo de su economía de oasis sino también de su estructura de organización desequilibrada por la cual el 65% de la población de asienta sobre el Área Metropolitana de Mendoza (AMM) (</w:t>
      </w:r>
      <w:proofErr w:type="spellStart"/>
      <w:r w:rsidR="00087724" w:rsidRPr="00723AA9">
        <w:rPr>
          <w:rFonts w:ascii="Times New Roman" w:hAnsi="Times New Roman" w:cs="Times New Roman"/>
          <w:sz w:val="24"/>
          <w:szCs w:val="24"/>
        </w:rPr>
        <w:t>Yañez</w:t>
      </w:r>
      <w:proofErr w:type="spellEnd"/>
      <w:r w:rsidR="00087724" w:rsidRPr="00723AA9">
        <w:rPr>
          <w:rFonts w:ascii="Times New Roman" w:hAnsi="Times New Roman" w:cs="Times New Roman"/>
          <w:sz w:val="24"/>
          <w:szCs w:val="24"/>
        </w:rPr>
        <w:t xml:space="preserve"> et. al. 2015). Asimismo, ésta ha tenido un claro crecimiento hacia la periferia en dirección hacia el este, principalmente a través de barrios </w:t>
      </w:r>
      <w:r w:rsidR="00580D4F">
        <w:rPr>
          <w:rFonts w:ascii="Times New Roman" w:hAnsi="Times New Roman" w:cs="Times New Roman"/>
          <w:sz w:val="24"/>
          <w:szCs w:val="24"/>
        </w:rPr>
        <w:t>priv</w:t>
      </w:r>
      <w:r w:rsidR="00087724" w:rsidRPr="00723AA9">
        <w:rPr>
          <w:rFonts w:ascii="Times New Roman" w:hAnsi="Times New Roman" w:cs="Times New Roman"/>
          <w:sz w:val="24"/>
          <w:szCs w:val="24"/>
        </w:rPr>
        <w:t xml:space="preserve">ados, configurando espacios </w:t>
      </w:r>
      <w:r w:rsidRPr="00723AA9">
        <w:rPr>
          <w:rFonts w:ascii="Times New Roman" w:hAnsi="Times New Roman" w:cs="Times New Roman"/>
          <w:sz w:val="24"/>
          <w:szCs w:val="24"/>
        </w:rPr>
        <w:t>ocupados,</w:t>
      </w:r>
      <w:r w:rsidR="00087724" w:rsidRPr="00723AA9">
        <w:rPr>
          <w:rFonts w:ascii="Times New Roman" w:hAnsi="Times New Roman" w:cs="Times New Roman"/>
          <w:sz w:val="24"/>
          <w:szCs w:val="24"/>
        </w:rPr>
        <w:t xml:space="preserve"> pero con baja densidad de población, combinadas con intersticios de tierras de cultivo por su claro avance sobre tierras productivas (BID, 2017, Olmedo et. </w:t>
      </w:r>
      <w:proofErr w:type="spellStart"/>
      <w:r w:rsidR="00580D4F">
        <w:rPr>
          <w:rFonts w:ascii="Times New Roman" w:hAnsi="Times New Roman" w:cs="Times New Roman"/>
          <w:sz w:val="24"/>
          <w:szCs w:val="24"/>
        </w:rPr>
        <w:t>a</w:t>
      </w:r>
      <w:r w:rsidR="00087724" w:rsidRPr="00723AA9">
        <w:rPr>
          <w:rFonts w:ascii="Times New Roman" w:hAnsi="Times New Roman" w:cs="Times New Roman"/>
          <w:sz w:val="24"/>
          <w:szCs w:val="24"/>
        </w:rPr>
        <w:t>l</w:t>
      </w:r>
      <w:proofErr w:type="spellEnd"/>
      <w:r w:rsidR="00580D4F">
        <w:rPr>
          <w:rFonts w:ascii="Times New Roman" w:hAnsi="Times New Roman" w:cs="Times New Roman"/>
          <w:sz w:val="24"/>
          <w:szCs w:val="24"/>
        </w:rPr>
        <w:t>.,</w:t>
      </w:r>
      <w:r w:rsidR="00087724" w:rsidRPr="00723AA9">
        <w:rPr>
          <w:rFonts w:ascii="Times New Roman" w:hAnsi="Times New Roman" w:cs="Times New Roman"/>
          <w:sz w:val="24"/>
          <w:szCs w:val="24"/>
        </w:rPr>
        <w:t xml:space="preserve"> 2016), </w:t>
      </w:r>
      <w:r w:rsidRPr="00723AA9">
        <w:rPr>
          <w:rFonts w:ascii="Times New Roman" w:hAnsi="Times New Roman" w:cs="Times New Roman"/>
          <w:sz w:val="24"/>
          <w:szCs w:val="24"/>
        </w:rPr>
        <w:t xml:space="preserve">y bajo la configuración de </w:t>
      </w:r>
      <w:r w:rsidR="00087724" w:rsidRPr="00723AA9">
        <w:rPr>
          <w:rFonts w:ascii="Times New Roman" w:hAnsi="Times New Roman" w:cs="Times New Roman"/>
          <w:sz w:val="24"/>
          <w:szCs w:val="24"/>
        </w:rPr>
        <w:t>“</w:t>
      </w:r>
      <w:r w:rsidR="00087724" w:rsidRPr="00723AA9">
        <w:rPr>
          <w:rFonts w:ascii="Times New Roman" w:hAnsi="Times New Roman" w:cs="Times New Roman"/>
          <w:i/>
          <w:sz w:val="24"/>
          <w:szCs w:val="24"/>
        </w:rPr>
        <w:t>enclaves auto segregados</w:t>
      </w:r>
      <w:r w:rsidR="00087724" w:rsidRPr="00723AA9">
        <w:rPr>
          <w:rFonts w:ascii="Times New Roman" w:hAnsi="Times New Roman" w:cs="Times New Roman"/>
          <w:sz w:val="24"/>
          <w:szCs w:val="24"/>
        </w:rPr>
        <w:t>” (Fernández Wagner, 2011)</w:t>
      </w:r>
      <w:r w:rsidRPr="00723AA9">
        <w:rPr>
          <w:rFonts w:ascii="Times New Roman" w:hAnsi="Times New Roman" w:cs="Times New Roman"/>
          <w:sz w:val="24"/>
          <w:szCs w:val="24"/>
        </w:rPr>
        <w:t>.</w:t>
      </w:r>
    </w:p>
    <w:p w14:paraId="382DDA25" w14:textId="4CBFE919" w:rsidR="00975FFC" w:rsidRPr="00723AA9" w:rsidRDefault="00BC4F4D" w:rsidP="00723AA9">
      <w:pPr>
        <w:pStyle w:val="Prrafodelista"/>
        <w:spacing w:before="120" w:after="120" w:line="360" w:lineRule="auto"/>
        <w:ind w:left="0" w:firstLine="709"/>
        <w:jc w:val="both"/>
        <w:rPr>
          <w:rFonts w:ascii="Times New Roman" w:hAnsi="Times New Roman" w:cs="Times New Roman"/>
          <w:sz w:val="24"/>
          <w:szCs w:val="24"/>
        </w:rPr>
      </w:pPr>
      <w:r w:rsidRPr="00723AA9">
        <w:rPr>
          <w:rFonts w:ascii="Times New Roman" w:hAnsi="Times New Roman" w:cs="Times New Roman"/>
          <w:sz w:val="24"/>
          <w:szCs w:val="24"/>
        </w:rPr>
        <w:t>Por su parte, en este contexto, el</w:t>
      </w:r>
      <w:r w:rsidR="00975FFC" w:rsidRPr="00723AA9">
        <w:rPr>
          <w:rFonts w:ascii="Times New Roman" w:hAnsi="Times New Roman" w:cs="Times New Roman"/>
          <w:sz w:val="24"/>
          <w:szCs w:val="24"/>
        </w:rPr>
        <w:t xml:space="preserve"> cinturón verde y las áreas agrícolas </w:t>
      </w:r>
      <w:r w:rsidRPr="00723AA9">
        <w:rPr>
          <w:rFonts w:ascii="Times New Roman" w:hAnsi="Times New Roman" w:cs="Times New Roman"/>
          <w:sz w:val="24"/>
          <w:szCs w:val="24"/>
        </w:rPr>
        <w:t xml:space="preserve">alojados en el oasis norte provincial </w:t>
      </w:r>
      <w:r w:rsidR="00975FFC" w:rsidRPr="00723AA9">
        <w:rPr>
          <w:rFonts w:ascii="Times New Roman" w:hAnsi="Times New Roman" w:cs="Times New Roman"/>
          <w:sz w:val="24"/>
          <w:szCs w:val="24"/>
        </w:rPr>
        <w:t xml:space="preserve">poseen un valor mayor, pues </w:t>
      </w:r>
      <w:r w:rsidR="00CC0D18">
        <w:rPr>
          <w:rFonts w:ascii="Times New Roman" w:hAnsi="Times New Roman" w:cs="Times New Roman"/>
          <w:sz w:val="24"/>
          <w:szCs w:val="24"/>
        </w:rPr>
        <w:t>son</w:t>
      </w:r>
      <w:r w:rsidR="00975FFC" w:rsidRPr="00723AA9">
        <w:rPr>
          <w:rFonts w:ascii="Times New Roman" w:hAnsi="Times New Roman" w:cs="Times New Roman"/>
          <w:sz w:val="24"/>
          <w:szCs w:val="24"/>
        </w:rPr>
        <w:t xml:space="preserve"> fruto de inversiones pública y privada en infraestructura hídrica. </w:t>
      </w:r>
      <w:r w:rsidRPr="00723AA9">
        <w:rPr>
          <w:rFonts w:ascii="Times New Roman" w:hAnsi="Times New Roman" w:cs="Times New Roman"/>
          <w:sz w:val="24"/>
          <w:szCs w:val="24"/>
        </w:rPr>
        <w:t xml:space="preserve">Se trata, entonces </w:t>
      </w:r>
      <w:r w:rsidR="00CC0D18">
        <w:rPr>
          <w:rFonts w:ascii="Times New Roman" w:hAnsi="Times New Roman" w:cs="Times New Roman"/>
          <w:sz w:val="24"/>
          <w:szCs w:val="24"/>
        </w:rPr>
        <w:t xml:space="preserve">de </w:t>
      </w:r>
      <w:r w:rsidR="00975FFC" w:rsidRPr="00723AA9">
        <w:rPr>
          <w:rFonts w:ascii="Times New Roman" w:hAnsi="Times New Roman" w:cs="Times New Roman"/>
          <w:sz w:val="24"/>
          <w:szCs w:val="24"/>
        </w:rPr>
        <w:t>un sistema articula</w:t>
      </w:r>
      <w:r w:rsidRPr="00723AA9">
        <w:rPr>
          <w:rFonts w:ascii="Times New Roman" w:hAnsi="Times New Roman" w:cs="Times New Roman"/>
          <w:sz w:val="24"/>
          <w:szCs w:val="24"/>
        </w:rPr>
        <w:t>do, cuyo riesgo de perder es</w:t>
      </w:r>
      <w:r w:rsidR="00975FFC" w:rsidRPr="00723AA9">
        <w:rPr>
          <w:rFonts w:ascii="Times New Roman" w:hAnsi="Times New Roman" w:cs="Times New Roman"/>
          <w:sz w:val="24"/>
          <w:szCs w:val="24"/>
        </w:rPr>
        <w:t xml:space="preserve"> </w:t>
      </w:r>
      <w:r w:rsidRPr="00723AA9">
        <w:rPr>
          <w:rFonts w:ascii="Times New Roman" w:hAnsi="Times New Roman" w:cs="Times New Roman"/>
          <w:sz w:val="24"/>
          <w:szCs w:val="24"/>
        </w:rPr>
        <w:t xml:space="preserve">su imposibilidad de réplica en otro lugar dentro del territorio provincial.  Así, la principal </w:t>
      </w:r>
      <w:r w:rsidRPr="00723AA9">
        <w:rPr>
          <w:rFonts w:ascii="Times New Roman" w:hAnsi="Times New Roman" w:cs="Times New Roman"/>
          <w:sz w:val="24"/>
          <w:szCs w:val="24"/>
        </w:rPr>
        <w:lastRenderedPageBreak/>
        <w:t>implicancia de los procesos de urbanización en los oasis es la desarticulación del sistema hídrico (</w:t>
      </w:r>
      <w:r w:rsidR="002404F7">
        <w:rPr>
          <w:rFonts w:ascii="Times New Roman" w:hAnsi="Times New Roman" w:cs="Times New Roman"/>
          <w:sz w:val="24"/>
          <w:szCs w:val="24"/>
        </w:rPr>
        <w:t>V</w:t>
      </w:r>
      <w:r w:rsidRPr="00723AA9">
        <w:rPr>
          <w:rFonts w:ascii="Times New Roman" w:hAnsi="Times New Roman" w:cs="Times New Roman"/>
          <w:sz w:val="24"/>
          <w:szCs w:val="24"/>
        </w:rPr>
        <w:t>an den Bosch</w:t>
      </w:r>
      <w:r w:rsidR="002404F7">
        <w:rPr>
          <w:rFonts w:ascii="Times New Roman" w:hAnsi="Times New Roman" w:cs="Times New Roman"/>
          <w:sz w:val="24"/>
          <w:szCs w:val="24"/>
        </w:rPr>
        <w:t xml:space="preserve"> y</w:t>
      </w:r>
      <w:r w:rsidRPr="00723AA9">
        <w:rPr>
          <w:rFonts w:ascii="Times New Roman" w:hAnsi="Times New Roman" w:cs="Times New Roman"/>
          <w:sz w:val="24"/>
          <w:szCs w:val="24"/>
        </w:rPr>
        <w:t xml:space="preserve"> Ruggeri</w:t>
      </w:r>
      <w:r w:rsidR="002404F7">
        <w:rPr>
          <w:rFonts w:ascii="Times New Roman" w:hAnsi="Times New Roman" w:cs="Times New Roman"/>
          <w:sz w:val="24"/>
          <w:szCs w:val="24"/>
        </w:rPr>
        <w:t>, 2014</w:t>
      </w:r>
      <w:r w:rsidRPr="00723AA9">
        <w:rPr>
          <w:rFonts w:ascii="Times New Roman" w:hAnsi="Times New Roman" w:cs="Times New Roman"/>
          <w:sz w:val="24"/>
          <w:szCs w:val="24"/>
        </w:rPr>
        <w:t>), el desaprovechamiento del agua de riego y finalmente, la pérdida de suelo apto para la producción</w:t>
      </w:r>
      <w:r w:rsidR="00CC0D18">
        <w:rPr>
          <w:rFonts w:ascii="Times New Roman" w:hAnsi="Times New Roman" w:cs="Times New Roman"/>
          <w:sz w:val="24"/>
          <w:szCs w:val="24"/>
        </w:rPr>
        <w:t xml:space="preserve"> y abastecedora de alimentos</w:t>
      </w:r>
      <w:r w:rsidRPr="00723AA9">
        <w:rPr>
          <w:rFonts w:ascii="Times New Roman" w:hAnsi="Times New Roman" w:cs="Times New Roman"/>
          <w:sz w:val="24"/>
          <w:szCs w:val="24"/>
        </w:rPr>
        <w:t xml:space="preserve">.  </w:t>
      </w:r>
    </w:p>
    <w:p w14:paraId="221F58A3" w14:textId="234BD71F" w:rsidR="003075B2" w:rsidRPr="00723AA9" w:rsidRDefault="00BC4F4D"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En particular, el cinturón verde mendocino, comprende principalmente tres departamentos que configuran el área del Gran Mendoza: Guaymallén, Maipú (Rodeo del Medio, San Roque, Fray Luis Beltrán, parte de </w:t>
      </w:r>
      <w:proofErr w:type="spellStart"/>
      <w:r w:rsidRPr="00723AA9">
        <w:rPr>
          <w:rFonts w:ascii="Times New Roman" w:hAnsi="Times New Roman" w:cs="Times New Roman"/>
          <w:sz w:val="24"/>
          <w:szCs w:val="24"/>
        </w:rPr>
        <w:t>Coquimbito</w:t>
      </w:r>
      <w:proofErr w:type="spellEnd"/>
      <w:r w:rsidRPr="00723AA9">
        <w:rPr>
          <w:rFonts w:ascii="Times New Roman" w:hAnsi="Times New Roman" w:cs="Times New Roman"/>
          <w:sz w:val="24"/>
          <w:szCs w:val="24"/>
        </w:rPr>
        <w:t xml:space="preserve">) y Lavalle (La Pega, Las </w:t>
      </w:r>
      <w:r w:rsidRPr="00512B08">
        <w:rPr>
          <w:rFonts w:ascii="Times New Roman" w:hAnsi="Times New Roman" w:cs="Times New Roman"/>
          <w:sz w:val="24"/>
          <w:szCs w:val="24"/>
        </w:rPr>
        <w:t xml:space="preserve">Violetas). Van </w:t>
      </w:r>
      <w:r w:rsidR="00E85AD9" w:rsidRPr="00512B08">
        <w:rPr>
          <w:rFonts w:ascii="Times New Roman" w:hAnsi="Times New Roman" w:cs="Times New Roman"/>
          <w:sz w:val="24"/>
          <w:szCs w:val="24"/>
        </w:rPr>
        <w:t>den Bosch</w:t>
      </w:r>
      <w:r w:rsidR="002404F7" w:rsidRPr="00512B08">
        <w:rPr>
          <w:rFonts w:ascii="Times New Roman" w:hAnsi="Times New Roman" w:cs="Times New Roman"/>
          <w:sz w:val="24"/>
          <w:szCs w:val="24"/>
        </w:rPr>
        <w:t xml:space="preserve"> y Ruggeri</w:t>
      </w:r>
      <w:r w:rsidR="00E85AD9" w:rsidRPr="00512B08">
        <w:rPr>
          <w:rFonts w:ascii="Times New Roman" w:hAnsi="Times New Roman" w:cs="Times New Roman"/>
          <w:sz w:val="24"/>
          <w:szCs w:val="24"/>
        </w:rPr>
        <w:t xml:space="preserve"> (2014</w:t>
      </w:r>
      <w:r w:rsidRPr="00512B08">
        <w:rPr>
          <w:rFonts w:ascii="Times New Roman" w:hAnsi="Times New Roman" w:cs="Times New Roman"/>
          <w:sz w:val="24"/>
          <w:szCs w:val="24"/>
        </w:rPr>
        <w:t>)</w:t>
      </w:r>
      <w:r w:rsidR="003075B2" w:rsidRPr="00512B08">
        <w:rPr>
          <w:rFonts w:ascii="Times New Roman" w:hAnsi="Times New Roman" w:cs="Times New Roman"/>
          <w:sz w:val="24"/>
          <w:szCs w:val="24"/>
        </w:rPr>
        <w:t xml:space="preserve"> lo caracteriza</w:t>
      </w:r>
      <w:r w:rsidR="002404F7" w:rsidRPr="00512B08">
        <w:rPr>
          <w:rFonts w:ascii="Times New Roman" w:hAnsi="Times New Roman" w:cs="Times New Roman"/>
          <w:sz w:val="24"/>
          <w:szCs w:val="24"/>
        </w:rPr>
        <w:t>n</w:t>
      </w:r>
      <w:r w:rsidR="008856B9" w:rsidRPr="00723AA9">
        <w:rPr>
          <w:rFonts w:ascii="Times New Roman" w:hAnsi="Times New Roman" w:cs="Times New Roman"/>
          <w:sz w:val="24"/>
          <w:szCs w:val="24"/>
        </w:rPr>
        <w:t xml:space="preserve"> base a las siguientes dinámicas que estimulan los interrogantes: </w:t>
      </w:r>
    </w:p>
    <w:p w14:paraId="01DD5FCF" w14:textId="057352B5" w:rsidR="003075B2" w:rsidRPr="00723AA9" w:rsidRDefault="003075B2" w:rsidP="00723AA9">
      <w:pPr>
        <w:pStyle w:val="Prrafodelista"/>
        <w:numPr>
          <w:ilvl w:val="0"/>
          <w:numId w:val="9"/>
        </w:numPr>
        <w:spacing w:before="120" w:after="120" w:line="360" w:lineRule="auto"/>
        <w:ind w:left="1134" w:hanging="425"/>
        <w:jc w:val="both"/>
        <w:rPr>
          <w:rFonts w:ascii="Times New Roman" w:hAnsi="Times New Roman" w:cs="Times New Roman"/>
          <w:sz w:val="24"/>
          <w:szCs w:val="24"/>
        </w:rPr>
      </w:pPr>
      <w:r w:rsidRPr="00723AA9">
        <w:rPr>
          <w:rFonts w:ascii="Times New Roman" w:hAnsi="Times New Roman" w:cs="Times New Roman"/>
          <w:i/>
          <w:sz w:val="24"/>
          <w:szCs w:val="24"/>
        </w:rPr>
        <w:t>Proceso de polarización de las explotaciones agrícolas</w:t>
      </w:r>
      <w:r w:rsidRPr="00723AA9">
        <w:rPr>
          <w:rFonts w:ascii="Times New Roman" w:hAnsi="Times New Roman" w:cs="Times New Roman"/>
          <w:sz w:val="24"/>
          <w:szCs w:val="24"/>
        </w:rPr>
        <w:t xml:space="preserve">: </w:t>
      </w:r>
      <w:r w:rsidR="00512B08">
        <w:rPr>
          <w:rFonts w:ascii="Times New Roman" w:hAnsi="Times New Roman" w:cs="Times New Roman"/>
          <w:sz w:val="24"/>
          <w:szCs w:val="24"/>
        </w:rPr>
        <w:t>Por un lado, existe una c</w:t>
      </w:r>
      <w:r w:rsidRPr="00723AA9">
        <w:rPr>
          <w:rFonts w:ascii="Times New Roman" w:hAnsi="Times New Roman" w:cs="Times New Roman"/>
          <w:sz w:val="24"/>
          <w:szCs w:val="24"/>
        </w:rPr>
        <w:t xml:space="preserve">aída del número de explotaciones </w:t>
      </w:r>
      <w:r w:rsidR="00512B08" w:rsidRPr="00723AA9">
        <w:rPr>
          <w:rFonts w:ascii="Times New Roman" w:hAnsi="Times New Roman" w:cs="Times New Roman"/>
          <w:sz w:val="24"/>
          <w:szCs w:val="24"/>
        </w:rPr>
        <w:t>menores de 5 ha</w:t>
      </w:r>
      <w:r w:rsidR="00512B08">
        <w:rPr>
          <w:rFonts w:ascii="Times New Roman" w:hAnsi="Times New Roman" w:cs="Times New Roman"/>
          <w:sz w:val="24"/>
          <w:szCs w:val="24"/>
        </w:rPr>
        <w:t xml:space="preserve">. </w:t>
      </w:r>
      <w:r w:rsidR="00071C18">
        <w:rPr>
          <w:rFonts w:ascii="Times New Roman" w:hAnsi="Times New Roman" w:cs="Times New Roman"/>
          <w:sz w:val="24"/>
          <w:szCs w:val="24"/>
        </w:rPr>
        <w:t>˗</w:t>
      </w:r>
      <w:r w:rsidR="00512B08">
        <w:rPr>
          <w:rFonts w:ascii="Times New Roman" w:hAnsi="Times New Roman" w:cs="Times New Roman"/>
          <w:sz w:val="24"/>
          <w:szCs w:val="24"/>
        </w:rPr>
        <w:t xml:space="preserve">sobre todo </w:t>
      </w:r>
      <w:r w:rsidRPr="00723AA9">
        <w:rPr>
          <w:rFonts w:ascii="Times New Roman" w:hAnsi="Times New Roman" w:cs="Times New Roman"/>
          <w:sz w:val="24"/>
          <w:szCs w:val="24"/>
        </w:rPr>
        <w:t>a partir de 200</w:t>
      </w:r>
      <w:r w:rsidR="00071C18">
        <w:rPr>
          <w:rFonts w:ascii="Times New Roman" w:hAnsi="Times New Roman" w:cs="Times New Roman"/>
          <w:sz w:val="24"/>
          <w:szCs w:val="24"/>
        </w:rPr>
        <w:t xml:space="preserve">2˗ </w:t>
      </w:r>
      <w:r w:rsidR="00512B08">
        <w:rPr>
          <w:rFonts w:ascii="Times New Roman" w:hAnsi="Times New Roman" w:cs="Times New Roman"/>
          <w:sz w:val="24"/>
          <w:szCs w:val="24"/>
        </w:rPr>
        <w:t>y</w:t>
      </w:r>
      <w:r w:rsidRPr="00723AA9">
        <w:rPr>
          <w:rFonts w:ascii="Times New Roman" w:hAnsi="Times New Roman" w:cs="Times New Roman"/>
          <w:sz w:val="24"/>
          <w:szCs w:val="24"/>
        </w:rPr>
        <w:t xml:space="preserve">, </w:t>
      </w:r>
      <w:r w:rsidR="00512B08">
        <w:rPr>
          <w:rFonts w:ascii="Times New Roman" w:hAnsi="Times New Roman" w:cs="Times New Roman"/>
          <w:sz w:val="24"/>
          <w:szCs w:val="24"/>
        </w:rPr>
        <w:t>por otro lado,</w:t>
      </w:r>
      <w:r w:rsidRPr="00723AA9">
        <w:rPr>
          <w:rFonts w:ascii="Times New Roman" w:hAnsi="Times New Roman" w:cs="Times New Roman"/>
          <w:sz w:val="24"/>
          <w:szCs w:val="24"/>
        </w:rPr>
        <w:t xml:space="preserve"> hubo un aumento de las de más de 100 ha. </w:t>
      </w:r>
      <w:r w:rsidR="00512B08" w:rsidRPr="00723AA9">
        <w:rPr>
          <w:rFonts w:ascii="Times New Roman" w:hAnsi="Times New Roman" w:cs="Times New Roman"/>
          <w:sz w:val="24"/>
          <w:szCs w:val="24"/>
        </w:rPr>
        <w:t>Mientras que el primer</w:t>
      </w:r>
      <w:r w:rsidR="00071C18">
        <w:rPr>
          <w:rFonts w:ascii="Times New Roman" w:hAnsi="Times New Roman" w:cs="Times New Roman"/>
          <w:sz w:val="24"/>
          <w:szCs w:val="24"/>
        </w:rPr>
        <w:t xml:space="preserve"> proceso</w:t>
      </w:r>
      <w:r w:rsidR="00512B08" w:rsidRPr="00723AA9">
        <w:rPr>
          <w:rFonts w:ascii="Times New Roman" w:hAnsi="Times New Roman" w:cs="Times New Roman"/>
          <w:sz w:val="24"/>
          <w:szCs w:val="24"/>
        </w:rPr>
        <w:t xml:space="preserve"> se encuentra relacionado con una mayor competencia con el uso del suelo urbano, donde los suelos agrícolas ven crecer su valor inmobiliario</w:t>
      </w:r>
      <w:r w:rsidR="00512B08">
        <w:rPr>
          <w:rFonts w:ascii="Times New Roman" w:hAnsi="Times New Roman" w:cs="Times New Roman"/>
          <w:sz w:val="24"/>
          <w:szCs w:val="24"/>
        </w:rPr>
        <w:t xml:space="preserve">; en cuanto al segundo, se trata de </w:t>
      </w:r>
      <w:r w:rsidR="008856B9" w:rsidRPr="00723AA9">
        <w:rPr>
          <w:rFonts w:ascii="Times New Roman" w:hAnsi="Times New Roman" w:cs="Times New Roman"/>
          <w:sz w:val="24"/>
          <w:szCs w:val="24"/>
        </w:rPr>
        <w:t xml:space="preserve">la incorporación de innovaciones tecnológicas y la necesidad de mayor escala. </w:t>
      </w:r>
    </w:p>
    <w:p w14:paraId="07F782F5" w14:textId="6B01BE0A" w:rsidR="008856B9" w:rsidRPr="00723AA9" w:rsidRDefault="008856B9" w:rsidP="00723AA9">
      <w:pPr>
        <w:pStyle w:val="Prrafodelista"/>
        <w:numPr>
          <w:ilvl w:val="0"/>
          <w:numId w:val="9"/>
        </w:numPr>
        <w:spacing w:before="120" w:after="120" w:line="360" w:lineRule="auto"/>
        <w:ind w:left="1134" w:hanging="425"/>
        <w:jc w:val="both"/>
        <w:rPr>
          <w:rFonts w:ascii="Times New Roman" w:hAnsi="Times New Roman" w:cs="Times New Roman"/>
          <w:sz w:val="24"/>
          <w:szCs w:val="24"/>
        </w:rPr>
      </w:pPr>
      <w:r w:rsidRPr="00723AA9">
        <w:rPr>
          <w:rFonts w:ascii="Times New Roman" w:hAnsi="Times New Roman" w:cs="Times New Roman"/>
          <w:i/>
          <w:sz w:val="24"/>
          <w:szCs w:val="24"/>
        </w:rPr>
        <w:t>Cambios en la estructura agraria:</w:t>
      </w:r>
      <w:r w:rsidRPr="00723AA9">
        <w:rPr>
          <w:rFonts w:ascii="Times New Roman" w:hAnsi="Times New Roman" w:cs="Times New Roman"/>
          <w:sz w:val="24"/>
          <w:szCs w:val="24"/>
        </w:rPr>
        <w:t xml:space="preserve"> El 40% de las explotaciones son de tipo familiar, donde prevalecen las figuras de productor permanente y productor con grupo familiar no remunerado, el cual se explica según Van den Bosch (2014) por la presencia de población de origen boliviano. Respecto a las formas contractuales−que incluyen la mediería−, advierte que crecieron principalmente aquellas donde interviene el productor como permanente. Y, finalmente, las figuras capitalizadas con trabajo asalariado representan un 30% del total y el 64% de la superficie. Es decir, aumentan tanto las figuras contractuales como las figuras con asalariados. </w:t>
      </w:r>
    </w:p>
    <w:p w14:paraId="2BE35276" w14:textId="179A115F" w:rsidR="00764704" w:rsidRPr="00723AA9" w:rsidRDefault="008856B9" w:rsidP="00723AA9">
      <w:pPr>
        <w:pStyle w:val="Prrafodelista"/>
        <w:numPr>
          <w:ilvl w:val="0"/>
          <w:numId w:val="9"/>
        </w:numPr>
        <w:spacing w:before="120" w:after="120" w:line="360" w:lineRule="auto"/>
        <w:ind w:left="1134" w:hanging="425"/>
        <w:jc w:val="both"/>
        <w:rPr>
          <w:rFonts w:ascii="Times New Roman" w:hAnsi="Times New Roman" w:cs="Times New Roman"/>
          <w:sz w:val="24"/>
          <w:szCs w:val="24"/>
        </w:rPr>
      </w:pPr>
      <w:r w:rsidRPr="00723AA9">
        <w:rPr>
          <w:rFonts w:ascii="Times New Roman" w:hAnsi="Times New Roman" w:cs="Times New Roman"/>
          <w:i/>
          <w:sz w:val="24"/>
          <w:szCs w:val="24"/>
        </w:rPr>
        <w:t>Especialización hortícola:</w:t>
      </w:r>
      <w:r w:rsidRPr="00723AA9">
        <w:rPr>
          <w:rFonts w:ascii="Times New Roman" w:hAnsi="Times New Roman" w:cs="Times New Roman"/>
          <w:sz w:val="24"/>
          <w:szCs w:val="24"/>
        </w:rPr>
        <w:t xml:space="preserve"> </w:t>
      </w:r>
      <w:r w:rsidR="00FE3CA7">
        <w:rPr>
          <w:rFonts w:ascii="Times New Roman" w:hAnsi="Times New Roman" w:cs="Times New Roman"/>
          <w:sz w:val="24"/>
          <w:szCs w:val="24"/>
        </w:rPr>
        <w:t>E</w:t>
      </w:r>
      <w:r w:rsidRPr="00723AA9">
        <w:rPr>
          <w:rFonts w:ascii="Times New Roman" w:hAnsi="Times New Roman" w:cs="Times New Roman"/>
          <w:sz w:val="24"/>
          <w:szCs w:val="24"/>
        </w:rPr>
        <w:t xml:space="preserve">sta especialización del suelo </w:t>
      </w:r>
      <w:r w:rsidR="00FE3CA7" w:rsidRPr="00723AA9">
        <w:rPr>
          <w:rFonts w:ascii="Times New Roman" w:hAnsi="Times New Roman" w:cs="Times New Roman"/>
          <w:sz w:val="24"/>
          <w:szCs w:val="24"/>
        </w:rPr>
        <w:t>hortícola</w:t>
      </w:r>
      <w:r w:rsidRPr="00723AA9">
        <w:rPr>
          <w:rFonts w:ascii="Times New Roman" w:hAnsi="Times New Roman" w:cs="Times New Roman"/>
          <w:sz w:val="24"/>
          <w:szCs w:val="24"/>
        </w:rPr>
        <w:t xml:space="preserve"> se da en detrimento del vitícola y olivícola (1988-2008), explicado por la profunda crisis </w:t>
      </w:r>
      <w:r w:rsidR="005B60E2">
        <w:rPr>
          <w:rFonts w:ascii="Times New Roman" w:hAnsi="Times New Roman" w:cs="Times New Roman"/>
          <w:sz w:val="24"/>
          <w:szCs w:val="24"/>
        </w:rPr>
        <w:t>del primero</w:t>
      </w:r>
      <w:r w:rsidRPr="00723AA9">
        <w:rPr>
          <w:rFonts w:ascii="Times New Roman" w:hAnsi="Times New Roman" w:cs="Times New Roman"/>
          <w:sz w:val="24"/>
          <w:szCs w:val="24"/>
        </w:rPr>
        <w:t xml:space="preserve">. </w:t>
      </w:r>
      <w:r w:rsidR="00764704" w:rsidRPr="00723AA9">
        <w:rPr>
          <w:rFonts w:ascii="Times New Roman" w:hAnsi="Times New Roman" w:cs="Times New Roman"/>
          <w:sz w:val="24"/>
          <w:szCs w:val="24"/>
        </w:rPr>
        <w:t xml:space="preserve">Esto, advierte la tendencia hacia la especialización hortícola (sobre todo en fresco), que se evidencia en el aumento de la superficie media (de 3 a 5 ha) de las explotaciones hortícolas (más del 70% de la superficie), pero también </w:t>
      </w:r>
      <w:r w:rsidR="00764704" w:rsidRPr="00723AA9">
        <w:rPr>
          <w:rFonts w:ascii="Times New Roman" w:hAnsi="Times New Roman" w:cs="Times New Roman"/>
          <w:sz w:val="24"/>
          <w:szCs w:val="24"/>
        </w:rPr>
        <w:lastRenderedPageBreak/>
        <w:t xml:space="preserve">por las explotaciones </w:t>
      </w:r>
      <w:r w:rsidR="005B60E2" w:rsidRPr="00723AA9">
        <w:rPr>
          <w:rFonts w:ascii="Times New Roman" w:hAnsi="Times New Roman" w:cs="Times New Roman"/>
          <w:sz w:val="24"/>
          <w:szCs w:val="24"/>
        </w:rPr>
        <w:t>Mixto-hortícolas</w:t>
      </w:r>
      <w:r w:rsidR="005B60E2">
        <w:rPr>
          <w:rStyle w:val="Refdenotaalpie"/>
          <w:rFonts w:ascii="Times New Roman" w:hAnsi="Times New Roman" w:cs="Times New Roman"/>
          <w:sz w:val="24"/>
          <w:szCs w:val="24"/>
        </w:rPr>
        <w:footnoteReference w:id="1"/>
      </w:r>
      <w:r w:rsidR="00764704" w:rsidRPr="00723AA9">
        <w:rPr>
          <w:rFonts w:ascii="Times New Roman" w:hAnsi="Times New Roman" w:cs="Times New Roman"/>
          <w:sz w:val="24"/>
          <w:szCs w:val="24"/>
        </w:rPr>
        <w:t xml:space="preserve"> que crecen en superficie, más que en frecuencia. </w:t>
      </w:r>
    </w:p>
    <w:p w14:paraId="7C2B63E7" w14:textId="72E4399B" w:rsidR="00764704" w:rsidRPr="00723AA9" w:rsidRDefault="00764704" w:rsidP="00723AA9">
      <w:pPr>
        <w:spacing w:before="120" w:after="120" w:line="360" w:lineRule="auto"/>
        <w:ind w:left="1134"/>
        <w:contextualSpacing/>
        <w:jc w:val="both"/>
        <w:rPr>
          <w:rFonts w:ascii="Times New Roman" w:hAnsi="Times New Roman" w:cs="Times New Roman"/>
          <w:sz w:val="24"/>
          <w:szCs w:val="24"/>
        </w:rPr>
      </w:pPr>
      <w:r w:rsidRPr="00723AA9">
        <w:rPr>
          <w:rFonts w:ascii="Times New Roman" w:hAnsi="Times New Roman" w:cs="Times New Roman"/>
          <w:sz w:val="24"/>
          <w:szCs w:val="24"/>
        </w:rPr>
        <w:t>Por otra parte, respecto a los tipos de sistemas hacia el interior de la horticultura, advierte que la participación de</w:t>
      </w:r>
      <w:r w:rsidR="005B60E2">
        <w:rPr>
          <w:rFonts w:ascii="Times New Roman" w:hAnsi="Times New Roman" w:cs="Times New Roman"/>
          <w:sz w:val="24"/>
          <w:szCs w:val="24"/>
        </w:rPr>
        <w:t>l ajo</w:t>
      </w:r>
      <w:r w:rsidRPr="00723AA9">
        <w:rPr>
          <w:rFonts w:ascii="Times New Roman" w:hAnsi="Times New Roman" w:cs="Times New Roman"/>
          <w:sz w:val="24"/>
          <w:szCs w:val="24"/>
        </w:rPr>
        <w:t xml:space="preserve"> y </w:t>
      </w:r>
      <w:r w:rsidR="005B60E2">
        <w:rPr>
          <w:rFonts w:ascii="Times New Roman" w:hAnsi="Times New Roman" w:cs="Times New Roman"/>
          <w:sz w:val="24"/>
          <w:szCs w:val="24"/>
        </w:rPr>
        <w:t xml:space="preserve">la </w:t>
      </w:r>
      <w:r w:rsidRPr="00723AA9">
        <w:rPr>
          <w:rFonts w:ascii="Times New Roman" w:hAnsi="Times New Roman" w:cs="Times New Roman"/>
          <w:sz w:val="24"/>
          <w:szCs w:val="24"/>
        </w:rPr>
        <w:t>ceboll</w:t>
      </w:r>
      <w:r w:rsidR="005B60E2">
        <w:rPr>
          <w:rFonts w:ascii="Times New Roman" w:hAnsi="Times New Roman" w:cs="Times New Roman"/>
          <w:sz w:val="24"/>
          <w:szCs w:val="24"/>
        </w:rPr>
        <w:t>a</w:t>
      </w:r>
      <w:r w:rsidRPr="00723AA9">
        <w:rPr>
          <w:rFonts w:ascii="Times New Roman" w:hAnsi="Times New Roman" w:cs="Times New Roman"/>
          <w:sz w:val="24"/>
          <w:szCs w:val="24"/>
        </w:rPr>
        <w:t>, junto con el tomate y pimientos para industria han decrecido, contrariamente a las verduras frescas, quienes crecieron hasta alcanzar el 57% de la participación (principalmente en los departamentos de Guaymallén y Maipú).</w:t>
      </w:r>
    </w:p>
    <w:p w14:paraId="24B130D0" w14:textId="4890A7AF" w:rsidR="003075B2" w:rsidRPr="00723AA9" w:rsidRDefault="003075B2" w:rsidP="00723AA9">
      <w:pPr>
        <w:pStyle w:val="Prrafodelista"/>
        <w:numPr>
          <w:ilvl w:val="0"/>
          <w:numId w:val="9"/>
        </w:numPr>
        <w:spacing w:before="120" w:after="120" w:line="360" w:lineRule="auto"/>
        <w:ind w:left="1134" w:hanging="425"/>
        <w:jc w:val="both"/>
        <w:rPr>
          <w:rFonts w:ascii="Times New Roman" w:hAnsi="Times New Roman" w:cs="Times New Roman"/>
          <w:sz w:val="24"/>
          <w:szCs w:val="24"/>
        </w:rPr>
      </w:pPr>
      <w:r w:rsidRPr="00723AA9">
        <w:rPr>
          <w:rFonts w:ascii="Times New Roman" w:hAnsi="Times New Roman" w:cs="Times New Roman"/>
          <w:i/>
          <w:sz w:val="24"/>
          <w:szCs w:val="24"/>
        </w:rPr>
        <w:t>Procesos expansivos de la superficie agrícola</w:t>
      </w:r>
      <w:r w:rsidRPr="00723AA9">
        <w:rPr>
          <w:rFonts w:ascii="Times New Roman" w:hAnsi="Times New Roman" w:cs="Times New Roman"/>
          <w:sz w:val="24"/>
          <w:szCs w:val="24"/>
        </w:rPr>
        <w:t xml:space="preserve">: </w:t>
      </w:r>
      <w:r w:rsidR="00FE3CA7">
        <w:rPr>
          <w:rFonts w:ascii="Times New Roman" w:hAnsi="Times New Roman" w:cs="Times New Roman"/>
          <w:sz w:val="24"/>
          <w:szCs w:val="24"/>
        </w:rPr>
        <w:t>Se trata fundamentalmente del c</w:t>
      </w:r>
      <w:r w:rsidRPr="00723AA9">
        <w:rPr>
          <w:rFonts w:ascii="Times New Roman" w:hAnsi="Times New Roman" w:cs="Times New Roman"/>
          <w:sz w:val="24"/>
          <w:szCs w:val="24"/>
        </w:rPr>
        <w:t xml:space="preserve">recimiento de las </w:t>
      </w:r>
      <w:proofErr w:type="spellStart"/>
      <w:r w:rsidRPr="00723AA9">
        <w:rPr>
          <w:rFonts w:ascii="Times New Roman" w:hAnsi="Times New Roman" w:cs="Times New Roman"/>
          <w:sz w:val="24"/>
          <w:szCs w:val="24"/>
        </w:rPr>
        <w:t>EAPs</w:t>
      </w:r>
      <w:proofErr w:type="spellEnd"/>
      <w:r w:rsidRPr="00723AA9">
        <w:rPr>
          <w:rFonts w:ascii="Times New Roman" w:hAnsi="Times New Roman" w:cs="Times New Roman"/>
          <w:sz w:val="24"/>
          <w:szCs w:val="24"/>
        </w:rPr>
        <w:t xml:space="preserve"> de más de 100 ha (muy grandes). </w:t>
      </w:r>
    </w:p>
    <w:p w14:paraId="7263131B" w14:textId="707DBB1D" w:rsidR="008856B9" w:rsidRPr="00723AA9" w:rsidRDefault="00764704"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Siguiendo con el mismo lapso intercensal, a</w:t>
      </w:r>
      <w:r w:rsidR="008856B9" w:rsidRPr="00723AA9">
        <w:rPr>
          <w:rFonts w:ascii="Times New Roman" w:hAnsi="Times New Roman" w:cs="Times New Roman"/>
          <w:sz w:val="24"/>
          <w:szCs w:val="24"/>
        </w:rPr>
        <w:t xml:space="preserve"> nivel departamental, </w:t>
      </w:r>
      <w:r w:rsidRPr="00723AA9">
        <w:rPr>
          <w:rFonts w:ascii="Times New Roman" w:hAnsi="Times New Roman" w:cs="Times New Roman"/>
          <w:sz w:val="24"/>
          <w:szCs w:val="24"/>
        </w:rPr>
        <w:t>la expresión de estos cambios se evidencia</w:t>
      </w:r>
      <w:r w:rsidR="008856B9" w:rsidRPr="00723AA9">
        <w:rPr>
          <w:rFonts w:ascii="Times New Roman" w:hAnsi="Times New Roman" w:cs="Times New Roman"/>
          <w:sz w:val="24"/>
          <w:szCs w:val="24"/>
        </w:rPr>
        <w:t xml:space="preserve"> en</w:t>
      </w:r>
      <w:r w:rsidR="00FE3CA7">
        <w:rPr>
          <w:rFonts w:ascii="Times New Roman" w:hAnsi="Times New Roman" w:cs="Times New Roman"/>
          <w:sz w:val="24"/>
          <w:szCs w:val="24"/>
        </w:rPr>
        <w:t>:</w:t>
      </w:r>
      <w:r w:rsidR="008856B9" w:rsidRPr="00723AA9">
        <w:rPr>
          <w:rFonts w:ascii="Times New Roman" w:hAnsi="Times New Roman" w:cs="Times New Roman"/>
          <w:sz w:val="24"/>
          <w:szCs w:val="24"/>
        </w:rPr>
        <w:t xml:space="preserve"> 1) una clara caída de las explotaciones en el departamento más cercano al AMM, como es Guaymallén donde </w:t>
      </w:r>
      <w:r w:rsidRPr="00723AA9">
        <w:rPr>
          <w:rFonts w:ascii="Times New Roman" w:hAnsi="Times New Roman" w:cs="Times New Roman"/>
          <w:sz w:val="24"/>
          <w:szCs w:val="24"/>
        </w:rPr>
        <w:t xml:space="preserve">éstas </w:t>
      </w:r>
      <w:r w:rsidR="008856B9" w:rsidRPr="00723AA9">
        <w:rPr>
          <w:rFonts w:ascii="Times New Roman" w:hAnsi="Times New Roman" w:cs="Times New Roman"/>
          <w:sz w:val="24"/>
          <w:szCs w:val="24"/>
        </w:rPr>
        <w:t>c</w:t>
      </w:r>
      <w:r w:rsidRPr="00723AA9">
        <w:rPr>
          <w:rFonts w:ascii="Times New Roman" w:hAnsi="Times New Roman" w:cs="Times New Roman"/>
          <w:sz w:val="24"/>
          <w:szCs w:val="24"/>
        </w:rPr>
        <w:t>aen a la mitad (de 2002 a 1044), b) una fuerte caída en el departamento en Maipú que va de las 4.443 explotaciones a 2.920; c) mientras que en Lavalle –el departamento más alejado del AMM- evidencia una menor caída (</w:t>
      </w:r>
      <w:r w:rsidR="008856B9" w:rsidRPr="00723AA9">
        <w:rPr>
          <w:rFonts w:ascii="Times New Roman" w:hAnsi="Times New Roman" w:cs="Times New Roman"/>
          <w:sz w:val="24"/>
          <w:szCs w:val="24"/>
        </w:rPr>
        <w:t>1935 a 1798)</w:t>
      </w:r>
      <w:r w:rsidRPr="00723AA9">
        <w:rPr>
          <w:rFonts w:ascii="Times New Roman" w:hAnsi="Times New Roman" w:cs="Times New Roman"/>
          <w:sz w:val="24"/>
          <w:szCs w:val="24"/>
        </w:rPr>
        <w:t xml:space="preserve"> (DEIE, 2014). </w:t>
      </w:r>
    </w:p>
    <w:p w14:paraId="4B154115" w14:textId="36F954A4" w:rsidR="00764704" w:rsidRPr="00723AA9" w:rsidRDefault="00764704"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Cabe destacar que ningún departamento </w:t>
      </w:r>
      <w:r w:rsidRPr="008A4D4E">
        <w:rPr>
          <w:rFonts w:ascii="Times New Roman" w:hAnsi="Times New Roman" w:cs="Times New Roman"/>
          <w:sz w:val="24"/>
          <w:szCs w:val="24"/>
        </w:rPr>
        <w:t>advierte un aumento de las explotaciones, sino que la tendencia evidente es hacia su disminución. Ahora bien, si analizamos la superficie total</w:t>
      </w:r>
      <w:r w:rsidR="008A4D4E" w:rsidRPr="008A4D4E">
        <w:rPr>
          <w:rFonts w:ascii="Times New Roman" w:hAnsi="Times New Roman" w:cs="Times New Roman"/>
          <w:sz w:val="24"/>
          <w:szCs w:val="24"/>
        </w:rPr>
        <w:t xml:space="preserve">, ésta crece, pero en cuanto a las escalas de </w:t>
      </w:r>
      <w:proofErr w:type="spellStart"/>
      <w:r w:rsidR="008A4D4E" w:rsidRPr="008A4D4E">
        <w:rPr>
          <w:rFonts w:ascii="Times New Roman" w:hAnsi="Times New Roman" w:cs="Times New Roman"/>
          <w:sz w:val="24"/>
          <w:szCs w:val="24"/>
        </w:rPr>
        <w:t>EAPs</w:t>
      </w:r>
      <w:proofErr w:type="spellEnd"/>
      <w:r w:rsidR="008A4D4E" w:rsidRPr="008A4D4E">
        <w:rPr>
          <w:rFonts w:ascii="Times New Roman" w:hAnsi="Times New Roman" w:cs="Times New Roman"/>
          <w:sz w:val="24"/>
          <w:szCs w:val="24"/>
        </w:rPr>
        <w:t xml:space="preserve"> </w:t>
      </w:r>
      <w:r w:rsidRPr="008A4D4E">
        <w:rPr>
          <w:rFonts w:ascii="Times New Roman" w:hAnsi="Times New Roman" w:cs="Times New Roman"/>
          <w:sz w:val="24"/>
          <w:szCs w:val="24"/>
        </w:rPr>
        <w:t>encontramos</w:t>
      </w:r>
      <w:r w:rsidRPr="00723AA9">
        <w:rPr>
          <w:rFonts w:ascii="Times New Roman" w:hAnsi="Times New Roman" w:cs="Times New Roman"/>
          <w:sz w:val="24"/>
          <w:szCs w:val="24"/>
        </w:rPr>
        <w:t xml:space="preserve"> que </w:t>
      </w:r>
      <w:r w:rsidR="008A4D4E">
        <w:rPr>
          <w:rFonts w:ascii="Times New Roman" w:hAnsi="Times New Roman" w:cs="Times New Roman"/>
          <w:sz w:val="24"/>
          <w:szCs w:val="24"/>
        </w:rPr>
        <w:t>s</w:t>
      </w:r>
      <w:r w:rsidRPr="00723AA9">
        <w:rPr>
          <w:rFonts w:ascii="Times New Roman" w:hAnsi="Times New Roman" w:cs="Times New Roman"/>
          <w:sz w:val="24"/>
          <w:szCs w:val="24"/>
        </w:rPr>
        <w:t xml:space="preserve">on aquellas que van de las 100 ha y hasta más de 10.000 ha (DEIE, 2014). </w:t>
      </w:r>
      <w:r w:rsidR="00E0182F" w:rsidRPr="00723AA9">
        <w:rPr>
          <w:rFonts w:ascii="Times New Roman" w:hAnsi="Times New Roman" w:cs="Times New Roman"/>
          <w:sz w:val="24"/>
          <w:szCs w:val="24"/>
        </w:rPr>
        <w:t xml:space="preserve">Pero como se menciona anteriormente, </w:t>
      </w:r>
      <w:r w:rsidR="008A4D4E">
        <w:rPr>
          <w:rFonts w:ascii="Times New Roman" w:hAnsi="Times New Roman" w:cs="Times New Roman"/>
          <w:sz w:val="24"/>
          <w:szCs w:val="24"/>
        </w:rPr>
        <w:t xml:space="preserve">además de tratarse de concentración también </w:t>
      </w:r>
      <w:r w:rsidR="00E0182F" w:rsidRPr="00723AA9">
        <w:rPr>
          <w:rFonts w:ascii="Times New Roman" w:hAnsi="Times New Roman" w:cs="Times New Roman"/>
          <w:sz w:val="24"/>
          <w:szCs w:val="24"/>
        </w:rPr>
        <w:t xml:space="preserve">denota procesos expansivos, que serán objeto de análisis a continuación.  </w:t>
      </w:r>
    </w:p>
    <w:p w14:paraId="2942D267" w14:textId="2705075B" w:rsidR="00E0182F" w:rsidRPr="00723AA9" w:rsidRDefault="00E0182F" w:rsidP="00723AA9">
      <w:pPr>
        <w:pStyle w:val="Prrafodelista"/>
        <w:numPr>
          <w:ilvl w:val="1"/>
          <w:numId w:val="1"/>
        </w:numPr>
        <w:spacing w:before="120" w:after="120" w:line="360" w:lineRule="auto"/>
        <w:ind w:left="0" w:firstLine="709"/>
        <w:jc w:val="both"/>
        <w:rPr>
          <w:rFonts w:ascii="Times New Roman" w:hAnsi="Times New Roman" w:cs="Times New Roman"/>
          <w:i/>
          <w:sz w:val="24"/>
          <w:szCs w:val="24"/>
        </w:rPr>
      </w:pPr>
      <w:r w:rsidRPr="00723AA9">
        <w:rPr>
          <w:rFonts w:ascii="Times New Roman" w:hAnsi="Times New Roman" w:cs="Times New Roman"/>
          <w:i/>
          <w:sz w:val="24"/>
          <w:szCs w:val="24"/>
        </w:rPr>
        <w:t xml:space="preserve">Sobre los procesos expansivos de superficie agrícola. </w:t>
      </w:r>
    </w:p>
    <w:p w14:paraId="3274B87D" w14:textId="24164BEB" w:rsidR="00D90F74" w:rsidRPr="00723AA9" w:rsidRDefault="00B971F7" w:rsidP="00723AA9">
      <w:pPr>
        <w:pStyle w:val="Prrafodelista"/>
        <w:spacing w:before="120" w:after="120" w:line="360" w:lineRule="auto"/>
        <w:ind w:left="0" w:firstLine="709"/>
        <w:jc w:val="both"/>
        <w:rPr>
          <w:rFonts w:ascii="Times New Roman" w:hAnsi="Times New Roman" w:cs="Times New Roman"/>
          <w:sz w:val="24"/>
          <w:szCs w:val="24"/>
        </w:rPr>
      </w:pPr>
      <w:r w:rsidRPr="00723AA9">
        <w:rPr>
          <w:rFonts w:ascii="Times New Roman" w:hAnsi="Times New Roman" w:cs="Times New Roman"/>
          <w:sz w:val="24"/>
          <w:szCs w:val="24"/>
        </w:rPr>
        <w:t xml:space="preserve">Pensar al cinturón verde como un territorio dinámico, cuya lógica excede los límites departamentales encontramos una fuerte imbricación entre los cambios de un departamento respecto a otro. </w:t>
      </w:r>
      <w:r w:rsidR="00952214" w:rsidRPr="00723AA9">
        <w:rPr>
          <w:rFonts w:ascii="Times New Roman" w:hAnsi="Times New Roman" w:cs="Times New Roman"/>
          <w:sz w:val="24"/>
          <w:szCs w:val="24"/>
        </w:rPr>
        <w:t>En el caso de Guaymallén, según la consulta a fuentes primarias del Mercado Cooperativo de Guaymallén y de entes gubernamentales, se advierte que, si bien se han abandonado zonas del periurbano</w:t>
      </w:r>
      <w:r w:rsidRPr="00723AA9">
        <w:rPr>
          <w:rFonts w:ascii="Times New Roman" w:hAnsi="Times New Roman" w:cs="Times New Roman"/>
          <w:sz w:val="24"/>
          <w:szCs w:val="24"/>
        </w:rPr>
        <w:t xml:space="preserve"> del AMM</w:t>
      </w:r>
      <w:r w:rsidR="00952214" w:rsidRPr="00723AA9">
        <w:rPr>
          <w:rFonts w:ascii="Times New Roman" w:hAnsi="Times New Roman" w:cs="Times New Roman"/>
          <w:sz w:val="24"/>
          <w:szCs w:val="24"/>
        </w:rPr>
        <w:t>, se están instalando emprendimientos hortícolas en distritos del oeste de Lavalle</w:t>
      </w:r>
      <w:r w:rsidRPr="00723AA9">
        <w:rPr>
          <w:rFonts w:ascii="Times New Roman" w:hAnsi="Times New Roman" w:cs="Times New Roman"/>
          <w:sz w:val="24"/>
          <w:szCs w:val="24"/>
        </w:rPr>
        <w:t xml:space="preserve"> y el noreste de Maipú</w:t>
      </w:r>
      <w:r w:rsidR="00952214" w:rsidRPr="00723AA9">
        <w:rPr>
          <w:rFonts w:ascii="Times New Roman" w:hAnsi="Times New Roman" w:cs="Times New Roman"/>
          <w:sz w:val="24"/>
          <w:szCs w:val="24"/>
        </w:rPr>
        <w:t xml:space="preserve">, compensando y/o ampliando las </w:t>
      </w:r>
      <w:r w:rsidR="00952214" w:rsidRPr="00723AA9">
        <w:rPr>
          <w:rFonts w:ascii="Times New Roman" w:hAnsi="Times New Roman" w:cs="Times New Roman"/>
          <w:sz w:val="24"/>
          <w:szCs w:val="24"/>
        </w:rPr>
        <w:lastRenderedPageBreak/>
        <w:t xml:space="preserve">superficies. </w:t>
      </w:r>
      <w:r w:rsidRPr="00723AA9">
        <w:rPr>
          <w:rFonts w:ascii="Times New Roman" w:hAnsi="Times New Roman" w:cs="Times New Roman"/>
          <w:sz w:val="24"/>
          <w:szCs w:val="24"/>
        </w:rPr>
        <w:t>En particular</w:t>
      </w:r>
      <w:r w:rsidR="00952214" w:rsidRPr="00723AA9">
        <w:rPr>
          <w:rFonts w:ascii="Times New Roman" w:hAnsi="Times New Roman" w:cs="Times New Roman"/>
          <w:sz w:val="24"/>
          <w:szCs w:val="24"/>
        </w:rPr>
        <w:t xml:space="preserve">, </w:t>
      </w:r>
      <w:r w:rsidRPr="00723AA9">
        <w:rPr>
          <w:rFonts w:ascii="Times New Roman" w:hAnsi="Times New Roman" w:cs="Times New Roman"/>
          <w:sz w:val="24"/>
          <w:szCs w:val="24"/>
        </w:rPr>
        <w:t xml:space="preserve">sobre </w:t>
      </w:r>
      <w:r w:rsidR="00952214" w:rsidRPr="00723AA9">
        <w:rPr>
          <w:rFonts w:ascii="Times New Roman" w:hAnsi="Times New Roman" w:cs="Times New Roman"/>
          <w:sz w:val="24"/>
          <w:szCs w:val="24"/>
        </w:rPr>
        <w:t xml:space="preserve">distritos como Fray Luis Beltrán </w:t>
      </w:r>
      <w:r w:rsidRPr="00723AA9">
        <w:rPr>
          <w:rFonts w:ascii="Times New Roman" w:hAnsi="Times New Roman" w:cs="Times New Roman"/>
          <w:sz w:val="24"/>
          <w:szCs w:val="24"/>
        </w:rPr>
        <w:t>(</w:t>
      </w:r>
      <w:r w:rsidR="00952214" w:rsidRPr="00723AA9">
        <w:rPr>
          <w:rFonts w:ascii="Times New Roman" w:hAnsi="Times New Roman" w:cs="Times New Roman"/>
          <w:sz w:val="24"/>
          <w:szCs w:val="24"/>
        </w:rPr>
        <w:t>Maipú</w:t>
      </w:r>
      <w:r w:rsidRPr="00723AA9">
        <w:rPr>
          <w:rFonts w:ascii="Times New Roman" w:hAnsi="Times New Roman" w:cs="Times New Roman"/>
          <w:sz w:val="24"/>
          <w:szCs w:val="24"/>
        </w:rPr>
        <w:t>)</w:t>
      </w:r>
      <w:r w:rsidR="001C2F2B">
        <w:rPr>
          <w:rFonts w:ascii="Times New Roman" w:hAnsi="Times New Roman" w:cs="Times New Roman"/>
          <w:sz w:val="24"/>
          <w:szCs w:val="24"/>
        </w:rPr>
        <w:t xml:space="preserve">, </w:t>
      </w:r>
      <w:r w:rsidR="00952214" w:rsidRPr="00723AA9">
        <w:rPr>
          <w:rFonts w:ascii="Times New Roman" w:hAnsi="Times New Roman" w:cs="Times New Roman"/>
          <w:sz w:val="24"/>
          <w:szCs w:val="24"/>
        </w:rPr>
        <w:t>El Vergel y las Violetas</w:t>
      </w:r>
      <w:r w:rsidRPr="00723AA9">
        <w:rPr>
          <w:rFonts w:ascii="Times New Roman" w:hAnsi="Times New Roman" w:cs="Times New Roman"/>
          <w:sz w:val="24"/>
          <w:szCs w:val="24"/>
        </w:rPr>
        <w:t xml:space="preserve"> (Lavalle). </w:t>
      </w:r>
      <w:r w:rsidR="00952214" w:rsidRPr="00723AA9">
        <w:rPr>
          <w:rFonts w:ascii="Times New Roman" w:hAnsi="Times New Roman" w:cs="Times New Roman"/>
          <w:sz w:val="24"/>
          <w:szCs w:val="24"/>
        </w:rPr>
        <w:t xml:space="preserve"> </w:t>
      </w:r>
    </w:p>
    <w:p w14:paraId="706EFD8C" w14:textId="2A591EAF" w:rsidR="00B971F7" w:rsidRPr="00723AA9" w:rsidRDefault="001C2F2B" w:rsidP="00723AA9">
      <w:pPr>
        <w:spacing w:before="120"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w:t>
      </w:r>
      <w:r w:rsidR="00D90F74" w:rsidRPr="00723AA9">
        <w:rPr>
          <w:rFonts w:ascii="Times New Roman" w:hAnsi="Times New Roman" w:cs="Times New Roman"/>
          <w:sz w:val="24"/>
          <w:szCs w:val="24"/>
        </w:rPr>
        <w:t xml:space="preserve">ara este estudio, </w:t>
      </w:r>
      <w:r>
        <w:rPr>
          <w:rFonts w:ascii="Times New Roman" w:hAnsi="Times New Roman" w:cs="Times New Roman"/>
          <w:sz w:val="24"/>
          <w:szCs w:val="24"/>
        </w:rPr>
        <w:t>resulta</w:t>
      </w:r>
      <w:r w:rsidR="00D90F74" w:rsidRPr="00723AA9">
        <w:rPr>
          <w:rFonts w:ascii="Times New Roman" w:hAnsi="Times New Roman" w:cs="Times New Roman"/>
          <w:sz w:val="24"/>
          <w:szCs w:val="24"/>
        </w:rPr>
        <w:t xml:space="preserve"> interesante analizar qué sucede en el departamento de Maipú. </w:t>
      </w:r>
      <w:r>
        <w:rPr>
          <w:rFonts w:ascii="Times New Roman" w:hAnsi="Times New Roman" w:cs="Times New Roman"/>
          <w:sz w:val="24"/>
          <w:szCs w:val="24"/>
        </w:rPr>
        <w:t>Éste</w:t>
      </w:r>
      <w:r w:rsidR="00B971F7" w:rsidRPr="00723AA9">
        <w:rPr>
          <w:rFonts w:ascii="Times New Roman" w:hAnsi="Times New Roman" w:cs="Times New Roman"/>
          <w:sz w:val="24"/>
          <w:szCs w:val="24"/>
        </w:rPr>
        <w:t xml:space="preserve"> conforma el Área Metropolitana de Mendoza desde 1975 cuando el incremento poblacional comenzó a demandar de nuevas tierras y</w:t>
      </w:r>
      <w:r>
        <w:rPr>
          <w:rFonts w:ascii="Times New Roman" w:hAnsi="Times New Roman" w:cs="Times New Roman"/>
          <w:sz w:val="24"/>
          <w:szCs w:val="24"/>
        </w:rPr>
        <w:t>,</w:t>
      </w:r>
      <w:r w:rsidR="00B971F7" w:rsidRPr="00723AA9">
        <w:rPr>
          <w:rFonts w:ascii="Times New Roman" w:hAnsi="Times New Roman" w:cs="Times New Roman"/>
          <w:sz w:val="24"/>
          <w:szCs w:val="24"/>
        </w:rPr>
        <w:t xml:space="preserve"> </w:t>
      </w:r>
      <w:r w:rsidRPr="00723AA9">
        <w:rPr>
          <w:rFonts w:ascii="Times New Roman" w:hAnsi="Times New Roman" w:cs="Times New Roman"/>
          <w:sz w:val="24"/>
          <w:szCs w:val="24"/>
        </w:rPr>
        <w:t>hacia la década de los ’90</w:t>
      </w:r>
      <w:r>
        <w:rPr>
          <w:rFonts w:ascii="Times New Roman" w:hAnsi="Times New Roman" w:cs="Times New Roman"/>
          <w:sz w:val="24"/>
          <w:szCs w:val="24"/>
        </w:rPr>
        <w:t>,</w:t>
      </w:r>
      <w:r w:rsidRPr="00723AA9">
        <w:rPr>
          <w:rFonts w:ascii="Times New Roman" w:hAnsi="Times New Roman" w:cs="Times New Roman"/>
          <w:sz w:val="24"/>
          <w:szCs w:val="24"/>
        </w:rPr>
        <w:t xml:space="preserve"> </w:t>
      </w:r>
      <w:r w:rsidR="00B971F7" w:rsidRPr="00723AA9">
        <w:rPr>
          <w:rFonts w:ascii="Times New Roman" w:hAnsi="Times New Roman" w:cs="Times New Roman"/>
          <w:sz w:val="24"/>
          <w:szCs w:val="24"/>
        </w:rPr>
        <w:t xml:space="preserve">consolidó su participación dentro del </w:t>
      </w:r>
      <w:proofErr w:type="spellStart"/>
      <w:r w:rsidR="00B971F7" w:rsidRPr="001C2F2B">
        <w:rPr>
          <w:rFonts w:ascii="Times New Roman" w:hAnsi="Times New Roman" w:cs="Times New Roman"/>
          <w:i/>
          <w:iCs/>
          <w:sz w:val="24"/>
          <w:szCs w:val="24"/>
        </w:rPr>
        <w:t>continnum</w:t>
      </w:r>
      <w:proofErr w:type="spellEnd"/>
      <w:r w:rsidR="00B971F7" w:rsidRPr="001C2F2B">
        <w:rPr>
          <w:rFonts w:ascii="Times New Roman" w:hAnsi="Times New Roman" w:cs="Times New Roman"/>
          <w:i/>
          <w:iCs/>
          <w:sz w:val="24"/>
          <w:szCs w:val="24"/>
        </w:rPr>
        <w:t xml:space="preserve"> urbano</w:t>
      </w:r>
      <w:r w:rsidR="00B971F7" w:rsidRPr="00723AA9">
        <w:rPr>
          <w:rFonts w:ascii="Times New Roman" w:hAnsi="Times New Roman" w:cs="Times New Roman"/>
          <w:sz w:val="24"/>
          <w:szCs w:val="24"/>
        </w:rPr>
        <w:t xml:space="preserve"> como departamento receptor de los nuevos barrios cerrados que </w:t>
      </w:r>
      <w:r>
        <w:rPr>
          <w:rFonts w:ascii="Times New Roman" w:hAnsi="Times New Roman" w:cs="Times New Roman"/>
          <w:sz w:val="24"/>
          <w:szCs w:val="24"/>
        </w:rPr>
        <w:t>se expandieron</w:t>
      </w:r>
      <w:r w:rsidR="00B971F7" w:rsidRPr="00723AA9">
        <w:rPr>
          <w:rFonts w:ascii="Times New Roman" w:hAnsi="Times New Roman" w:cs="Times New Roman"/>
          <w:sz w:val="24"/>
          <w:szCs w:val="24"/>
        </w:rPr>
        <w:t xml:space="preserve"> hacia las periferias de la ciudad (BID, 2017). Asimismo, por tratarse de un departamento que se encuentra hacia el este de la Ciudad de Mendoza ha sido, junto con Guaymallén, protagonista de la configuración de la interfaz urbano- rural, puesto que se trata de áreas irrigadas con importantes porcentajes de ruralidad y, </w:t>
      </w:r>
      <w:r w:rsidR="003B1C7F" w:rsidRPr="00723AA9">
        <w:rPr>
          <w:rFonts w:ascii="Times New Roman" w:hAnsi="Times New Roman" w:cs="Times New Roman"/>
          <w:sz w:val="24"/>
          <w:szCs w:val="24"/>
        </w:rPr>
        <w:t xml:space="preserve">sobre todo, de tierras fértiles, pues el uso agrícola es del 66,19% de su territorio, seguido por el uso residencia que advierte un 9.70% según el último informe del BID (2017: 217). </w:t>
      </w:r>
    </w:p>
    <w:p w14:paraId="3E6BC6F9" w14:textId="75888918" w:rsidR="00C66470" w:rsidRPr="00723AA9" w:rsidRDefault="00431B19" w:rsidP="00723AA9">
      <w:pPr>
        <w:spacing w:before="120" w:after="120" w:line="360" w:lineRule="auto"/>
        <w:ind w:firstLine="709"/>
        <w:contextualSpacing/>
        <w:jc w:val="both"/>
        <w:rPr>
          <w:rFonts w:ascii="Times New Roman" w:hAnsi="Times New Roman" w:cs="Times New Roman"/>
          <w:sz w:val="24"/>
          <w:szCs w:val="24"/>
          <w:lang w:val="es-ES"/>
        </w:rPr>
      </w:pPr>
      <w:r w:rsidRPr="00723AA9">
        <w:rPr>
          <w:rFonts w:ascii="Times New Roman" w:hAnsi="Times New Roman" w:cs="Times New Roman"/>
          <w:sz w:val="24"/>
          <w:szCs w:val="24"/>
        </w:rPr>
        <w:t>C</w:t>
      </w:r>
      <w:r w:rsidR="00D90F74" w:rsidRPr="00723AA9">
        <w:rPr>
          <w:rFonts w:ascii="Times New Roman" w:hAnsi="Times New Roman" w:cs="Times New Roman"/>
          <w:sz w:val="24"/>
          <w:szCs w:val="24"/>
        </w:rPr>
        <w:t>onocido como la cuna del vino y del olivo, con una significativa importancia el punto de vista económico</w:t>
      </w:r>
      <w:r w:rsidRPr="00723AA9">
        <w:rPr>
          <w:rFonts w:ascii="Times New Roman" w:hAnsi="Times New Roman" w:cs="Times New Roman"/>
          <w:sz w:val="24"/>
          <w:szCs w:val="24"/>
        </w:rPr>
        <w:t xml:space="preserve"> (</w:t>
      </w:r>
      <w:proofErr w:type="spellStart"/>
      <w:r w:rsidRPr="00723AA9">
        <w:rPr>
          <w:rFonts w:ascii="Times New Roman" w:hAnsi="Times New Roman" w:cs="Times New Roman"/>
          <w:sz w:val="24"/>
          <w:szCs w:val="24"/>
        </w:rPr>
        <w:t>Baldaccini</w:t>
      </w:r>
      <w:proofErr w:type="spellEnd"/>
      <w:r w:rsidRPr="00723AA9">
        <w:rPr>
          <w:rFonts w:ascii="Times New Roman" w:hAnsi="Times New Roman" w:cs="Times New Roman"/>
          <w:sz w:val="24"/>
          <w:szCs w:val="24"/>
        </w:rPr>
        <w:t>, 2015)</w:t>
      </w:r>
      <w:r w:rsidR="00C66470" w:rsidRPr="00723AA9">
        <w:rPr>
          <w:rFonts w:ascii="Times New Roman" w:hAnsi="Times New Roman" w:cs="Times New Roman"/>
          <w:sz w:val="24"/>
          <w:szCs w:val="24"/>
          <w:lang w:val="es-ES"/>
        </w:rPr>
        <w:t xml:space="preserve"> es parte de lo que se denomina la primera zona vitivinícola. Esto l</w:t>
      </w:r>
      <w:r w:rsidR="001C2F2B">
        <w:rPr>
          <w:rFonts w:ascii="Times New Roman" w:hAnsi="Times New Roman" w:cs="Times New Roman"/>
          <w:sz w:val="24"/>
          <w:szCs w:val="24"/>
          <w:lang w:val="es-ES"/>
        </w:rPr>
        <w:t>o</w:t>
      </w:r>
      <w:r w:rsidR="00C66470" w:rsidRPr="00723AA9">
        <w:rPr>
          <w:rFonts w:ascii="Times New Roman" w:hAnsi="Times New Roman" w:cs="Times New Roman"/>
          <w:sz w:val="24"/>
          <w:szCs w:val="24"/>
          <w:lang w:val="es-ES"/>
        </w:rPr>
        <w:t xml:space="preserve"> posiciona como fuente de calidad incluso frutícola y hortícola, cuya superficie cultivada de hortalizas resulta super</w:t>
      </w:r>
      <w:r w:rsidRPr="00723AA9">
        <w:rPr>
          <w:rFonts w:ascii="Times New Roman" w:hAnsi="Times New Roman" w:cs="Times New Roman"/>
          <w:sz w:val="24"/>
          <w:szCs w:val="24"/>
          <w:lang w:val="es-ES"/>
        </w:rPr>
        <w:t xml:space="preserve">ior de los demás departamentos </w:t>
      </w:r>
      <w:r w:rsidR="001C2F2B">
        <w:rPr>
          <w:rFonts w:ascii="Times New Roman" w:hAnsi="Times New Roman" w:cs="Times New Roman"/>
          <w:sz w:val="24"/>
          <w:szCs w:val="24"/>
          <w:lang w:val="es-ES"/>
        </w:rPr>
        <w:t>˗</w:t>
      </w:r>
      <w:r w:rsidRPr="00723AA9">
        <w:rPr>
          <w:rFonts w:ascii="Times New Roman" w:hAnsi="Times New Roman" w:cs="Times New Roman"/>
          <w:sz w:val="24"/>
          <w:szCs w:val="24"/>
          <w:lang w:val="es-ES"/>
        </w:rPr>
        <w:t>más de 7000 ha</w:t>
      </w:r>
      <w:r w:rsidR="001C2F2B">
        <w:rPr>
          <w:rFonts w:ascii="Times New Roman" w:hAnsi="Times New Roman" w:cs="Times New Roman"/>
          <w:sz w:val="24"/>
          <w:szCs w:val="24"/>
          <w:lang w:val="es-ES"/>
        </w:rPr>
        <w:t>˗</w:t>
      </w:r>
      <w:r w:rsidR="003B1C7F" w:rsidRPr="00723AA9">
        <w:rPr>
          <w:rFonts w:ascii="Times New Roman" w:hAnsi="Times New Roman" w:cs="Times New Roman"/>
          <w:sz w:val="24"/>
          <w:szCs w:val="24"/>
          <w:lang w:val="es-ES"/>
        </w:rPr>
        <w:t xml:space="preserve"> del cinturón verde</w:t>
      </w:r>
      <w:r w:rsidRPr="00723AA9">
        <w:rPr>
          <w:rFonts w:ascii="Times New Roman" w:hAnsi="Times New Roman" w:cs="Times New Roman"/>
          <w:sz w:val="24"/>
          <w:szCs w:val="24"/>
          <w:lang w:val="es-ES"/>
        </w:rPr>
        <w:t xml:space="preserve"> (IDR, 2014)</w:t>
      </w:r>
      <w:r w:rsidR="003B1C7F" w:rsidRPr="00723AA9">
        <w:rPr>
          <w:rFonts w:ascii="Times New Roman" w:hAnsi="Times New Roman" w:cs="Times New Roman"/>
          <w:sz w:val="24"/>
          <w:szCs w:val="24"/>
          <w:lang w:val="es-ES"/>
        </w:rPr>
        <w:t xml:space="preserve">. </w:t>
      </w:r>
    </w:p>
    <w:p w14:paraId="49AAC064" w14:textId="2208E391" w:rsidR="001C2F2B" w:rsidRDefault="00C05D1B"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Los </w:t>
      </w:r>
      <w:r w:rsidRPr="00723AA9">
        <w:rPr>
          <w:rFonts w:ascii="Times New Roman" w:hAnsi="Times New Roman" w:cs="Times New Roman"/>
          <w:i/>
          <w:sz w:val="24"/>
          <w:szCs w:val="24"/>
        </w:rPr>
        <w:t>usos agrícolas</w:t>
      </w:r>
      <w:r w:rsidRPr="00723AA9">
        <w:rPr>
          <w:rFonts w:ascii="Times New Roman" w:hAnsi="Times New Roman" w:cs="Times New Roman"/>
          <w:sz w:val="24"/>
          <w:szCs w:val="24"/>
        </w:rPr>
        <w:t xml:space="preserve"> se encuentran fundamentalmente hacia el noreste del departamento, mientras que los usos urbanos/residenciales se encuentran en el sureste. Esto</w:t>
      </w:r>
      <w:r w:rsidR="001C2F2B">
        <w:rPr>
          <w:rFonts w:ascii="Times New Roman" w:hAnsi="Times New Roman" w:cs="Times New Roman"/>
          <w:sz w:val="24"/>
          <w:szCs w:val="24"/>
        </w:rPr>
        <w:t xml:space="preserve"> es </w:t>
      </w:r>
      <w:r w:rsidRPr="00723AA9">
        <w:rPr>
          <w:rFonts w:ascii="Times New Roman" w:hAnsi="Times New Roman" w:cs="Times New Roman"/>
          <w:sz w:val="24"/>
          <w:szCs w:val="24"/>
        </w:rPr>
        <w:t xml:space="preserve">fundamental </w:t>
      </w:r>
      <w:r w:rsidR="001C2F2B">
        <w:rPr>
          <w:rFonts w:ascii="Times New Roman" w:hAnsi="Times New Roman" w:cs="Times New Roman"/>
          <w:sz w:val="24"/>
          <w:szCs w:val="24"/>
        </w:rPr>
        <w:t xml:space="preserve">en </w:t>
      </w:r>
      <w:r w:rsidRPr="00723AA9">
        <w:rPr>
          <w:rFonts w:ascii="Times New Roman" w:hAnsi="Times New Roman" w:cs="Times New Roman"/>
          <w:sz w:val="24"/>
          <w:szCs w:val="24"/>
        </w:rPr>
        <w:t>la selección del área bajo estudio como espacios que conforman el ecosistema de procesos expansivos, pues aún mantienen su vocación rural</w:t>
      </w:r>
      <w:r w:rsidR="001C2F2B">
        <w:rPr>
          <w:rFonts w:ascii="Times New Roman" w:hAnsi="Times New Roman" w:cs="Times New Roman"/>
          <w:sz w:val="24"/>
          <w:szCs w:val="24"/>
        </w:rPr>
        <w:t xml:space="preserve">. Además, posee </w:t>
      </w:r>
      <w:r w:rsidR="001C2F2B" w:rsidRPr="00723AA9">
        <w:rPr>
          <w:rFonts w:ascii="Times New Roman" w:hAnsi="Times New Roman" w:cs="Times New Roman"/>
          <w:sz w:val="24"/>
          <w:szCs w:val="24"/>
        </w:rPr>
        <w:t>dos sectores diferenciados e independientes</w:t>
      </w:r>
      <w:r w:rsidR="001C2F2B">
        <w:rPr>
          <w:rFonts w:ascii="Times New Roman" w:hAnsi="Times New Roman" w:cs="Times New Roman"/>
          <w:sz w:val="24"/>
          <w:szCs w:val="24"/>
        </w:rPr>
        <w:t xml:space="preserve">: </w:t>
      </w:r>
      <w:r w:rsidR="001C2F2B" w:rsidRPr="00723AA9">
        <w:rPr>
          <w:rFonts w:ascii="Times New Roman" w:hAnsi="Times New Roman" w:cs="Times New Roman"/>
          <w:sz w:val="24"/>
          <w:szCs w:val="24"/>
        </w:rPr>
        <w:t>1) uno periurbano y de pequeña escala y 2) otro en el que observa el solapamiento de procesos de abandono y avance urbano con otros de expansión</w:t>
      </w:r>
      <w:r w:rsidR="001C2F2B">
        <w:rPr>
          <w:rFonts w:ascii="Times New Roman" w:hAnsi="Times New Roman" w:cs="Times New Roman"/>
          <w:sz w:val="24"/>
          <w:szCs w:val="24"/>
        </w:rPr>
        <w:t>, como el caso de l</w:t>
      </w:r>
      <w:r w:rsidR="001C2F2B" w:rsidRPr="00723AA9">
        <w:rPr>
          <w:rFonts w:ascii="Times New Roman" w:hAnsi="Times New Roman" w:cs="Times New Roman"/>
          <w:sz w:val="24"/>
          <w:szCs w:val="24"/>
        </w:rPr>
        <w:t xml:space="preserve">os distritos de Rodeo del Medio, San Roque, Fray Luis Beltrán y parte de </w:t>
      </w:r>
      <w:proofErr w:type="spellStart"/>
      <w:r w:rsidR="001C2F2B" w:rsidRPr="00723AA9">
        <w:rPr>
          <w:rFonts w:ascii="Times New Roman" w:hAnsi="Times New Roman" w:cs="Times New Roman"/>
          <w:sz w:val="24"/>
          <w:szCs w:val="24"/>
        </w:rPr>
        <w:t>Coquimbit</w:t>
      </w:r>
      <w:r w:rsidR="001C2F2B">
        <w:rPr>
          <w:rFonts w:ascii="Times New Roman" w:hAnsi="Times New Roman" w:cs="Times New Roman"/>
          <w:sz w:val="24"/>
          <w:szCs w:val="24"/>
        </w:rPr>
        <w:t>o</w:t>
      </w:r>
      <w:proofErr w:type="spellEnd"/>
      <w:r w:rsidR="001C2F2B">
        <w:rPr>
          <w:rFonts w:ascii="Times New Roman" w:hAnsi="Times New Roman" w:cs="Times New Roman"/>
          <w:sz w:val="24"/>
          <w:szCs w:val="24"/>
        </w:rPr>
        <w:t xml:space="preserve"> (Van den Bosch, 2016). </w:t>
      </w:r>
    </w:p>
    <w:p w14:paraId="2C979225" w14:textId="32A51EBF" w:rsidR="00F72458" w:rsidRPr="00723AA9" w:rsidRDefault="00F72458" w:rsidP="001C2F2B">
      <w:pPr>
        <w:spacing w:before="120" w:after="120" w:line="360" w:lineRule="auto"/>
        <w:ind w:firstLine="708"/>
        <w:contextualSpacing/>
        <w:jc w:val="both"/>
        <w:rPr>
          <w:rFonts w:ascii="Times New Roman" w:hAnsi="Times New Roman" w:cs="Times New Roman"/>
          <w:sz w:val="24"/>
          <w:szCs w:val="24"/>
          <w:lang w:val="es-ES"/>
        </w:rPr>
      </w:pPr>
      <w:r w:rsidRPr="00723AA9">
        <w:rPr>
          <w:rFonts w:ascii="Times New Roman" w:hAnsi="Times New Roman" w:cs="Times New Roman"/>
          <w:sz w:val="24"/>
          <w:szCs w:val="24"/>
          <w:lang w:val="es-ES"/>
        </w:rPr>
        <w:t xml:space="preserve">Por otra parte, un estudio preliminar sobre el uso </w:t>
      </w:r>
      <w:proofErr w:type="spellStart"/>
      <w:r w:rsidRPr="00723AA9">
        <w:rPr>
          <w:rFonts w:ascii="Times New Roman" w:hAnsi="Times New Roman" w:cs="Times New Roman"/>
          <w:sz w:val="24"/>
          <w:szCs w:val="24"/>
          <w:lang w:val="es-ES"/>
        </w:rPr>
        <w:t>agrovitícola</w:t>
      </w:r>
      <w:proofErr w:type="spellEnd"/>
      <w:r w:rsidRPr="00723AA9">
        <w:rPr>
          <w:rFonts w:ascii="Times New Roman" w:hAnsi="Times New Roman" w:cs="Times New Roman"/>
          <w:sz w:val="24"/>
          <w:szCs w:val="24"/>
          <w:lang w:val="es-ES"/>
        </w:rPr>
        <w:t xml:space="preserve"> del suelo en el suroeste del departamento de Maipú (Barrancas, Cruz de Piedra, </w:t>
      </w:r>
      <w:proofErr w:type="spellStart"/>
      <w:r w:rsidRPr="00723AA9">
        <w:rPr>
          <w:rFonts w:ascii="Times New Roman" w:hAnsi="Times New Roman" w:cs="Times New Roman"/>
          <w:sz w:val="24"/>
          <w:szCs w:val="24"/>
          <w:lang w:val="es-ES"/>
        </w:rPr>
        <w:t>Lulunta</w:t>
      </w:r>
      <w:proofErr w:type="spellEnd"/>
      <w:r w:rsidRPr="00723AA9">
        <w:rPr>
          <w:rFonts w:ascii="Times New Roman" w:hAnsi="Times New Roman" w:cs="Times New Roman"/>
          <w:sz w:val="24"/>
          <w:szCs w:val="24"/>
          <w:lang w:val="es-ES"/>
        </w:rPr>
        <w:t xml:space="preserve"> y Russell), advierte sobre el cambio de uso agrario y la pérdida de su potencial ante la </w:t>
      </w:r>
      <w:r w:rsidRPr="00723AA9">
        <w:rPr>
          <w:rFonts w:ascii="Times New Roman" w:hAnsi="Times New Roman" w:cs="Times New Roman"/>
          <w:i/>
          <w:iCs/>
          <w:sz w:val="24"/>
          <w:szCs w:val="24"/>
          <w:lang w:val="es-ES"/>
        </w:rPr>
        <w:t>urbanización difusa</w:t>
      </w:r>
      <w:r w:rsidRPr="00723AA9">
        <w:rPr>
          <w:rFonts w:ascii="Times New Roman" w:hAnsi="Times New Roman" w:cs="Times New Roman"/>
          <w:sz w:val="24"/>
          <w:szCs w:val="24"/>
          <w:lang w:val="es-ES"/>
        </w:rPr>
        <w:t xml:space="preserve"> (Parra, 2017). Si bien el análisis se enfoca en la producción vitícola, lo que aquí interesa marcar como dinámica es que, si bien existe una competencia con el uso urbano, también existe una competencia por otros usos agrícolas, aunque no identifica con claridad si se trata de ocupación hortícola o frutícola. Con esto, se pretende marca algunos indicios sobre la </w:t>
      </w:r>
      <w:r w:rsidRPr="00723AA9">
        <w:rPr>
          <w:rFonts w:ascii="Times New Roman" w:hAnsi="Times New Roman" w:cs="Times New Roman"/>
          <w:sz w:val="24"/>
          <w:szCs w:val="24"/>
          <w:lang w:val="es-ES"/>
        </w:rPr>
        <w:lastRenderedPageBreak/>
        <w:t xml:space="preserve">relación entre la perdida de viñedos y la expansión hortícola, en tanto la primera puede constituirse como una </w:t>
      </w:r>
      <w:r w:rsidRPr="00723AA9">
        <w:rPr>
          <w:rFonts w:ascii="Times New Roman" w:hAnsi="Times New Roman" w:cs="Times New Roman"/>
          <w:i/>
          <w:sz w:val="24"/>
          <w:szCs w:val="24"/>
          <w:lang w:val="es-ES"/>
        </w:rPr>
        <w:t>estructura de oportunidades</w:t>
      </w:r>
      <w:r w:rsidR="00FC3B42">
        <w:rPr>
          <w:rFonts w:ascii="Times New Roman" w:hAnsi="Times New Roman" w:cs="Times New Roman"/>
          <w:i/>
          <w:sz w:val="24"/>
          <w:szCs w:val="24"/>
          <w:lang w:val="es-ES"/>
        </w:rPr>
        <w:t xml:space="preserve"> </w:t>
      </w:r>
      <w:r w:rsidR="00FC3B42" w:rsidRPr="00FC3B42">
        <w:rPr>
          <w:rFonts w:ascii="Times New Roman" w:hAnsi="Times New Roman" w:cs="Times New Roman"/>
          <w:iCs/>
          <w:sz w:val="24"/>
          <w:szCs w:val="24"/>
          <w:lang w:val="es-ES"/>
        </w:rPr>
        <w:t>(Ataide, 2016)</w:t>
      </w:r>
      <w:r w:rsidRPr="00FC3B42">
        <w:rPr>
          <w:rFonts w:ascii="Times New Roman" w:hAnsi="Times New Roman" w:cs="Times New Roman"/>
          <w:iCs/>
          <w:sz w:val="24"/>
          <w:szCs w:val="24"/>
          <w:lang w:val="es-ES"/>
        </w:rPr>
        <w:t xml:space="preserve">. </w:t>
      </w:r>
    </w:p>
    <w:p w14:paraId="637561BB" w14:textId="0240FF2E" w:rsidR="00D90F74" w:rsidRDefault="00F72458"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Asimismo, volviendo a los procesos expansivos de superficie, resulta interesante dar cuenta de un </w:t>
      </w:r>
      <w:r w:rsidR="00D90F74" w:rsidRPr="00723AA9">
        <w:rPr>
          <w:rFonts w:ascii="Times New Roman" w:hAnsi="Times New Roman" w:cs="Times New Roman"/>
          <w:sz w:val="24"/>
          <w:szCs w:val="24"/>
        </w:rPr>
        <w:t>vacío de información respecto al uso del suelo</w:t>
      </w:r>
      <w:r w:rsidRPr="00723AA9">
        <w:rPr>
          <w:rFonts w:ascii="Times New Roman" w:hAnsi="Times New Roman" w:cs="Times New Roman"/>
          <w:sz w:val="24"/>
          <w:szCs w:val="24"/>
        </w:rPr>
        <w:t xml:space="preserve"> en el departamento</w:t>
      </w:r>
      <w:r w:rsidR="001A126A" w:rsidRPr="00723AA9">
        <w:rPr>
          <w:rFonts w:ascii="Times New Roman" w:hAnsi="Times New Roman" w:cs="Times New Roman"/>
          <w:sz w:val="24"/>
          <w:szCs w:val="24"/>
        </w:rPr>
        <w:t>. H</w:t>
      </w:r>
      <w:r w:rsidR="00D90F74" w:rsidRPr="00723AA9">
        <w:rPr>
          <w:rFonts w:ascii="Times New Roman" w:hAnsi="Times New Roman" w:cs="Times New Roman"/>
          <w:sz w:val="24"/>
          <w:szCs w:val="24"/>
        </w:rPr>
        <w:t xml:space="preserve">acia el año 2008 encontramos que la </w:t>
      </w:r>
      <w:r w:rsidR="00CF3920">
        <w:rPr>
          <w:rFonts w:ascii="Times New Roman" w:hAnsi="Times New Roman" w:cs="Times New Roman"/>
          <w:sz w:val="24"/>
          <w:szCs w:val="24"/>
        </w:rPr>
        <w:t>s</w:t>
      </w:r>
      <w:r w:rsidR="00D90F74" w:rsidRPr="00723AA9">
        <w:rPr>
          <w:rFonts w:ascii="Times New Roman" w:hAnsi="Times New Roman" w:cs="Times New Roman"/>
          <w:sz w:val="24"/>
          <w:szCs w:val="24"/>
        </w:rPr>
        <w:t>uperficie total del departamento es de 44.558.3 ha. pero la implantada es sólo de 29.016,8 ha.</w:t>
      </w:r>
      <w:r w:rsidR="00CF3920">
        <w:rPr>
          <w:rFonts w:ascii="Times New Roman" w:hAnsi="Times New Roman" w:cs="Times New Roman"/>
          <w:sz w:val="24"/>
          <w:szCs w:val="24"/>
        </w:rPr>
        <w:t xml:space="preserve"> </w:t>
      </w:r>
      <w:proofErr w:type="gramStart"/>
      <w:r w:rsidR="00CF3920">
        <w:rPr>
          <w:rFonts w:ascii="Times New Roman" w:hAnsi="Times New Roman" w:cs="Times New Roman"/>
          <w:sz w:val="24"/>
          <w:szCs w:val="24"/>
        </w:rPr>
        <w:t>(</w:t>
      </w:r>
      <w:proofErr w:type="gramEnd"/>
      <w:r w:rsidR="00CF3920">
        <w:rPr>
          <w:rFonts w:ascii="Times New Roman" w:hAnsi="Times New Roman" w:cs="Times New Roman"/>
          <w:sz w:val="24"/>
          <w:szCs w:val="24"/>
        </w:rPr>
        <w:t>DEIE, 2014)</w:t>
      </w:r>
      <w:r w:rsidR="00D90F74" w:rsidRPr="00723AA9">
        <w:rPr>
          <w:rFonts w:ascii="Times New Roman" w:hAnsi="Times New Roman" w:cs="Times New Roman"/>
          <w:sz w:val="24"/>
          <w:szCs w:val="24"/>
        </w:rPr>
        <w:t xml:space="preserve"> </w:t>
      </w:r>
      <w:r w:rsidRPr="00723AA9">
        <w:rPr>
          <w:rFonts w:ascii="Times New Roman" w:hAnsi="Times New Roman" w:cs="Times New Roman"/>
          <w:sz w:val="24"/>
          <w:szCs w:val="24"/>
        </w:rPr>
        <w:t>pero lo curioso es</w:t>
      </w:r>
      <w:r w:rsidR="00E85AD9" w:rsidRPr="00723AA9">
        <w:rPr>
          <w:rFonts w:ascii="Times New Roman" w:hAnsi="Times New Roman" w:cs="Times New Roman"/>
          <w:sz w:val="24"/>
          <w:szCs w:val="24"/>
        </w:rPr>
        <w:t xml:space="preserve"> analizar</w:t>
      </w:r>
      <w:r w:rsidRPr="00723AA9">
        <w:rPr>
          <w:rFonts w:ascii="Times New Roman" w:hAnsi="Times New Roman" w:cs="Times New Roman"/>
          <w:sz w:val="24"/>
          <w:szCs w:val="24"/>
        </w:rPr>
        <w:t xml:space="preserve"> la </w:t>
      </w:r>
      <w:r w:rsidR="001A126A" w:rsidRPr="00723AA9">
        <w:rPr>
          <w:rFonts w:ascii="Times New Roman" w:hAnsi="Times New Roman" w:cs="Times New Roman"/>
          <w:sz w:val="24"/>
          <w:szCs w:val="24"/>
        </w:rPr>
        <w:t xml:space="preserve">clasificación de usos del suelo indicados a fin de encontrar indicios sobre la posibilidad de ser protagonista de procesos expansivos de superficie. </w:t>
      </w:r>
    </w:p>
    <w:p w14:paraId="5E06E57B" w14:textId="499E7EEB" w:rsidR="0057667E" w:rsidRDefault="0057667E" w:rsidP="00723AA9">
      <w:pPr>
        <w:spacing w:before="120" w:after="120" w:line="360" w:lineRule="auto"/>
        <w:ind w:firstLine="709"/>
        <w:contextualSpacing/>
        <w:jc w:val="both"/>
        <w:rPr>
          <w:rFonts w:ascii="Times New Roman" w:hAnsi="Times New Roman" w:cs="Times New Roman"/>
          <w:sz w:val="24"/>
          <w:szCs w:val="24"/>
        </w:rPr>
      </w:pPr>
    </w:p>
    <w:p w14:paraId="6077D20A" w14:textId="6FC1AD36" w:rsidR="0057667E" w:rsidRDefault="0057667E" w:rsidP="00723AA9">
      <w:pPr>
        <w:spacing w:before="120" w:after="120" w:line="360" w:lineRule="auto"/>
        <w:ind w:firstLine="709"/>
        <w:contextualSpacing/>
        <w:jc w:val="both"/>
        <w:rPr>
          <w:rFonts w:ascii="Times New Roman" w:hAnsi="Times New Roman" w:cs="Times New Roman"/>
          <w:sz w:val="24"/>
          <w:szCs w:val="24"/>
        </w:rPr>
      </w:pPr>
    </w:p>
    <w:p w14:paraId="741ED9D0" w14:textId="77777777" w:rsidR="0057667E" w:rsidRPr="00723AA9" w:rsidRDefault="0057667E" w:rsidP="00723AA9">
      <w:pPr>
        <w:spacing w:before="120" w:after="120" w:line="360" w:lineRule="auto"/>
        <w:ind w:firstLine="709"/>
        <w:contextualSpacing/>
        <w:jc w:val="both"/>
        <w:rPr>
          <w:rFonts w:ascii="Times New Roman" w:hAnsi="Times New Roman" w:cs="Times New Roman"/>
          <w:sz w:val="24"/>
          <w:szCs w:val="24"/>
        </w:rPr>
      </w:pPr>
    </w:p>
    <w:p w14:paraId="4E7F680F" w14:textId="52BFD7B1" w:rsidR="00D90F74" w:rsidRPr="00723AA9" w:rsidRDefault="00CF3920" w:rsidP="00723AA9">
      <w:pPr>
        <w:spacing w:before="120" w:after="120" w:line="360" w:lineRule="auto"/>
        <w:ind w:firstLine="709"/>
        <w:contextualSpacing/>
        <w:jc w:val="center"/>
        <w:rPr>
          <w:rFonts w:ascii="Times New Roman" w:eastAsia="Calibri" w:hAnsi="Times New Roman" w:cs="Times New Roman"/>
          <w:b/>
          <w:bCs/>
          <w:sz w:val="24"/>
          <w:szCs w:val="24"/>
          <w:lang w:val="es-ES"/>
        </w:rPr>
      </w:pPr>
      <w:r>
        <w:rPr>
          <w:rFonts w:ascii="Times New Roman" w:eastAsia="Calibri" w:hAnsi="Times New Roman" w:cs="Times New Roman"/>
          <w:b/>
          <w:bCs/>
          <w:sz w:val="24"/>
          <w:szCs w:val="24"/>
          <w:lang w:val="es-ES"/>
        </w:rPr>
        <w:t xml:space="preserve">Tabla 1: </w:t>
      </w:r>
      <w:r w:rsidR="00D90F74" w:rsidRPr="00723AA9">
        <w:rPr>
          <w:rFonts w:ascii="Times New Roman" w:eastAsia="Calibri" w:hAnsi="Times New Roman" w:cs="Times New Roman"/>
          <w:b/>
          <w:bCs/>
          <w:sz w:val="24"/>
          <w:szCs w:val="24"/>
          <w:lang w:val="es-ES"/>
        </w:rPr>
        <w:t xml:space="preserve">Superficie total de EAPS con límites definidos, por tipo de uso, </w:t>
      </w:r>
      <w:r w:rsidR="00952214" w:rsidRPr="00723AA9">
        <w:rPr>
          <w:rFonts w:ascii="Times New Roman" w:eastAsia="Calibri" w:hAnsi="Times New Roman" w:cs="Times New Roman"/>
          <w:b/>
          <w:bCs/>
          <w:sz w:val="24"/>
          <w:szCs w:val="24"/>
          <w:lang w:val="es-ES"/>
        </w:rPr>
        <w:t>en el departamento de Maipú</w:t>
      </w:r>
      <w:r w:rsidR="00D90F74" w:rsidRPr="00723AA9">
        <w:rPr>
          <w:rFonts w:ascii="Times New Roman" w:eastAsia="Calibri" w:hAnsi="Times New Roman" w:cs="Times New Roman"/>
          <w:b/>
          <w:bCs/>
          <w:sz w:val="24"/>
          <w:szCs w:val="24"/>
          <w:lang w:val="es-ES"/>
        </w:rPr>
        <w:t>. Año 2008</w:t>
      </w:r>
    </w:p>
    <w:tbl>
      <w:tblPr>
        <w:tblStyle w:val="Tablaconcuadrcula"/>
        <w:tblW w:w="7976" w:type="dxa"/>
        <w:tblInd w:w="562" w:type="dxa"/>
        <w:tblLook w:val="04A0" w:firstRow="1" w:lastRow="0" w:firstColumn="1" w:lastColumn="0" w:noHBand="0" w:noVBand="1"/>
      </w:tblPr>
      <w:tblGrid>
        <w:gridCol w:w="6351"/>
        <w:gridCol w:w="1625"/>
      </w:tblGrid>
      <w:tr w:rsidR="00361867" w:rsidRPr="00723AA9" w14:paraId="670BEA1E" w14:textId="77777777" w:rsidTr="00723AA9">
        <w:tc>
          <w:tcPr>
            <w:tcW w:w="6354" w:type="dxa"/>
          </w:tcPr>
          <w:p w14:paraId="3C2A7404" w14:textId="01B66D78" w:rsidR="00361867" w:rsidRPr="00723AA9" w:rsidRDefault="00361867" w:rsidP="00723AA9">
            <w:pPr>
              <w:spacing w:before="120" w:after="120" w:line="360" w:lineRule="auto"/>
              <w:ind w:firstLine="709"/>
              <w:contextualSpacing/>
              <w:jc w:val="center"/>
              <w:rPr>
                <w:rFonts w:ascii="Times New Roman" w:eastAsia="Calibri" w:hAnsi="Times New Roman" w:cs="Times New Roman"/>
                <w:b/>
                <w:sz w:val="20"/>
                <w:szCs w:val="20"/>
                <w:lang w:val="es-ES"/>
              </w:rPr>
            </w:pPr>
            <w:r w:rsidRPr="00723AA9">
              <w:rPr>
                <w:rFonts w:ascii="Times New Roman" w:eastAsia="Calibri" w:hAnsi="Times New Roman" w:cs="Times New Roman"/>
                <w:b/>
                <w:sz w:val="20"/>
                <w:szCs w:val="20"/>
                <w:lang w:val="es-ES"/>
              </w:rPr>
              <w:t>Tipos de cultivos</w:t>
            </w:r>
          </w:p>
        </w:tc>
        <w:tc>
          <w:tcPr>
            <w:tcW w:w="1622" w:type="dxa"/>
          </w:tcPr>
          <w:p w14:paraId="43B1986B" w14:textId="2B26090F" w:rsidR="00361867" w:rsidRPr="00723AA9" w:rsidRDefault="00361867" w:rsidP="00723AA9">
            <w:pPr>
              <w:spacing w:before="120" w:after="120" w:line="360" w:lineRule="auto"/>
              <w:contextualSpacing/>
              <w:jc w:val="center"/>
              <w:rPr>
                <w:rFonts w:ascii="Times New Roman" w:eastAsia="Calibri" w:hAnsi="Times New Roman" w:cs="Times New Roman"/>
                <w:b/>
                <w:sz w:val="20"/>
                <w:szCs w:val="20"/>
                <w:lang w:val="es-ES"/>
              </w:rPr>
            </w:pPr>
            <w:r w:rsidRPr="00723AA9">
              <w:rPr>
                <w:rFonts w:ascii="Times New Roman" w:eastAsia="Calibri" w:hAnsi="Times New Roman" w:cs="Times New Roman"/>
                <w:b/>
                <w:sz w:val="20"/>
                <w:szCs w:val="20"/>
                <w:lang w:val="es-ES"/>
              </w:rPr>
              <w:t>Cantidad de hectáreas</w:t>
            </w:r>
          </w:p>
        </w:tc>
      </w:tr>
      <w:tr w:rsidR="00361867" w:rsidRPr="00723AA9" w14:paraId="274600E3" w14:textId="77777777" w:rsidTr="00723AA9">
        <w:tc>
          <w:tcPr>
            <w:tcW w:w="6354" w:type="dxa"/>
          </w:tcPr>
          <w:p w14:paraId="4F217B1B" w14:textId="1CBA8F36" w:rsidR="00361867" w:rsidRPr="00723AA9" w:rsidRDefault="00361867" w:rsidP="00723AA9">
            <w:pPr>
              <w:spacing w:before="120" w:after="120" w:line="360" w:lineRule="auto"/>
              <w:contextualSpacing/>
              <w:jc w:val="both"/>
              <w:rPr>
                <w:rFonts w:ascii="Times New Roman" w:eastAsia="Calibri" w:hAnsi="Times New Roman" w:cs="Times New Roman"/>
                <w:sz w:val="20"/>
                <w:szCs w:val="20"/>
                <w:lang w:val="es-ES"/>
              </w:rPr>
            </w:pPr>
            <w:r w:rsidRPr="00723AA9">
              <w:rPr>
                <w:rFonts w:ascii="Times New Roman" w:eastAsia="Calibri" w:hAnsi="Times New Roman" w:cs="Times New Roman"/>
                <w:b/>
                <w:sz w:val="20"/>
                <w:szCs w:val="20"/>
              </w:rPr>
              <w:t>Cultivos anuales</w:t>
            </w:r>
            <w:r w:rsidRPr="00723AA9">
              <w:rPr>
                <w:rFonts w:ascii="Times New Roman" w:eastAsia="Calibri" w:hAnsi="Times New Roman" w:cs="Times New Roman"/>
                <w:sz w:val="20"/>
                <w:szCs w:val="20"/>
              </w:rPr>
              <w:t xml:space="preserve"> </w:t>
            </w:r>
            <w:r w:rsidRPr="00CF3920">
              <w:rPr>
                <w:rFonts w:ascii="Times New Roman" w:eastAsia="Calibri" w:hAnsi="Times New Roman" w:cs="Times New Roman"/>
                <w:sz w:val="16"/>
                <w:szCs w:val="16"/>
              </w:rPr>
              <w:t>(cereales, oleaginosas, semillas y legumbres)</w:t>
            </w:r>
          </w:p>
        </w:tc>
        <w:tc>
          <w:tcPr>
            <w:tcW w:w="1622" w:type="dxa"/>
          </w:tcPr>
          <w:p w14:paraId="527C9E76" w14:textId="6CCB2814" w:rsidR="00361867" w:rsidRPr="00723AA9" w:rsidRDefault="00361867" w:rsidP="00723AA9">
            <w:pPr>
              <w:spacing w:before="120" w:after="120" w:line="360" w:lineRule="auto"/>
              <w:ind w:firstLine="709"/>
              <w:contextualSpacing/>
              <w:jc w:val="right"/>
              <w:rPr>
                <w:rFonts w:ascii="Times New Roman" w:eastAsia="Calibri" w:hAnsi="Times New Roman" w:cs="Times New Roman"/>
                <w:sz w:val="20"/>
                <w:szCs w:val="20"/>
                <w:lang w:val="es-ES"/>
              </w:rPr>
            </w:pPr>
            <w:r w:rsidRPr="00723AA9">
              <w:rPr>
                <w:rFonts w:ascii="Times New Roman" w:eastAsia="Calibri" w:hAnsi="Times New Roman" w:cs="Times New Roman"/>
                <w:sz w:val="20"/>
                <w:szCs w:val="20"/>
                <w:lang w:val="es-ES"/>
              </w:rPr>
              <w:t>48.0</w:t>
            </w:r>
          </w:p>
        </w:tc>
      </w:tr>
      <w:tr w:rsidR="00361867" w:rsidRPr="00723AA9" w14:paraId="70A0C0C3" w14:textId="77777777" w:rsidTr="00723AA9">
        <w:tc>
          <w:tcPr>
            <w:tcW w:w="6354" w:type="dxa"/>
          </w:tcPr>
          <w:p w14:paraId="439CDD68" w14:textId="72442CF1" w:rsidR="00361867" w:rsidRPr="00723AA9" w:rsidRDefault="00361867" w:rsidP="00723AA9">
            <w:pPr>
              <w:spacing w:before="120" w:after="120" w:line="360" w:lineRule="auto"/>
              <w:contextualSpacing/>
              <w:jc w:val="both"/>
              <w:rPr>
                <w:rFonts w:ascii="Times New Roman" w:eastAsia="Calibri" w:hAnsi="Times New Roman" w:cs="Times New Roman"/>
                <w:sz w:val="20"/>
                <w:szCs w:val="20"/>
                <w:lang w:val="es-ES"/>
              </w:rPr>
            </w:pPr>
            <w:r w:rsidRPr="00723AA9">
              <w:rPr>
                <w:rFonts w:ascii="Times New Roman" w:eastAsia="Calibri" w:hAnsi="Times New Roman" w:cs="Times New Roman"/>
                <w:b/>
                <w:sz w:val="20"/>
                <w:szCs w:val="20"/>
              </w:rPr>
              <w:t>Cultivos perennes</w:t>
            </w:r>
            <w:r w:rsidRPr="00723AA9">
              <w:rPr>
                <w:rFonts w:ascii="Times New Roman" w:eastAsia="Calibri" w:hAnsi="Times New Roman" w:cs="Times New Roman"/>
                <w:sz w:val="20"/>
                <w:szCs w:val="20"/>
              </w:rPr>
              <w:t xml:space="preserve"> (frutales y viveros bajo cubierta o a campo)</w:t>
            </w:r>
          </w:p>
        </w:tc>
        <w:tc>
          <w:tcPr>
            <w:tcW w:w="1622" w:type="dxa"/>
          </w:tcPr>
          <w:p w14:paraId="73E6A98F" w14:textId="74B2D8FA" w:rsidR="00361867" w:rsidRPr="00723AA9" w:rsidRDefault="00361867" w:rsidP="00CF3920">
            <w:pPr>
              <w:spacing w:before="120" w:after="120" w:line="360" w:lineRule="auto"/>
              <w:ind w:firstLine="489"/>
              <w:contextualSpacing/>
              <w:jc w:val="right"/>
              <w:rPr>
                <w:rFonts w:ascii="Times New Roman" w:eastAsia="Calibri" w:hAnsi="Times New Roman" w:cs="Times New Roman"/>
                <w:sz w:val="20"/>
                <w:szCs w:val="20"/>
                <w:lang w:val="es-ES"/>
              </w:rPr>
            </w:pPr>
            <w:r w:rsidRPr="00723AA9">
              <w:rPr>
                <w:rFonts w:ascii="Times New Roman" w:eastAsia="Calibri" w:hAnsi="Times New Roman" w:cs="Times New Roman"/>
                <w:sz w:val="20"/>
                <w:szCs w:val="20"/>
              </w:rPr>
              <w:t>20.326, 0</w:t>
            </w:r>
          </w:p>
        </w:tc>
      </w:tr>
      <w:tr w:rsidR="00361867" w:rsidRPr="00723AA9" w14:paraId="777C2451" w14:textId="6F92C243" w:rsidTr="00723AA9">
        <w:tc>
          <w:tcPr>
            <w:tcW w:w="6354" w:type="dxa"/>
            <w:hideMark/>
          </w:tcPr>
          <w:p w14:paraId="02302BA9" w14:textId="77777777" w:rsidR="00361867" w:rsidRPr="00723AA9" w:rsidRDefault="00361867" w:rsidP="00723AA9">
            <w:pPr>
              <w:spacing w:before="120" w:after="120" w:line="360" w:lineRule="auto"/>
              <w:contextualSpacing/>
              <w:jc w:val="both"/>
              <w:rPr>
                <w:rFonts w:ascii="Times New Roman" w:eastAsia="Calibri" w:hAnsi="Times New Roman" w:cs="Times New Roman"/>
                <w:sz w:val="20"/>
                <w:szCs w:val="20"/>
              </w:rPr>
            </w:pPr>
            <w:r w:rsidRPr="00723AA9">
              <w:rPr>
                <w:rFonts w:ascii="Times New Roman" w:eastAsia="Calibri" w:hAnsi="Times New Roman" w:cs="Times New Roman"/>
                <w:b/>
                <w:sz w:val="20"/>
                <w:szCs w:val="20"/>
              </w:rPr>
              <w:t>Cultivos sin discriminar</w:t>
            </w:r>
            <w:r w:rsidRPr="00723AA9">
              <w:rPr>
                <w:rFonts w:ascii="Times New Roman" w:eastAsia="Calibri" w:hAnsi="Times New Roman" w:cs="Times New Roman"/>
                <w:sz w:val="20"/>
                <w:szCs w:val="20"/>
              </w:rPr>
              <w:t xml:space="preserve"> </w:t>
            </w:r>
            <w:r w:rsidRPr="00CF3920">
              <w:rPr>
                <w:rFonts w:ascii="Times New Roman" w:eastAsia="Calibri" w:hAnsi="Times New Roman" w:cs="Times New Roman"/>
                <w:sz w:val="16"/>
                <w:szCs w:val="16"/>
              </w:rPr>
              <w:t xml:space="preserve">(industriales, flores de corte (a campo y bajo cubierta), Aromáticas, medicinales y </w:t>
            </w:r>
            <w:proofErr w:type="spellStart"/>
            <w:r w:rsidRPr="00CF3920">
              <w:rPr>
                <w:rFonts w:ascii="Times New Roman" w:eastAsia="Calibri" w:hAnsi="Times New Roman" w:cs="Times New Roman"/>
                <w:sz w:val="16"/>
                <w:szCs w:val="16"/>
              </w:rPr>
              <w:t>condimentarias</w:t>
            </w:r>
            <w:proofErr w:type="spellEnd"/>
            <w:r w:rsidRPr="00CF3920">
              <w:rPr>
                <w:rFonts w:ascii="Times New Roman" w:eastAsia="Calibri" w:hAnsi="Times New Roman" w:cs="Times New Roman"/>
                <w:sz w:val="16"/>
                <w:szCs w:val="16"/>
              </w:rPr>
              <w:t xml:space="preserve"> (a campo y bajo cubierta), hortalizas de hoja (a campo y bajo cubierta) y otras hortalizas (a campo y bajo cubierta)</w:t>
            </w:r>
          </w:p>
        </w:tc>
        <w:tc>
          <w:tcPr>
            <w:tcW w:w="1622" w:type="dxa"/>
            <w:hideMark/>
          </w:tcPr>
          <w:p w14:paraId="0D0798C3" w14:textId="77777777" w:rsidR="00361867" w:rsidRPr="00723AA9" w:rsidRDefault="00361867" w:rsidP="00723AA9">
            <w:pPr>
              <w:spacing w:before="120" w:after="120" w:line="360" w:lineRule="auto"/>
              <w:ind w:firstLine="709"/>
              <w:contextualSpacing/>
              <w:jc w:val="right"/>
              <w:rPr>
                <w:rFonts w:ascii="Times New Roman" w:eastAsia="Calibri" w:hAnsi="Times New Roman" w:cs="Times New Roman"/>
                <w:sz w:val="20"/>
                <w:szCs w:val="20"/>
              </w:rPr>
            </w:pPr>
            <w:r w:rsidRPr="00723AA9">
              <w:rPr>
                <w:rFonts w:ascii="Times New Roman" w:eastAsia="Calibri" w:hAnsi="Times New Roman" w:cs="Times New Roman"/>
                <w:sz w:val="20"/>
                <w:szCs w:val="20"/>
              </w:rPr>
              <w:t>8.342,1</w:t>
            </w:r>
          </w:p>
        </w:tc>
      </w:tr>
      <w:tr w:rsidR="00361867" w:rsidRPr="00723AA9" w14:paraId="607D4DC6" w14:textId="77777777" w:rsidTr="00723AA9">
        <w:tc>
          <w:tcPr>
            <w:tcW w:w="6354" w:type="dxa"/>
          </w:tcPr>
          <w:p w14:paraId="798FE385" w14:textId="31051515" w:rsidR="00361867" w:rsidRPr="00723AA9" w:rsidRDefault="00361867" w:rsidP="00723AA9">
            <w:pPr>
              <w:spacing w:before="120" w:after="120" w:line="360" w:lineRule="auto"/>
              <w:contextualSpacing/>
              <w:jc w:val="both"/>
              <w:rPr>
                <w:rFonts w:ascii="Times New Roman" w:eastAsia="Calibri" w:hAnsi="Times New Roman" w:cs="Times New Roman"/>
                <w:b/>
                <w:sz w:val="20"/>
                <w:szCs w:val="20"/>
              </w:rPr>
            </w:pPr>
            <w:r w:rsidRPr="00723AA9">
              <w:rPr>
                <w:rFonts w:ascii="Times New Roman" w:eastAsia="Calibri" w:hAnsi="Times New Roman" w:cs="Times New Roman"/>
                <w:b/>
                <w:sz w:val="20"/>
                <w:szCs w:val="20"/>
              </w:rPr>
              <w:t>Forrajeras anuales y perennes</w:t>
            </w:r>
          </w:p>
        </w:tc>
        <w:tc>
          <w:tcPr>
            <w:tcW w:w="1622" w:type="dxa"/>
          </w:tcPr>
          <w:p w14:paraId="201854E3" w14:textId="576EBA02" w:rsidR="00361867" w:rsidRPr="00723AA9" w:rsidRDefault="00361867" w:rsidP="00723AA9">
            <w:pPr>
              <w:spacing w:before="120" w:after="120" w:line="360" w:lineRule="auto"/>
              <w:ind w:firstLine="709"/>
              <w:contextualSpacing/>
              <w:jc w:val="right"/>
              <w:rPr>
                <w:rFonts w:ascii="Times New Roman" w:eastAsia="Calibri" w:hAnsi="Times New Roman" w:cs="Times New Roman"/>
                <w:sz w:val="20"/>
                <w:szCs w:val="20"/>
              </w:rPr>
            </w:pPr>
            <w:r w:rsidRPr="00723AA9">
              <w:rPr>
                <w:rFonts w:ascii="Times New Roman" w:eastAsia="Calibri" w:hAnsi="Times New Roman" w:cs="Times New Roman"/>
                <w:sz w:val="20"/>
                <w:szCs w:val="20"/>
              </w:rPr>
              <w:t>281,5</w:t>
            </w:r>
          </w:p>
        </w:tc>
      </w:tr>
      <w:tr w:rsidR="00D25EBC" w:rsidRPr="00723AA9" w14:paraId="5CA6D828" w14:textId="77777777" w:rsidTr="00723AA9">
        <w:tc>
          <w:tcPr>
            <w:tcW w:w="6354" w:type="dxa"/>
          </w:tcPr>
          <w:p w14:paraId="56370A90" w14:textId="1A4A01B1" w:rsidR="00D25EBC" w:rsidRPr="00723AA9" w:rsidRDefault="00D25EBC" w:rsidP="00723AA9">
            <w:pPr>
              <w:spacing w:before="120" w:after="120" w:line="360" w:lineRule="auto"/>
              <w:contextualSpacing/>
              <w:jc w:val="both"/>
              <w:rPr>
                <w:rFonts w:ascii="Times New Roman" w:eastAsia="Calibri" w:hAnsi="Times New Roman" w:cs="Times New Roman"/>
                <w:b/>
                <w:sz w:val="20"/>
                <w:szCs w:val="20"/>
              </w:rPr>
            </w:pPr>
            <w:r w:rsidRPr="00723AA9">
              <w:rPr>
                <w:rFonts w:ascii="Times New Roman" w:eastAsia="Calibri" w:hAnsi="Times New Roman" w:cs="Times New Roman"/>
                <w:b/>
                <w:sz w:val="20"/>
                <w:szCs w:val="20"/>
              </w:rPr>
              <w:t>Bosques y montes</w:t>
            </w:r>
          </w:p>
        </w:tc>
        <w:tc>
          <w:tcPr>
            <w:tcW w:w="1622" w:type="dxa"/>
          </w:tcPr>
          <w:p w14:paraId="189D1121" w14:textId="208817EB" w:rsidR="00D25EBC" w:rsidRPr="00723AA9" w:rsidRDefault="00D25EBC" w:rsidP="00723AA9">
            <w:pPr>
              <w:spacing w:before="120" w:after="120" w:line="360" w:lineRule="auto"/>
              <w:ind w:firstLine="709"/>
              <w:contextualSpacing/>
              <w:jc w:val="right"/>
              <w:rPr>
                <w:rFonts w:ascii="Times New Roman" w:eastAsia="Calibri" w:hAnsi="Times New Roman" w:cs="Times New Roman"/>
                <w:sz w:val="20"/>
                <w:szCs w:val="20"/>
              </w:rPr>
            </w:pPr>
            <w:r w:rsidRPr="00723AA9">
              <w:rPr>
                <w:rFonts w:ascii="Times New Roman" w:eastAsia="Calibri" w:hAnsi="Times New Roman" w:cs="Times New Roman"/>
                <w:sz w:val="20"/>
                <w:szCs w:val="20"/>
              </w:rPr>
              <w:t>19.3</w:t>
            </w:r>
          </w:p>
        </w:tc>
      </w:tr>
      <w:tr w:rsidR="00361867" w:rsidRPr="00723AA9" w14:paraId="13663460" w14:textId="0F485C0F" w:rsidTr="00723AA9">
        <w:tc>
          <w:tcPr>
            <w:tcW w:w="6354" w:type="dxa"/>
            <w:hideMark/>
          </w:tcPr>
          <w:p w14:paraId="708A2017" w14:textId="77777777" w:rsidR="00361867" w:rsidRPr="00723AA9" w:rsidRDefault="00361867" w:rsidP="00723AA9">
            <w:pPr>
              <w:spacing w:before="120" w:after="120" w:line="360" w:lineRule="auto"/>
              <w:contextualSpacing/>
              <w:jc w:val="both"/>
              <w:rPr>
                <w:rFonts w:ascii="Times New Roman" w:eastAsia="Calibri" w:hAnsi="Times New Roman" w:cs="Times New Roman"/>
                <w:sz w:val="20"/>
                <w:szCs w:val="20"/>
              </w:rPr>
            </w:pPr>
            <w:r w:rsidRPr="00723AA9">
              <w:rPr>
                <w:rFonts w:ascii="Times New Roman" w:eastAsia="Calibri" w:hAnsi="Times New Roman" w:cs="Times New Roman"/>
                <w:b/>
                <w:sz w:val="20"/>
                <w:szCs w:val="20"/>
              </w:rPr>
              <w:t>Superficie destinada a otros usos</w:t>
            </w:r>
            <w:r w:rsidRPr="00723AA9">
              <w:rPr>
                <w:rFonts w:ascii="Times New Roman" w:eastAsia="Calibri" w:hAnsi="Times New Roman" w:cs="Times New Roman"/>
                <w:sz w:val="20"/>
                <w:szCs w:val="20"/>
              </w:rPr>
              <w:t xml:space="preserve"> </w:t>
            </w:r>
            <w:r w:rsidRPr="00CF3920">
              <w:rPr>
                <w:rFonts w:ascii="Times New Roman" w:eastAsia="Calibri" w:hAnsi="Times New Roman" w:cs="Times New Roman"/>
                <w:sz w:val="16"/>
                <w:szCs w:val="16"/>
              </w:rPr>
              <w:t>(pastizales, bosques y montes espontáneos, superficie apta no utilizada, superficie no apta o de desperdicio y superficie con viviendas, caminos, parques galpones, etc.)</w:t>
            </w:r>
          </w:p>
        </w:tc>
        <w:tc>
          <w:tcPr>
            <w:tcW w:w="1622" w:type="dxa"/>
            <w:hideMark/>
          </w:tcPr>
          <w:p w14:paraId="7DFDF9D4" w14:textId="77777777" w:rsidR="00361867" w:rsidRPr="00723AA9" w:rsidRDefault="00361867" w:rsidP="00723AA9">
            <w:pPr>
              <w:keepNext/>
              <w:spacing w:before="120" w:after="120" w:line="360" w:lineRule="auto"/>
              <w:ind w:firstLine="709"/>
              <w:contextualSpacing/>
              <w:jc w:val="right"/>
              <w:rPr>
                <w:rFonts w:ascii="Times New Roman" w:eastAsia="Calibri" w:hAnsi="Times New Roman" w:cs="Times New Roman"/>
                <w:sz w:val="20"/>
                <w:szCs w:val="20"/>
              </w:rPr>
            </w:pPr>
            <w:r w:rsidRPr="00723AA9">
              <w:rPr>
                <w:rFonts w:ascii="Times New Roman" w:eastAsia="Calibri" w:hAnsi="Times New Roman" w:cs="Times New Roman"/>
                <w:sz w:val="20"/>
                <w:szCs w:val="20"/>
              </w:rPr>
              <w:t>15.541,5</w:t>
            </w:r>
          </w:p>
        </w:tc>
      </w:tr>
    </w:tbl>
    <w:p w14:paraId="5707F179" w14:textId="06FEB298" w:rsidR="00D90F74" w:rsidRPr="00723AA9" w:rsidRDefault="00D90F74" w:rsidP="00723AA9">
      <w:pPr>
        <w:spacing w:before="120" w:after="120" w:line="360" w:lineRule="auto"/>
        <w:ind w:firstLine="709"/>
        <w:contextualSpacing/>
        <w:rPr>
          <w:rFonts w:ascii="Times New Roman" w:eastAsia="Calibri" w:hAnsi="Times New Roman" w:cs="Times New Roman"/>
          <w:i/>
          <w:iCs/>
          <w:sz w:val="16"/>
          <w:szCs w:val="16"/>
          <w:lang w:val="es-ES"/>
        </w:rPr>
      </w:pPr>
      <w:r w:rsidRPr="00723AA9">
        <w:rPr>
          <w:rFonts w:ascii="Times New Roman" w:eastAsia="Calibri" w:hAnsi="Times New Roman" w:cs="Times New Roman"/>
          <w:i/>
          <w:iCs/>
          <w:sz w:val="16"/>
          <w:szCs w:val="16"/>
          <w:lang w:val="es-ES"/>
        </w:rPr>
        <w:t>FUENTE: Elaboración propia en base a DEIE, Anuario estadístico, 2014</w:t>
      </w:r>
    </w:p>
    <w:p w14:paraId="557DAE3F" w14:textId="77777777" w:rsidR="00723AA9" w:rsidRDefault="00723AA9" w:rsidP="00723AA9">
      <w:pPr>
        <w:spacing w:before="120" w:after="120" w:line="360" w:lineRule="auto"/>
        <w:ind w:firstLine="709"/>
        <w:contextualSpacing/>
        <w:jc w:val="both"/>
        <w:rPr>
          <w:rFonts w:ascii="Times New Roman" w:hAnsi="Times New Roman" w:cs="Times New Roman"/>
          <w:sz w:val="24"/>
          <w:szCs w:val="24"/>
        </w:rPr>
      </w:pPr>
    </w:p>
    <w:p w14:paraId="55939710" w14:textId="5E3294A7" w:rsidR="00F72458" w:rsidRPr="00723AA9" w:rsidRDefault="00F72458"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El dato que llama la atención es lo referido a las hectáreas destinadas a “bosque y montes” y “la superficie destinada a otros usos” y a “cultivos sin discriminar”. Allí parecen albergarse aquellas situaciones de avance de frontera agrícola que menciona </w:t>
      </w:r>
      <w:proofErr w:type="spellStart"/>
      <w:r w:rsidRPr="00723AA9">
        <w:rPr>
          <w:rFonts w:ascii="Times New Roman" w:hAnsi="Times New Roman" w:cs="Times New Roman"/>
          <w:sz w:val="24"/>
          <w:szCs w:val="24"/>
        </w:rPr>
        <w:t>Reboratti</w:t>
      </w:r>
      <w:proofErr w:type="spellEnd"/>
      <w:r w:rsidRPr="00723AA9">
        <w:rPr>
          <w:rFonts w:ascii="Times New Roman" w:hAnsi="Times New Roman" w:cs="Times New Roman"/>
          <w:sz w:val="24"/>
          <w:szCs w:val="24"/>
        </w:rPr>
        <w:t xml:space="preserve">, ya sea por avance sobre aquello denominado “Bosque y monte” o tierras abandonadas </w:t>
      </w:r>
      <w:r w:rsidR="001A126A" w:rsidRPr="00723AA9">
        <w:rPr>
          <w:rFonts w:ascii="Times New Roman" w:hAnsi="Times New Roman" w:cs="Times New Roman"/>
          <w:sz w:val="24"/>
          <w:szCs w:val="24"/>
        </w:rPr>
        <w:t>indicadas</w:t>
      </w:r>
      <w:r w:rsidRPr="00723AA9">
        <w:rPr>
          <w:rFonts w:ascii="Times New Roman" w:hAnsi="Times New Roman" w:cs="Times New Roman"/>
          <w:sz w:val="24"/>
          <w:szCs w:val="24"/>
        </w:rPr>
        <w:t xml:space="preserve"> indistintamente como “superficie destinada a otros usos” pero que, sin embargo, existe </w:t>
      </w:r>
      <w:r w:rsidRPr="00723AA9">
        <w:rPr>
          <w:rFonts w:ascii="Times New Roman" w:hAnsi="Times New Roman" w:cs="Times New Roman"/>
          <w:i/>
          <w:sz w:val="24"/>
          <w:szCs w:val="24"/>
        </w:rPr>
        <w:t>superficie apta no utilizada</w:t>
      </w:r>
      <w:r w:rsidRPr="00723AA9">
        <w:rPr>
          <w:rFonts w:ascii="Times New Roman" w:hAnsi="Times New Roman" w:cs="Times New Roman"/>
          <w:sz w:val="24"/>
          <w:szCs w:val="24"/>
        </w:rPr>
        <w:t xml:space="preserve">. </w:t>
      </w:r>
    </w:p>
    <w:p w14:paraId="78B34C4F" w14:textId="27B5121D" w:rsidR="00C66470" w:rsidRPr="00723AA9" w:rsidRDefault="001A126A" w:rsidP="00723AA9">
      <w:pPr>
        <w:spacing w:before="120" w:after="120" w:line="360" w:lineRule="auto"/>
        <w:ind w:firstLine="709"/>
        <w:contextualSpacing/>
        <w:jc w:val="both"/>
        <w:rPr>
          <w:rFonts w:ascii="Times New Roman" w:hAnsi="Times New Roman" w:cs="Times New Roman"/>
          <w:sz w:val="24"/>
          <w:szCs w:val="24"/>
          <w:lang w:val="es-ES"/>
        </w:rPr>
      </w:pPr>
      <w:r w:rsidRPr="00723AA9">
        <w:rPr>
          <w:rFonts w:ascii="Times New Roman" w:hAnsi="Times New Roman" w:cs="Times New Roman"/>
          <w:sz w:val="24"/>
          <w:szCs w:val="24"/>
          <w:lang w:val="es-ES"/>
        </w:rPr>
        <w:t xml:space="preserve">En particular, </w:t>
      </w:r>
      <w:r w:rsidR="00CF3920">
        <w:rPr>
          <w:rFonts w:ascii="Times New Roman" w:hAnsi="Times New Roman" w:cs="Times New Roman"/>
          <w:sz w:val="24"/>
          <w:szCs w:val="24"/>
          <w:lang w:val="es-ES"/>
        </w:rPr>
        <w:t>se focalizará</w:t>
      </w:r>
      <w:r w:rsidRPr="00723AA9">
        <w:rPr>
          <w:rFonts w:ascii="Times New Roman" w:hAnsi="Times New Roman" w:cs="Times New Roman"/>
          <w:sz w:val="24"/>
          <w:szCs w:val="24"/>
          <w:lang w:val="es-ES"/>
        </w:rPr>
        <w:t xml:space="preserve"> en la dinámica hortícola </w:t>
      </w:r>
      <w:r w:rsidR="00CF3920">
        <w:rPr>
          <w:rFonts w:ascii="Times New Roman" w:hAnsi="Times New Roman" w:cs="Times New Roman"/>
          <w:sz w:val="24"/>
          <w:szCs w:val="24"/>
          <w:lang w:val="es-ES"/>
        </w:rPr>
        <w:t>para</w:t>
      </w:r>
      <w:r w:rsidRPr="00723AA9">
        <w:rPr>
          <w:rFonts w:ascii="Times New Roman" w:hAnsi="Times New Roman" w:cs="Times New Roman"/>
          <w:sz w:val="24"/>
          <w:szCs w:val="24"/>
          <w:lang w:val="es-ES"/>
        </w:rPr>
        <w:t xml:space="preserve"> dar cuenta de los procesos expansivos del cinturón verde. </w:t>
      </w:r>
      <w:r w:rsidR="00C66470" w:rsidRPr="00723AA9">
        <w:rPr>
          <w:rFonts w:ascii="Times New Roman" w:hAnsi="Times New Roman" w:cs="Times New Roman"/>
          <w:sz w:val="24"/>
          <w:szCs w:val="24"/>
          <w:lang w:val="es-ES"/>
        </w:rPr>
        <w:t xml:space="preserve">En este sentido, interesa destacar la preponderancia de la producción hortícola hacia el noreste del departamento, particularmente en lo que atañe al </w:t>
      </w:r>
      <w:r w:rsidR="00C66470" w:rsidRPr="00723AA9">
        <w:rPr>
          <w:rFonts w:ascii="Times New Roman" w:hAnsi="Times New Roman" w:cs="Times New Roman"/>
          <w:sz w:val="24"/>
          <w:szCs w:val="24"/>
          <w:lang w:val="es-ES"/>
        </w:rPr>
        <w:lastRenderedPageBreak/>
        <w:t>distrito de Fray Luis Beltrán</w:t>
      </w:r>
      <w:r w:rsidRPr="00723AA9">
        <w:rPr>
          <w:rFonts w:ascii="Times New Roman" w:hAnsi="Times New Roman" w:cs="Times New Roman"/>
          <w:sz w:val="24"/>
          <w:szCs w:val="24"/>
          <w:lang w:val="es-ES"/>
        </w:rPr>
        <w:t xml:space="preserve">, </w:t>
      </w:r>
      <w:r w:rsidR="00CF3920">
        <w:rPr>
          <w:rFonts w:ascii="Times New Roman" w:hAnsi="Times New Roman" w:cs="Times New Roman"/>
          <w:sz w:val="24"/>
          <w:szCs w:val="24"/>
          <w:lang w:val="es-ES"/>
        </w:rPr>
        <w:t xml:space="preserve">ya que </w:t>
      </w:r>
      <w:r w:rsidRPr="00723AA9">
        <w:rPr>
          <w:rFonts w:ascii="Times New Roman" w:hAnsi="Times New Roman" w:cs="Times New Roman"/>
          <w:sz w:val="24"/>
          <w:szCs w:val="24"/>
          <w:lang w:val="es-ES"/>
        </w:rPr>
        <w:t>su característica relevante es su preminencia rural, pues contiene el 14% del área implantada del Oasis Norte. El interés en este distrito radica en su dinámica reciente caracterizada por el proceso expansivo significativo, en el cual, si bien persisten el 74% de las explotaciones, la superficie implantada creció aproximadamente en 2600 ha., es decir, un 29% (Van den Bosch, 2018).</w:t>
      </w:r>
    </w:p>
    <w:p w14:paraId="65B9E661" w14:textId="35ECF078" w:rsidR="00D90F74" w:rsidRPr="00723AA9" w:rsidRDefault="00C66470"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Por ello, a continuación, se profundizará en la dinámica del distrito de Fray Luis Beltrán </w:t>
      </w:r>
      <w:r w:rsidR="00441BEA" w:rsidRPr="00723AA9">
        <w:rPr>
          <w:rFonts w:ascii="Times New Roman" w:hAnsi="Times New Roman" w:cs="Times New Roman"/>
          <w:sz w:val="24"/>
          <w:szCs w:val="24"/>
        </w:rPr>
        <w:t xml:space="preserve">(FLB) </w:t>
      </w:r>
      <w:r w:rsidRPr="00723AA9">
        <w:rPr>
          <w:rFonts w:ascii="Times New Roman" w:hAnsi="Times New Roman" w:cs="Times New Roman"/>
          <w:sz w:val="24"/>
          <w:szCs w:val="24"/>
        </w:rPr>
        <w:t xml:space="preserve">como área indicada como sujeto de transformaciones por la bibliografía </w:t>
      </w:r>
      <w:r w:rsidR="00CF3920">
        <w:rPr>
          <w:rFonts w:ascii="Times New Roman" w:hAnsi="Times New Roman" w:cs="Times New Roman"/>
          <w:sz w:val="24"/>
          <w:szCs w:val="24"/>
        </w:rPr>
        <w:t>disponible</w:t>
      </w:r>
      <w:r w:rsidRPr="00723AA9">
        <w:rPr>
          <w:rFonts w:ascii="Times New Roman" w:hAnsi="Times New Roman" w:cs="Times New Roman"/>
          <w:sz w:val="24"/>
          <w:szCs w:val="24"/>
        </w:rPr>
        <w:t>.</w:t>
      </w:r>
    </w:p>
    <w:p w14:paraId="7BFFD360" w14:textId="5ABE7228" w:rsidR="004D7214" w:rsidRPr="00723AA9" w:rsidRDefault="004D7214" w:rsidP="001805D2">
      <w:pPr>
        <w:pStyle w:val="Prrafodelista"/>
        <w:numPr>
          <w:ilvl w:val="0"/>
          <w:numId w:val="1"/>
        </w:numPr>
        <w:spacing w:before="120" w:after="120" w:line="360" w:lineRule="auto"/>
        <w:ind w:left="0" w:firstLine="567"/>
        <w:jc w:val="both"/>
        <w:rPr>
          <w:rFonts w:ascii="Times New Roman" w:hAnsi="Times New Roman" w:cs="Times New Roman"/>
          <w:b/>
          <w:sz w:val="24"/>
          <w:szCs w:val="24"/>
        </w:rPr>
      </w:pPr>
      <w:r w:rsidRPr="00723AA9">
        <w:rPr>
          <w:rFonts w:ascii="Times New Roman" w:hAnsi="Times New Roman" w:cs="Times New Roman"/>
          <w:b/>
          <w:sz w:val="24"/>
          <w:szCs w:val="24"/>
        </w:rPr>
        <w:t xml:space="preserve">METODOLOGÍA </w:t>
      </w:r>
    </w:p>
    <w:p w14:paraId="09267104" w14:textId="5B051D91" w:rsidR="001A126A" w:rsidRPr="00723AA9" w:rsidRDefault="001A126A" w:rsidP="00723AA9">
      <w:pPr>
        <w:spacing w:before="120" w:after="120" w:line="360" w:lineRule="auto"/>
        <w:ind w:firstLine="709"/>
        <w:contextualSpacing/>
        <w:jc w:val="both"/>
        <w:outlineLvl w:val="1"/>
        <w:rPr>
          <w:rFonts w:ascii="Times New Roman" w:eastAsia="Times New Roman" w:hAnsi="Times New Roman" w:cs="Times New Roman"/>
          <w:sz w:val="24"/>
          <w:szCs w:val="24"/>
          <w:lang w:eastAsia="es-ES"/>
        </w:rPr>
      </w:pPr>
      <w:r w:rsidRPr="00723AA9">
        <w:rPr>
          <w:rFonts w:ascii="Times New Roman" w:eastAsia="Times New Roman" w:hAnsi="Times New Roman" w:cs="Times New Roman"/>
          <w:sz w:val="24"/>
          <w:szCs w:val="24"/>
          <w:lang w:eastAsia="es-ES"/>
        </w:rPr>
        <w:t>Con el objeto de reconstruir la dinámica de la producción hortícola y las transformaciones de uso del suelo en los últimos 10 años (2008-2018) en el noreste del departamento de Maipú se realizó un análisis de imágenes satelitales disponibles. Esta instancia resulta fundamental para la investigación puesto que es el paso previo para la definición de las unidades de observación. En primera instancia se definió la utilización de imágenes satelitales gratuitas disponibles a través de</w:t>
      </w:r>
      <w:r w:rsidR="00CF3920">
        <w:rPr>
          <w:rFonts w:ascii="Times New Roman" w:eastAsia="Times New Roman" w:hAnsi="Times New Roman" w:cs="Times New Roman"/>
          <w:sz w:val="24"/>
          <w:szCs w:val="24"/>
          <w:lang w:eastAsia="es-ES"/>
        </w:rPr>
        <w:t xml:space="preserve"> </w:t>
      </w:r>
      <w:r w:rsidRPr="00723AA9">
        <w:rPr>
          <w:rFonts w:ascii="Times New Roman" w:eastAsia="Times New Roman" w:hAnsi="Times New Roman" w:cs="Times New Roman"/>
          <w:sz w:val="24"/>
          <w:szCs w:val="24"/>
          <w:lang w:eastAsia="es-ES"/>
        </w:rPr>
        <w:t>la misión</w:t>
      </w:r>
      <w:r w:rsidR="00CF3920">
        <w:rPr>
          <w:rFonts w:ascii="Times New Roman" w:eastAsia="Times New Roman" w:hAnsi="Times New Roman" w:cs="Times New Roman"/>
          <w:sz w:val="24"/>
          <w:szCs w:val="24"/>
          <w:lang w:eastAsia="es-ES"/>
        </w:rPr>
        <w:t xml:space="preserve"> </w:t>
      </w:r>
      <w:proofErr w:type="spellStart"/>
      <w:r w:rsidRPr="00723AA9">
        <w:rPr>
          <w:rFonts w:ascii="Times New Roman" w:eastAsia="Times New Roman" w:hAnsi="Times New Roman" w:cs="Times New Roman"/>
          <w:sz w:val="24"/>
          <w:szCs w:val="24"/>
          <w:lang w:eastAsia="es-ES"/>
        </w:rPr>
        <w:t>Lansat</w:t>
      </w:r>
      <w:proofErr w:type="spellEnd"/>
      <w:r w:rsidRPr="00723AA9">
        <w:rPr>
          <w:rFonts w:ascii="Times New Roman" w:eastAsia="Times New Roman" w:hAnsi="Times New Roman" w:cs="Times New Roman"/>
          <w:sz w:val="24"/>
          <w:szCs w:val="24"/>
          <w:lang w:eastAsia="es-ES"/>
        </w:rPr>
        <w:t xml:space="preserve">, el cual posee una resolución espacial de 30mts. Respecto a las </w:t>
      </w:r>
      <w:r w:rsidRPr="00723AA9">
        <w:rPr>
          <w:rFonts w:ascii="Times New Roman" w:eastAsia="Times New Roman" w:hAnsi="Times New Roman" w:cs="Times New Roman"/>
          <w:b/>
          <w:bCs/>
          <w:sz w:val="24"/>
          <w:szCs w:val="24"/>
          <w:lang w:eastAsia="es-ES"/>
        </w:rPr>
        <w:t>fuentes de los datos</w:t>
      </w:r>
      <w:r w:rsidRPr="00723AA9">
        <w:rPr>
          <w:rFonts w:ascii="Times New Roman" w:eastAsia="Times New Roman" w:hAnsi="Times New Roman" w:cs="Times New Roman"/>
          <w:sz w:val="24"/>
          <w:szCs w:val="24"/>
          <w:lang w:eastAsia="es-ES"/>
        </w:rPr>
        <w:t xml:space="preserve">, se pudo acceder a información vectorial a través de </w:t>
      </w:r>
      <w:proofErr w:type="spellStart"/>
      <w:r w:rsidRPr="00723AA9">
        <w:rPr>
          <w:rFonts w:ascii="Times New Roman" w:eastAsia="Times New Roman" w:hAnsi="Times New Roman" w:cs="Times New Roman"/>
          <w:i/>
          <w:iCs/>
          <w:sz w:val="24"/>
          <w:szCs w:val="24"/>
          <w:lang w:eastAsia="es-ES"/>
        </w:rPr>
        <w:t>EarthExplorer</w:t>
      </w:r>
      <w:proofErr w:type="spellEnd"/>
      <w:r w:rsidRPr="00723AA9">
        <w:rPr>
          <w:rStyle w:val="Refdenotaalpie"/>
          <w:rFonts w:ascii="Times New Roman" w:eastAsia="Times New Roman" w:hAnsi="Times New Roman" w:cs="Times New Roman"/>
          <w:sz w:val="24"/>
          <w:szCs w:val="24"/>
          <w:lang w:eastAsia="es-ES"/>
        </w:rPr>
        <w:footnoteReference w:id="2"/>
      </w:r>
      <w:r w:rsidRPr="00723AA9">
        <w:rPr>
          <w:rFonts w:ascii="Times New Roman" w:eastAsia="Times New Roman" w:hAnsi="Times New Roman" w:cs="Times New Roman"/>
          <w:sz w:val="24"/>
          <w:szCs w:val="24"/>
          <w:lang w:eastAsia="es-ES"/>
        </w:rPr>
        <w:t xml:space="preserve"> y a información vectorial complementaria del Instituto de Desarrollo Rural (IDR) de la provincia el cual se especializa en la recolección de información del sector hortícola; datos del Sistema Información Territorial y Ambiental (SIAT); y capas </w:t>
      </w:r>
      <w:proofErr w:type="spellStart"/>
      <w:r w:rsidRPr="00723AA9">
        <w:rPr>
          <w:rFonts w:ascii="Times New Roman" w:eastAsia="Times New Roman" w:hAnsi="Times New Roman" w:cs="Times New Roman"/>
          <w:sz w:val="24"/>
          <w:szCs w:val="24"/>
          <w:lang w:eastAsia="es-ES"/>
        </w:rPr>
        <w:t>raster</w:t>
      </w:r>
      <w:proofErr w:type="spellEnd"/>
      <w:r w:rsidRPr="00723AA9">
        <w:rPr>
          <w:rFonts w:ascii="Times New Roman" w:eastAsia="Times New Roman" w:hAnsi="Times New Roman" w:cs="Times New Roman"/>
          <w:sz w:val="24"/>
          <w:szCs w:val="24"/>
          <w:lang w:eastAsia="es-ES"/>
        </w:rPr>
        <w:t xml:space="preserve"> provistas por el Departamento de </w:t>
      </w:r>
      <w:proofErr w:type="gramStart"/>
      <w:r w:rsidRPr="00723AA9">
        <w:rPr>
          <w:rFonts w:ascii="Times New Roman" w:eastAsia="Times New Roman" w:hAnsi="Times New Roman" w:cs="Times New Roman"/>
          <w:sz w:val="24"/>
          <w:szCs w:val="24"/>
          <w:lang w:eastAsia="es-ES"/>
        </w:rPr>
        <w:t>Socio-economía</w:t>
      </w:r>
      <w:proofErr w:type="gramEnd"/>
      <w:r w:rsidRPr="00723AA9">
        <w:rPr>
          <w:rFonts w:ascii="Times New Roman" w:eastAsia="Times New Roman" w:hAnsi="Times New Roman" w:cs="Times New Roman"/>
          <w:sz w:val="24"/>
          <w:szCs w:val="24"/>
          <w:lang w:eastAsia="es-ES"/>
        </w:rPr>
        <w:t xml:space="preserve"> de la EEA Mendoza del INTA. </w:t>
      </w:r>
    </w:p>
    <w:p w14:paraId="22CA5FDA" w14:textId="7B5F883D" w:rsidR="001A126A" w:rsidRPr="00723AA9" w:rsidRDefault="001A126A" w:rsidP="00723AA9">
      <w:pPr>
        <w:spacing w:before="120" w:after="120" w:line="360" w:lineRule="auto"/>
        <w:ind w:firstLine="709"/>
        <w:contextualSpacing/>
        <w:jc w:val="both"/>
        <w:outlineLvl w:val="1"/>
        <w:rPr>
          <w:rFonts w:ascii="Times New Roman" w:eastAsia="Times New Roman" w:hAnsi="Times New Roman" w:cs="Times New Roman"/>
          <w:sz w:val="24"/>
          <w:szCs w:val="24"/>
          <w:lang w:eastAsia="es-ES"/>
        </w:rPr>
      </w:pPr>
      <w:r w:rsidRPr="00723AA9">
        <w:rPr>
          <w:rFonts w:ascii="Times New Roman" w:eastAsia="Times New Roman" w:hAnsi="Times New Roman" w:cs="Times New Roman"/>
          <w:sz w:val="24"/>
          <w:szCs w:val="24"/>
          <w:lang w:eastAsia="es-ES"/>
        </w:rPr>
        <w:t>Por otra parte, en función de la variabilidad de contenido y temporalidad de la información vectorial disponible, se optó por hacer cortes temporales dentro del periodo 2008- 2018, teniendo en cuenta la producción hortícola y su dinámica tanto en el periodo estival como de invierno. Con esta definición se trabajó principalmente sobre 4 capas vectoriales</w:t>
      </w:r>
      <w:r w:rsidRPr="00723AA9">
        <w:rPr>
          <w:rStyle w:val="Refdenotaalpie"/>
          <w:rFonts w:ascii="Times New Roman" w:eastAsia="Times New Roman" w:hAnsi="Times New Roman" w:cs="Times New Roman"/>
          <w:sz w:val="24"/>
          <w:szCs w:val="24"/>
          <w:lang w:eastAsia="es-ES"/>
        </w:rPr>
        <w:footnoteReference w:id="3"/>
      </w:r>
      <w:r w:rsidRPr="00723AA9">
        <w:rPr>
          <w:rFonts w:ascii="Times New Roman" w:eastAsia="Times New Roman" w:hAnsi="Times New Roman" w:cs="Times New Roman"/>
          <w:sz w:val="24"/>
          <w:szCs w:val="24"/>
          <w:lang w:eastAsia="es-ES"/>
        </w:rPr>
        <w:t>, que pudieran indicar la dinámica de usos del suelo agrícola</w:t>
      </w:r>
      <w:r w:rsidR="00CF3920">
        <w:rPr>
          <w:rFonts w:ascii="Times New Roman" w:eastAsia="Times New Roman" w:hAnsi="Times New Roman" w:cs="Times New Roman"/>
          <w:sz w:val="24"/>
          <w:szCs w:val="24"/>
          <w:lang w:eastAsia="es-ES"/>
        </w:rPr>
        <w:t>.</w:t>
      </w:r>
    </w:p>
    <w:p w14:paraId="48CBE6EA" w14:textId="11D6DCE0" w:rsidR="001A126A" w:rsidRPr="00723AA9" w:rsidRDefault="001A126A" w:rsidP="00723AA9">
      <w:pPr>
        <w:spacing w:before="120" w:after="120" w:line="360" w:lineRule="auto"/>
        <w:ind w:firstLine="709"/>
        <w:contextualSpacing/>
        <w:jc w:val="both"/>
        <w:outlineLvl w:val="1"/>
        <w:rPr>
          <w:rFonts w:ascii="Times New Roman" w:eastAsia="Times New Roman" w:hAnsi="Times New Roman" w:cs="Times New Roman"/>
          <w:sz w:val="24"/>
          <w:szCs w:val="24"/>
          <w:lang w:eastAsia="es-ES"/>
        </w:rPr>
      </w:pPr>
      <w:r w:rsidRPr="00723AA9">
        <w:rPr>
          <w:rFonts w:ascii="Times New Roman" w:eastAsia="Times New Roman" w:hAnsi="Times New Roman" w:cs="Times New Roman"/>
          <w:sz w:val="24"/>
          <w:szCs w:val="24"/>
          <w:lang w:eastAsia="es-ES"/>
        </w:rPr>
        <w:lastRenderedPageBreak/>
        <w:t xml:space="preserve">A modo </w:t>
      </w:r>
      <w:r w:rsidR="00CF3920">
        <w:rPr>
          <w:rFonts w:ascii="Times New Roman" w:eastAsia="Times New Roman" w:hAnsi="Times New Roman" w:cs="Times New Roman"/>
          <w:sz w:val="24"/>
          <w:szCs w:val="24"/>
          <w:lang w:eastAsia="es-ES"/>
        </w:rPr>
        <w:t>de lograr la comparabilidad de</w:t>
      </w:r>
      <w:r w:rsidRPr="00723AA9">
        <w:rPr>
          <w:rFonts w:ascii="Times New Roman" w:eastAsia="Times New Roman" w:hAnsi="Times New Roman" w:cs="Times New Roman"/>
          <w:sz w:val="24"/>
          <w:szCs w:val="24"/>
          <w:lang w:eastAsia="es-ES"/>
        </w:rPr>
        <w:t xml:space="preserve"> las capas, en una primera instancia, se realizó una comparación sobre los usos del suelo agrícola, para la cual ser trabajó fundamentalmente con la capa de usos del suelo del año 2012 y las parcelas de ajo para el año 2016. Esto permitió un acercamiento a la identificación de crecimiento de las áreas agrícolas, puesto que se pudo comparar con los usos del suelo, que incluían la definición de </w:t>
      </w:r>
      <w:r w:rsidRPr="00723AA9">
        <w:rPr>
          <w:rFonts w:ascii="Times New Roman" w:eastAsia="Times New Roman" w:hAnsi="Times New Roman" w:cs="Times New Roman"/>
          <w:i/>
          <w:iCs/>
          <w:sz w:val="24"/>
          <w:szCs w:val="24"/>
          <w:lang w:eastAsia="es-ES"/>
        </w:rPr>
        <w:t xml:space="preserve">áreas incultas </w:t>
      </w:r>
      <w:r w:rsidRPr="00723AA9">
        <w:rPr>
          <w:rFonts w:ascii="Times New Roman" w:eastAsia="Times New Roman" w:hAnsi="Times New Roman" w:cs="Times New Roman"/>
          <w:sz w:val="24"/>
          <w:szCs w:val="24"/>
          <w:lang w:eastAsia="es-ES"/>
        </w:rPr>
        <w:t>y, asimismo, indicar</w:t>
      </w:r>
      <w:r w:rsidRPr="00723AA9">
        <w:rPr>
          <w:rFonts w:ascii="Times New Roman" w:eastAsia="Times New Roman" w:hAnsi="Times New Roman" w:cs="Times New Roman"/>
          <w:i/>
          <w:iCs/>
          <w:sz w:val="24"/>
          <w:szCs w:val="24"/>
          <w:lang w:eastAsia="es-ES"/>
        </w:rPr>
        <w:t xml:space="preserve"> los cambios de uso vitícola y olivícola hacia la horticultura</w:t>
      </w:r>
      <w:r w:rsidRPr="00723AA9">
        <w:rPr>
          <w:rFonts w:ascii="Times New Roman" w:eastAsia="Times New Roman" w:hAnsi="Times New Roman" w:cs="Times New Roman"/>
          <w:sz w:val="24"/>
          <w:szCs w:val="24"/>
          <w:lang w:eastAsia="es-ES"/>
        </w:rPr>
        <w:t>. En una segunda instancia, se buscó fortalecer la información a través del cálculo del Índice Verde, a modo de identificar la presencia y calidad de áreas productivas, aunque no necesariamente puestas en producción.</w:t>
      </w:r>
    </w:p>
    <w:p w14:paraId="51668C1A" w14:textId="315FE49A" w:rsidR="001A126A" w:rsidRPr="00723AA9" w:rsidRDefault="001A126A" w:rsidP="00723AA9">
      <w:pPr>
        <w:spacing w:before="120" w:after="120" w:line="360" w:lineRule="auto"/>
        <w:ind w:firstLine="709"/>
        <w:contextualSpacing/>
        <w:jc w:val="both"/>
        <w:outlineLvl w:val="1"/>
        <w:rPr>
          <w:rFonts w:ascii="Times New Roman" w:eastAsia="Times New Roman" w:hAnsi="Times New Roman" w:cs="Times New Roman"/>
          <w:sz w:val="24"/>
          <w:szCs w:val="24"/>
          <w:lang w:eastAsia="es-ES"/>
        </w:rPr>
      </w:pPr>
      <w:r w:rsidRPr="00723AA9">
        <w:rPr>
          <w:rFonts w:ascii="Times New Roman" w:eastAsia="Times New Roman" w:hAnsi="Times New Roman" w:cs="Times New Roman"/>
          <w:sz w:val="24"/>
          <w:szCs w:val="24"/>
          <w:lang w:eastAsia="es-ES"/>
        </w:rPr>
        <w:t xml:space="preserve">Con la información satelital de los cortes realizados, se inició el proceso de análisis mediante su comparación. A partir de ello, se </w:t>
      </w:r>
      <w:r w:rsidR="00CF3920">
        <w:rPr>
          <w:rFonts w:ascii="Times New Roman" w:eastAsia="Times New Roman" w:hAnsi="Times New Roman" w:cs="Times New Roman"/>
          <w:sz w:val="24"/>
          <w:szCs w:val="24"/>
          <w:lang w:eastAsia="es-ES"/>
        </w:rPr>
        <w:t>corroboró</w:t>
      </w:r>
      <w:r w:rsidRPr="00723AA9">
        <w:rPr>
          <w:rFonts w:ascii="Times New Roman" w:eastAsia="Times New Roman" w:hAnsi="Times New Roman" w:cs="Times New Roman"/>
          <w:sz w:val="24"/>
          <w:szCs w:val="24"/>
          <w:lang w:eastAsia="es-ES"/>
        </w:rPr>
        <w:t xml:space="preserve"> la identificación de un polígono de transformación de uso del suelo agrícola que se circunscribe hacia el norte de la ruta 20, y desde la calle las Margaritas hacia el este. </w:t>
      </w:r>
    </w:p>
    <w:p w14:paraId="6619AD44" w14:textId="77777777" w:rsidR="001A126A" w:rsidRPr="00723AA9" w:rsidRDefault="001A126A" w:rsidP="00723AA9">
      <w:pPr>
        <w:keepNext/>
        <w:spacing w:before="120" w:after="120" w:line="360" w:lineRule="auto"/>
        <w:ind w:firstLine="709"/>
        <w:contextualSpacing/>
        <w:jc w:val="right"/>
        <w:outlineLvl w:val="1"/>
        <w:rPr>
          <w:rFonts w:ascii="Times New Roman" w:hAnsi="Times New Roman" w:cs="Times New Roman"/>
          <w:sz w:val="24"/>
          <w:szCs w:val="24"/>
        </w:rPr>
      </w:pPr>
      <w:r w:rsidRPr="00723AA9">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59264" behindDoc="0" locked="0" layoutInCell="1" allowOverlap="1" wp14:anchorId="116A4D92" wp14:editId="52FC2C66">
                <wp:simplePos x="0" y="0"/>
                <wp:positionH relativeFrom="margin">
                  <wp:posOffset>455367</wp:posOffset>
                </wp:positionH>
                <wp:positionV relativeFrom="paragraph">
                  <wp:posOffset>6638</wp:posOffset>
                </wp:positionV>
                <wp:extent cx="4710023" cy="450215"/>
                <wp:effectExtent l="0" t="0" r="0" b="698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0023" cy="450215"/>
                        </a:xfrm>
                        <a:prstGeom prst="rect">
                          <a:avLst/>
                        </a:prstGeom>
                        <a:solidFill>
                          <a:sysClr val="window" lastClr="FFFFFF"/>
                        </a:solidFill>
                        <a:ln w="6350">
                          <a:noFill/>
                        </a:ln>
                      </wps:spPr>
                      <wps:txbx>
                        <w:txbxContent>
                          <w:p w14:paraId="6A77989B" w14:textId="064FFF96" w:rsidR="001A126A" w:rsidRPr="003E6AF8" w:rsidRDefault="00553CB5" w:rsidP="001A126A">
                            <w:pPr>
                              <w:jc w:val="center"/>
                              <w:rPr>
                                <w:rFonts w:ascii="Times New Roman" w:hAnsi="Times New Roman" w:cs="Times New Roman"/>
                                <w:b/>
                                <w:bCs/>
                                <w:sz w:val="20"/>
                                <w:szCs w:val="20"/>
                                <w:lang w:val="es-ES"/>
                              </w:rPr>
                            </w:pPr>
                            <w:r>
                              <w:rPr>
                                <w:rFonts w:ascii="Times New Roman" w:hAnsi="Times New Roman" w:cs="Times New Roman"/>
                                <w:b/>
                                <w:bCs/>
                                <w:sz w:val="20"/>
                                <w:szCs w:val="20"/>
                                <w:lang w:val="es-ES"/>
                              </w:rPr>
                              <w:t>Mapa</w:t>
                            </w:r>
                            <w:r w:rsidR="00CF3920">
                              <w:rPr>
                                <w:rFonts w:ascii="Times New Roman" w:hAnsi="Times New Roman" w:cs="Times New Roman"/>
                                <w:b/>
                                <w:bCs/>
                                <w:sz w:val="20"/>
                                <w:szCs w:val="20"/>
                                <w:lang w:val="es-ES"/>
                              </w:rPr>
                              <w:t xml:space="preserve"> 1: </w:t>
                            </w:r>
                            <w:r w:rsidR="001A126A" w:rsidRPr="003E6AF8">
                              <w:rPr>
                                <w:rFonts w:ascii="Times New Roman" w:hAnsi="Times New Roman" w:cs="Times New Roman"/>
                                <w:b/>
                                <w:bCs/>
                                <w:sz w:val="20"/>
                                <w:szCs w:val="20"/>
                                <w:lang w:val="es-ES"/>
                              </w:rPr>
                              <w:t>Área de focalización del análisis, noreste del distrito de Fray Lui Beltrán, departamento de Maipú.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A4D92" id="_x0000_t202" coordsize="21600,21600" o:spt="202" path="m,l,21600r21600,l21600,xe">
                <v:stroke joinstyle="miter"/>
                <v:path gradientshapeok="t" o:connecttype="rect"/>
              </v:shapetype>
              <v:shape id="Cuadro de texto 4" o:spid="_x0000_s1026" type="#_x0000_t202" style="position:absolute;left:0;text-align:left;margin-left:35.85pt;margin-top:.5pt;width:370.85pt;height:3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" fillcolor="window" stroked="f" strokeweight=".5pt">
                <v:textbox>
                  <w:txbxContent>
                    <w:p w14:paraId="6A77989B" w14:textId="064FFF96" w:rsidR="001A126A" w:rsidRPr="003E6AF8" w:rsidRDefault="00553CB5" w:rsidP="001A126A">
                      <w:pPr>
                        <w:jc w:val="center"/>
                        <w:rPr>
                          <w:rFonts w:ascii="Times New Roman" w:hAnsi="Times New Roman" w:cs="Times New Roman"/>
                          <w:b/>
                          <w:bCs/>
                          <w:sz w:val="20"/>
                          <w:szCs w:val="20"/>
                          <w:lang w:val="es-ES"/>
                        </w:rPr>
                      </w:pPr>
                      <w:r>
                        <w:rPr>
                          <w:rFonts w:ascii="Times New Roman" w:hAnsi="Times New Roman" w:cs="Times New Roman"/>
                          <w:b/>
                          <w:bCs/>
                          <w:sz w:val="20"/>
                          <w:szCs w:val="20"/>
                          <w:lang w:val="es-ES"/>
                        </w:rPr>
                        <w:t>Mapa</w:t>
                      </w:r>
                      <w:r w:rsidR="00CF3920">
                        <w:rPr>
                          <w:rFonts w:ascii="Times New Roman" w:hAnsi="Times New Roman" w:cs="Times New Roman"/>
                          <w:b/>
                          <w:bCs/>
                          <w:sz w:val="20"/>
                          <w:szCs w:val="20"/>
                          <w:lang w:val="es-ES"/>
                        </w:rPr>
                        <w:t xml:space="preserve"> 1: </w:t>
                      </w:r>
                      <w:r w:rsidR="001A126A" w:rsidRPr="003E6AF8">
                        <w:rPr>
                          <w:rFonts w:ascii="Times New Roman" w:hAnsi="Times New Roman" w:cs="Times New Roman"/>
                          <w:b/>
                          <w:bCs/>
                          <w:sz w:val="20"/>
                          <w:szCs w:val="20"/>
                          <w:lang w:val="es-ES"/>
                        </w:rPr>
                        <w:t>Área de focalización del análisis, noreste del distrito de Fray Lui Beltrán, departamento de Maipú.</w:t>
                      </w:r>
                    </w:p>
                  </w:txbxContent>
                </v:textbox>
                <w10:wrap anchorx="margin"/>
              </v:shape>
            </w:pict>
          </mc:Fallback>
        </mc:AlternateContent>
      </w:r>
      <w:r w:rsidRPr="00723AA9">
        <w:rPr>
          <w:rFonts w:ascii="Times New Roman" w:eastAsia="Times New Roman" w:hAnsi="Times New Roman" w:cs="Times New Roman"/>
          <w:noProof/>
          <w:sz w:val="24"/>
          <w:szCs w:val="24"/>
          <w:lang w:eastAsia="es-AR"/>
        </w:rPr>
        <w:drawing>
          <wp:inline distT="0" distB="0" distL="0" distR="0" wp14:anchorId="33930BA4" wp14:editId="2B32739D">
            <wp:extent cx="5124091" cy="3777992"/>
            <wp:effectExtent l="0" t="0" r="0" b="0"/>
            <wp:docPr id="3" name="Imagen 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 FL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091" cy="3777992"/>
                    </a:xfrm>
                    <a:prstGeom prst="rect">
                      <a:avLst/>
                    </a:prstGeom>
                  </pic:spPr>
                </pic:pic>
              </a:graphicData>
            </a:graphic>
          </wp:inline>
        </w:drawing>
      </w:r>
    </w:p>
    <w:p w14:paraId="3899F1E0" w14:textId="2A3F5B49" w:rsidR="004C6587" w:rsidRDefault="001A126A" w:rsidP="00723AA9">
      <w:pPr>
        <w:spacing w:before="120" w:after="120" w:line="360" w:lineRule="auto"/>
        <w:ind w:firstLine="709"/>
        <w:contextualSpacing/>
        <w:jc w:val="both"/>
        <w:outlineLvl w:val="1"/>
        <w:rPr>
          <w:rFonts w:ascii="Times New Roman" w:hAnsi="Times New Roman" w:cs="Times New Roman"/>
          <w:sz w:val="16"/>
          <w:szCs w:val="16"/>
        </w:rPr>
      </w:pPr>
      <w:r w:rsidRPr="00723AA9">
        <w:rPr>
          <w:rFonts w:ascii="Times New Roman" w:hAnsi="Times New Roman" w:cs="Times New Roman"/>
          <w:sz w:val="16"/>
          <w:szCs w:val="16"/>
        </w:rPr>
        <w:t>Fuente: Elaboración propia en base a Infraestructura de Datos Espaciales de la República Argentina.</w:t>
      </w:r>
    </w:p>
    <w:p w14:paraId="73917149" w14:textId="2DB3EF69" w:rsidR="00433A66" w:rsidRPr="00433A66" w:rsidRDefault="00433A66" w:rsidP="00433A66">
      <w:pPr>
        <w:spacing w:before="120" w:after="120" w:line="360" w:lineRule="auto"/>
        <w:contextualSpacing/>
        <w:jc w:val="both"/>
        <w:outlineLvl w:val="1"/>
        <w:rPr>
          <w:rFonts w:ascii="Times New Roman" w:hAnsi="Times New Roman" w:cs="Times New Roman"/>
          <w:sz w:val="24"/>
          <w:szCs w:val="24"/>
        </w:rPr>
      </w:pPr>
    </w:p>
    <w:p w14:paraId="6AF46C94" w14:textId="4267A24C" w:rsidR="00433A66" w:rsidRDefault="00433A66" w:rsidP="00433A66">
      <w:pPr>
        <w:spacing w:before="120" w:after="120" w:line="360" w:lineRule="auto"/>
        <w:contextualSpacing/>
        <w:jc w:val="both"/>
        <w:outlineLvl w:val="1"/>
        <w:rPr>
          <w:rFonts w:ascii="Times New Roman" w:hAnsi="Times New Roman" w:cs="Times New Roman"/>
          <w:sz w:val="24"/>
          <w:szCs w:val="24"/>
        </w:rPr>
      </w:pPr>
      <w:r w:rsidRPr="00433A66">
        <w:rPr>
          <w:rFonts w:ascii="Times New Roman" w:hAnsi="Times New Roman" w:cs="Times New Roman"/>
          <w:sz w:val="24"/>
          <w:szCs w:val="24"/>
        </w:rPr>
        <w:t xml:space="preserve">A continuación, se describen los avances sobre el distrito bajo estudio y su dinámica hortícola. </w:t>
      </w:r>
    </w:p>
    <w:p w14:paraId="1CCA27C9" w14:textId="77777777" w:rsidR="001805D2" w:rsidRPr="00433A66" w:rsidRDefault="001805D2" w:rsidP="00433A66">
      <w:pPr>
        <w:spacing w:before="120" w:after="120" w:line="360" w:lineRule="auto"/>
        <w:contextualSpacing/>
        <w:jc w:val="both"/>
        <w:outlineLvl w:val="1"/>
        <w:rPr>
          <w:rFonts w:ascii="Times New Roman" w:hAnsi="Times New Roman" w:cs="Times New Roman"/>
          <w:sz w:val="24"/>
          <w:szCs w:val="24"/>
        </w:rPr>
      </w:pPr>
    </w:p>
    <w:p w14:paraId="7331C284" w14:textId="49940955" w:rsidR="00C77B3D" w:rsidRPr="00723AA9" w:rsidRDefault="00C77B3D" w:rsidP="00723AA9">
      <w:pPr>
        <w:pStyle w:val="Prrafodelista"/>
        <w:numPr>
          <w:ilvl w:val="0"/>
          <w:numId w:val="1"/>
        </w:numPr>
        <w:spacing w:before="120" w:after="120" w:line="360" w:lineRule="auto"/>
        <w:ind w:left="142" w:firstLine="142"/>
        <w:jc w:val="both"/>
        <w:rPr>
          <w:rFonts w:ascii="Times New Roman" w:hAnsi="Times New Roman" w:cs="Times New Roman"/>
          <w:b/>
          <w:i/>
          <w:sz w:val="24"/>
          <w:szCs w:val="24"/>
        </w:rPr>
      </w:pPr>
      <w:r w:rsidRPr="00723AA9">
        <w:rPr>
          <w:rFonts w:ascii="Times New Roman" w:hAnsi="Times New Roman" w:cs="Times New Roman"/>
          <w:b/>
          <w:sz w:val="24"/>
          <w:szCs w:val="24"/>
        </w:rPr>
        <w:t xml:space="preserve">EN LA BÚSQUEDA DE INDICIOS DE RELOCALIZACIÓN: </w:t>
      </w:r>
      <w:r w:rsidR="001805D2">
        <w:rPr>
          <w:rFonts w:ascii="Times New Roman" w:hAnsi="Times New Roman" w:cs="Times New Roman"/>
          <w:i/>
          <w:sz w:val="24"/>
          <w:szCs w:val="24"/>
        </w:rPr>
        <w:t>A</w:t>
      </w:r>
      <w:r w:rsidRPr="00723AA9">
        <w:rPr>
          <w:rFonts w:ascii="Times New Roman" w:hAnsi="Times New Roman" w:cs="Times New Roman"/>
          <w:i/>
          <w:sz w:val="24"/>
          <w:szCs w:val="24"/>
        </w:rPr>
        <w:t>vances sobre el distrito de Fray Luis Beltrán, Maipú.</w:t>
      </w:r>
    </w:p>
    <w:p w14:paraId="38E5C26F" w14:textId="4C9AAB95" w:rsidR="00433A66" w:rsidRDefault="00867AC5"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La dinámica de la horticultura en el departamento de Maipú ya se advertía en </w:t>
      </w:r>
      <w:r w:rsidR="00CF3920">
        <w:rPr>
          <w:rFonts w:ascii="Times New Roman" w:hAnsi="Times New Roman" w:cs="Times New Roman"/>
          <w:sz w:val="24"/>
          <w:szCs w:val="24"/>
        </w:rPr>
        <w:t xml:space="preserve">el año </w:t>
      </w:r>
      <w:r w:rsidRPr="00723AA9">
        <w:rPr>
          <w:rFonts w:ascii="Times New Roman" w:hAnsi="Times New Roman" w:cs="Times New Roman"/>
          <w:sz w:val="24"/>
          <w:szCs w:val="24"/>
        </w:rPr>
        <w:t>1982 con una clara presencia sobre “</w:t>
      </w:r>
      <w:r w:rsidRPr="00723AA9">
        <w:rPr>
          <w:rFonts w:ascii="Times New Roman" w:hAnsi="Times New Roman" w:cs="Times New Roman"/>
          <w:i/>
          <w:sz w:val="24"/>
          <w:szCs w:val="24"/>
        </w:rPr>
        <w:t>las tierras negras</w:t>
      </w:r>
      <w:r w:rsidR="00CF3920">
        <w:rPr>
          <w:rStyle w:val="Refdenotaalpie"/>
          <w:rFonts w:ascii="Times New Roman" w:hAnsi="Times New Roman" w:cs="Times New Roman"/>
          <w:i/>
          <w:sz w:val="24"/>
          <w:szCs w:val="24"/>
        </w:rPr>
        <w:footnoteReference w:id="4"/>
      </w:r>
      <w:r w:rsidRPr="00723AA9">
        <w:rPr>
          <w:rFonts w:ascii="Times New Roman" w:hAnsi="Times New Roman" w:cs="Times New Roman"/>
          <w:i/>
          <w:sz w:val="24"/>
          <w:szCs w:val="24"/>
        </w:rPr>
        <w:t xml:space="preserve"> y aptas del norte, pero también como actividad intermedia entre viñedo y abandono de las parcelas rurales</w:t>
      </w:r>
      <w:r w:rsidR="00433A66">
        <w:rPr>
          <w:rFonts w:ascii="Times New Roman" w:hAnsi="Times New Roman" w:cs="Times New Roman"/>
          <w:i/>
          <w:sz w:val="24"/>
          <w:szCs w:val="24"/>
        </w:rPr>
        <w:t>”</w:t>
      </w:r>
      <w:r w:rsidRPr="00723AA9">
        <w:rPr>
          <w:rFonts w:ascii="Times New Roman" w:hAnsi="Times New Roman" w:cs="Times New Roman"/>
          <w:i/>
          <w:sz w:val="24"/>
          <w:szCs w:val="24"/>
        </w:rPr>
        <w:t xml:space="preserve"> </w:t>
      </w:r>
      <w:r w:rsidRPr="00723AA9">
        <w:rPr>
          <w:rFonts w:ascii="Times New Roman" w:hAnsi="Times New Roman" w:cs="Times New Roman"/>
          <w:sz w:val="24"/>
          <w:szCs w:val="24"/>
        </w:rPr>
        <w:t>(</w:t>
      </w:r>
      <w:proofErr w:type="spellStart"/>
      <w:r w:rsidRPr="00723AA9">
        <w:rPr>
          <w:rFonts w:ascii="Times New Roman" w:hAnsi="Times New Roman" w:cs="Times New Roman"/>
          <w:sz w:val="24"/>
          <w:szCs w:val="24"/>
        </w:rPr>
        <w:t>Alvarez</w:t>
      </w:r>
      <w:proofErr w:type="spellEnd"/>
      <w:r w:rsidRPr="00723AA9">
        <w:rPr>
          <w:rFonts w:ascii="Times New Roman" w:hAnsi="Times New Roman" w:cs="Times New Roman"/>
          <w:sz w:val="24"/>
          <w:szCs w:val="24"/>
        </w:rPr>
        <w:t>, 1982:</w:t>
      </w:r>
      <w:r w:rsidR="00433A66">
        <w:rPr>
          <w:rFonts w:ascii="Times New Roman" w:hAnsi="Times New Roman" w:cs="Times New Roman"/>
          <w:sz w:val="24"/>
          <w:szCs w:val="24"/>
        </w:rPr>
        <w:t xml:space="preserve"> </w:t>
      </w:r>
      <w:r w:rsidRPr="00723AA9">
        <w:rPr>
          <w:rFonts w:ascii="Times New Roman" w:hAnsi="Times New Roman" w:cs="Times New Roman"/>
          <w:sz w:val="24"/>
          <w:szCs w:val="24"/>
        </w:rPr>
        <w:t xml:space="preserve">243) sobre todo por el valor del suelo y el retroceso de las viñas. Lo paradójico es que ya a estas alturas se anunciaba el paso del viñedo hacia los cultivos anuales y una influencia de los distritos de Corralitos y La </w:t>
      </w:r>
      <w:r w:rsidR="00433A66">
        <w:rPr>
          <w:rFonts w:ascii="Times New Roman" w:hAnsi="Times New Roman" w:cs="Times New Roman"/>
          <w:sz w:val="24"/>
          <w:szCs w:val="24"/>
        </w:rPr>
        <w:t>P</w:t>
      </w:r>
      <w:r w:rsidRPr="00723AA9">
        <w:rPr>
          <w:rFonts w:ascii="Times New Roman" w:hAnsi="Times New Roman" w:cs="Times New Roman"/>
          <w:sz w:val="24"/>
          <w:szCs w:val="24"/>
        </w:rPr>
        <w:t>rimavera (Guaymallén), con vocación definida hacia la horticultura de mercado, considerando a la zona norte del departamento como un “</w:t>
      </w:r>
      <w:r w:rsidRPr="00723AA9">
        <w:rPr>
          <w:rFonts w:ascii="Times New Roman" w:hAnsi="Times New Roman" w:cs="Times New Roman"/>
          <w:i/>
          <w:sz w:val="24"/>
          <w:szCs w:val="24"/>
        </w:rPr>
        <w:t xml:space="preserve">área dinámica de extensión hortícola creciente que </w:t>
      </w:r>
      <w:r w:rsidRPr="00723AA9">
        <w:rPr>
          <w:rFonts w:ascii="Times New Roman" w:hAnsi="Times New Roman" w:cs="Times New Roman"/>
          <w:b/>
          <w:i/>
          <w:sz w:val="24"/>
          <w:szCs w:val="24"/>
        </w:rPr>
        <w:t>desborda</w:t>
      </w:r>
      <w:r w:rsidRPr="00723AA9">
        <w:rPr>
          <w:rFonts w:ascii="Times New Roman" w:hAnsi="Times New Roman" w:cs="Times New Roman"/>
          <w:i/>
          <w:sz w:val="24"/>
          <w:szCs w:val="24"/>
        </w:rPr>
        <w:t xml:space="preserve"> desde el departamento de Guaymallén</w:t>
      </w:r>
      <w:r w:rsidRPr="00723AA9">
        <w:rPr>
          <w:rFonts w:ascii="Times New Roman" w:hAnsi="Times New Roman" w:cs="Times New Roman"/>
          <w:sz w:val="24"/>
          <w:szCs w:val="24"/>
        </w:rPr>
        <w:t>” (Alvarez,1988) [negrita propia].</w:t>
      </w:r>
      <w:r w:rsidR="00433A66">
        <w:rPr>
          <w:rFonts w:ascii="Times New Roman" w:hAnsi="Times New Roman" w:cs="Times New Roman"/>
          <w:sz w:val="24"/>
          <w:szCs w:val="24"/>
        </w:rPr>
        <w:t xml:space="preserve"> Del mismo modo, </w:t>
      </w:r>
      <w:r w:rsidRPr="00723AA9">
        <w:rPr>
          <w:rFonts w:ascii="Times New Roman" w:hAnsi="Times New Roman" w:cs="Times New Roman"/>
          <w:sz w:val="24"/>
          <w:szCs w:val="24"/>
        </w:rPr>
        <w:t>Van den Bosch (2018) ya indicaba que las explotaciones que en el 2002 eran hortícolas se retrajeron, pero estas asimismo crecieron en superficie más del doble. Lo cual, aduce como “</w:t>
      </w:r>
      <w:r w:rsidRPr="00433A66">
        <w:rPr>
          <w:rFonts w:ascii="Times New Roman" w:hAnsi="Times New Roman" w:cs="Times New Roman"/>
          <w:i/>
          <w:iCs/>
          <w:sz w:val="24"/>
          <w:szCs w:val="24"/>
        </w:rPr>
        <w:t xml:space="preserve">consecuencia del </w:t>
      </w:r>
      <w:r w:rsidRPr="00433A66">
        <w:rPr>
          <w:rFonts w:ascii="Times New Roman" w:hAnsi="Times New Roman" w:cs="Times New Roman"/>
          <w:b/>
          <w:i/>
          <w:iCs/>
          <w:sz w:val="24"/>
          <w:szCs w:val="24"/>
        </w:rPr>
        <w:t>desplazamiento</w:t>
      </w:r>
      <w:r w:rsidRPr="00433A66">
        <w:rPr>
          <w:rFonts w:ascii="Times New Roman" w:hAnsi="Times New Roman" w:cs="Times New Roman"/>
          <w:i/>
          <w:iCs/>
          <w:sz w:val="24"/>
          <w:szCs w:val="24"/>
        </w:rPr>
        <w:t xml:space="preserve"> de establecimientos tradiciones del CV (Guaymallén principalmente) de alto valor inmobiliario y </w:t>
      </w:r>
      <w:r w:rsidRPr="00433A66">
        <w:rPr>
          <w:rFonts w:ascii="Times New Roman" w:hAnsi="Times New Roman" w:cs="Times New Roman"/>
          <w:b/>
          <w:i/>
          <w:iCs/>
          <w:sz w:val="24"/>
          <w:szCs w:val="24"/>
        </w:rPr>
        <w:t>acotadas espacialmente</w:t>
      </w:r>
      <w:r w:rsidRPr="00723AA9">
        <w:rPr>
          <w:rFonts w:ascii="Times New Roman" w:hAnsi="Times New Roman" w:cs="Times New Roman"/>
          <w:sz w:val="24"/>
          <w:szCs w:val="24"/>
        </w:rPr>
        <w:t>”</w:t>
      </w:r>
      <w:r w:rsidR="00433A66">
        <w:rPr>
          <w:rFonts w:ascii="Times New Roman" w:hAnsi="Times New Roman" w:cs="Times New Roman"/>
          <w:sz w:val="24"/>
          <w:szCs w:val="24"/>
        </w:rPr>
        <w:t xml:space="preserve"> [negrita propia]</w:t>
      </w:r>
      <w:r w:rsidRPr="00723AA9">
        <w:rPr>
          <w:rFonts w:ascii="Times New Roman" w:hAnsi="Times New Roman" w:cs="Times New Roman"/>
          <w:sz w:val="24"/>
          <w:szCs w:val="24"/>
        </w:rPr>
        <w:t xml:space="preserve">. </w:t>
      </w:r>
    </w:p>
    <w:p w14:paraId="66BA97DB" w14:textId="77777777" w:rsidR="00E7212F" w:rsidRPr="00723AA9" w:rsidRDefault="00E7212F"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Van den Bosch (2018) analiza la dinámica intercensal de los sistemas productivos del distrito (2002-2008) y logra arrojar algunos datos interesantes: </w:t>
      </w:r>
    </w:p>
    <w:p w14:paraId="1F60AC8A" w14:textId="77777777" w:rsidR="00E7212F" w:rsidRPr="00723AA9" w:rsidRDefault="00E7212F" w:rsidP="00723AA9">
      <w:pPr>
        <w:pStyle w:val="Prrafodelista"/>
        <w:numPr>
          <w:ilvl w:val="0"/>
          <w:numId w:val="5"/>
        </w:numPr>
        <w:spacing w:before="120" w:after="120" w:line="360" w:lineRule="auto"/>
        <w:ind w:left="1276" w:hanging="567"/>
        <w:jc w:val="both"/>
        <w:rPr>
          <w:rFonts w:ascii="Times New Roman" w:hAnsi="Times New Roman" w:cs="Times New Roman"/>
          <w:sz w:val="24"/>
          <w:szCs w:val="24"/>
        </w:rPr>
      </w:pPr>
      <w:r w:rsidRPr="00723AA9">
        <w:rPr>
          <w:rFonts w:ascii="Times New Roman" w:hAnsi="Times New Roman" w:cs="Times New Roman"/>
          <w:i/>
          <w:sz w:val="24"/>
          <w:szCs w:val="24"/>
        </w:rPr>
        <w:t>Rasgos concentradores en la dinámica de expansión de superficies en distritos alejados</w:t>
      </w:r>
      <w:r w:rsidRPr="00723AA9">
        <w:rPr>
          <w:rFonts w:ascii="Times New Roman" w:hAnsi="Times New Roman" w:cs="Times New Roman"/>
          <w:sz w:val="24"/>
          <w:szCs w:val="24"/>
        </w:rPr>
        <w:t xml:space="preserve">: si bien el proceso se evidencia en departamentos como el de Lavalle, en el caso de Maipú, es Fray Luis Beltrán el cual registra en particular un proceso de concentración como resultado de la perdida de pequeñas unidades y expansión de las mayores. </w:t>
      </w:r>
    </w:p>
    <w:p w14:paraId="5AC7E6E6" w14:textId="77777777" w:rsidR="00E7212F" w:rsidRPr="00723AA9" w:rsidRDefault="00E7212F" w:rsidP="00723AA9">
      <w:pPr>
        <w:pStyle w:val="Prrafodelista"/>
        <w:numPr>
          <w:ilvl w:val="0"/>
          <w:numId w:val="5"/>
        </w:numPr>
        <w:spacing w:before="120" w:after="120" w:line="360" w:lineRule="auto"/>
        <w:ind w:left="1276" w:hanging="567"/>
        <w:jc w:val="both"/>
        <w:rPr>
          <w:rFonts w:ascii="Times New Roman" w:hAnsi="Times New Roman" w:cs="Times New Roman"/>
          <w:sz w:val="24"/>
          <w:szCs w:val="24"/>
        </w:rPr>
      </w:pPr>
      <w:r w:rsidRPr="00723AA9">
        <w:rPr>
          <w:rFonts w:ascii="Times New Roman" w:hAnsi="Times New Roman" w:cs="Times New Roman"/>
          <w:i/>
          <w:sz w:val="24"/>
          <w:szCs w:val="24"/>
        </w:rPr>
        <w:t>Diversificación hortícola:</w:t>
      </w:r>
      <w:r w:rsidRPr="00723AA9">
        <w:rPr>
          <w:rFonts w:ascii="Times New Roman" w:hAnsi="Times New Roman" w:cs="Times New Roman"/>
          <w:sz w:val="24"/>
          <w:szCs w:val="24"/>
        </w:rPr>
        <w:t xml:space="preserve"> la autora advierte que aquellos establecimientos hortícola-vitícolas, se fueron transformando en hortícolas diversificados principalmente por retracción de los viñedos y el aumento de fincas mixtas. </w:t>
      </w:r>
    </w:p>
    <w:p w14:paraId="41F1EB4F" w14:textId="2FDC7181" w:rsidR="00E7212F" w:rsidRPr="00723AA9" w:rsidRDefault="00E7212F" w:rsidP="00723AA9">
      <w:pPr>
        <w:pStyle w:val="Prrafodelista"/>
        <w:numPr>
          <w:ilvl w:val="0"/>
          <w:numId w:val="5"/>
        </w:numPr>
        <w:spacing w:before="120" w:after="120" w:line="360" w:lineRule="auto"/>
        <w:ind w:left="1276" w:hanging="567"/>
        <w:jc w:val="both"/>
        <w:rPr>
          <w:rFonts w:ascii="Times New Roman" w:hAnsi="Times New Roman" w:cs="Times New Roman"/>
          <w:sz w:val="24"/>
          <w:szCs w:val="24"/>
        </w:rPr>
      </w:pPr>
      <w:r w:rsidRPr="00723AA9">
        <w:rPr>
          <w:rFonts w:ascii="Times New Roman" w:hAnsi="Times New Roman" w:cs="Times New Roman"/>
          <w:i/>
          <w:sz w:val="24"/>
          <w:szCs w:val="24"/>
        </w:rPr>
        <w:t>Avance de los establecimientos hortícolas (y mixtos hortícolas</w:t>
      </w:r>
      <w:r w:rsidRPr="00723AA9">
        <w:rPr>
          <w:rFonts w:ascii="Times New Roman" w:hAnsi="Times New Roman" w:cs="Times New Roman"/>
          <w:sz w:val="24"/>
          <w:szCs w:val="24"/>
        </w:rPr>
        <w:t>): así, asocia este proceso a la retracción de los establecimientos vitícolas, y por ello, se encuentran compensadas las pérdidas de estos últimos. Sin embargo, est</w:t>
      </w:r>
      <w:r w:rsidR="007D4B3D">
        <w:rPr>
          <w:rFonts w:ascii="Times New Roman" w:hAnsi="Times New Roman" w:cs="Times New Roman"/>
          <w:sz w:val="24"/>
          <w:szCs w:val="24"/>
        </w:rPr>
        <w:t>a</w:t>
      </w:r>
      <w:r w:rsidRPr="00723AA9">
        <w:rPr>
          <w:rFonts w:ascii="Times New Roman" w:hAnsi="Times New Roman" w:cs="Times New Roman"/>
          <w:sz w:val="24"/>
          <w:szCs w:val="24"/>
        </w:rPr>
        <w:t xml:space="preserve">s </w:t>
      </w:r>
      <w:proofErr w:type="spellStart"/>
      <w:r w:rsidR="007D4B3D">
        <w:rPr>
          <w:rFonts w:ascii="Times New Roman" w:hAnsi="Times New Roman" w:cs="Times New Roman"/>
          <w:sz w:val="24"/>
          <w:szCs w:val="24"/>
        </w:rPr>
        <w:t>EAPs</w:t>
      </w:r>
      <w:proofErr w:type="spellEnd"/>
      <w:r w:rsidRPr="00723AA9">
        <w:rPr>
          <w:rFonts w:ascii="Times New Roman" w:hAnsi="Times New Roman" w:cs="Times New Roman"/>
          <w:sz w:val="24"/>
          <w:szCs w:val="24"/>
        </w:rPr>
        <w:t xml:space="preserve"> hortícolas presentan ciertas características de concentración</w:t>
      </w:r>
      <w:r w:rsidR="007D4B3D">
        <w:rPr>
          <w:rFonts w:ascii="Times New Roman" w:hAnsi="Times New Roman" w:cs="Times New Roman"/>
          <w:sz w:val="24"/>
          <w:szCs w:val="24"/>
        </w:rPr>
        <w:t>.</w:t>
      </w:r>
    </w:p>
    <w:p w14:paraId="78DD02CC" w14:textId="09231D9F" w:rsidR="00E7212F" w:rsidRPr="00723AA9" w:rsidRDefault="00E7212F" w:rsidP="00723AA9">
      <w:pPr>
        <w:pStyle w:val="Prrafodelista"/>
        <w:numPr>
          <w:ilvl w:val="0"/>
          <w:numId w:val="5"/>
        </w:numPr>
        <w:spacing w:before="120" w:after="120" w:line="360" w:lineRule="auto"/>
        <w:ind w:left="1276" w:hanging="567"/>
        <w:jc w:val="both"/>
        <w:rPr>
          <w:rFonts w:ascii="Times New Roman" w:hAnsi="Times New Roman" w:cs="Times New Roman"/>
          <w:sz w:val="24"/>
          <w:szCs w:val="24"/>
        </w:rPr>
      </w:pPr>
      <w:r w:rsidRPr="00723AA9">
        <w:rPr>
          <w:rFonts w:ascii="Times New Roman" w:hAnsi="Times New Roman" w:cs="Times New Roman"/>
          <w:i/>
          <w:sz w:val="24"/>
          <w:szCs w:val="24"/>
        </w:rPr>
        <w:lastRenderedPageBreak/>
        <w:t>Aumento de explotaciones medianas y medianas a grandes</w:t>
      </w:r>
      <w:r w:rsidRPr="00723AA9">
        <w:rPr>
          <w:rFonts w:ascii="Times New Roman" w:hAnsi="Times New Roman" w:cs="Times New Roman"/>
          <w:sz w:val="24"/>
          <w:szCs w:val="24"/>
        </w:rPr>
        <w:t>: si bien las primeras son explicadas por procesos expansivos, respecto a las segundas advierte un aumento del 13%. Pero el dato importante es que el distrito alberga la mayor presencia de aquell</w:t>
      </w:r>
      <w:r w:rsidR="007D4B3D">
        <w:rPr>
          <w:rFonts w:ascii="Times New Roman" w:hAnsi="Times New Roman" w:cs="Times New Roman"/>
          <w:sz w:val="24"/>
          <w:szCs w:val="24"/>
        </w:rPr>
        <w:t>a</w:t>
      </w:r>
      <w:r w:rsidRPr="00723AA9">
        <w:rPr>
          <w:rFonts w:ascii="Times New Roman" w:hAnsi="Times New Roman" w:cs="Times New Roman"/>
          <w:sz w:val="24"/>
          <w:szCs w:val="24"/>
        </w:rPr>
        <w:t xml:space="preserve">s </w:t>
      </w:r>
      <w:r w:rsidR="007D4B3D">
        <w:rPr>
          <w:rFonts w:ascii="Times New Roman" w:hAnsi="Times New Roman" w:cs="Times New Roman"/>
          <w:sz w:val="24"/>
          <w:szCs w:val="24"/>
        </w:rPr>
        <w:t>EAPs</w:t>
      </w:r>
      <w:r w:rsidRPr="00723AA9">
        <w:rPr>
          <w:rFonts w:ascii="Times New Roman" w:hAnsi="Times New Roman" w:cs="Times New Roman"/>
          <w:sz w:val="24"/>
          <w:szCs w:val="24"/>
        </w:rPr>
        <w:t xml:space="preserve"> de más de 50 ha a </w:t>
      </w:r>
      <w:r w:rsidR="007D4B3D">
        <w:rPr>
          <w:rFonts w:ascii="Times New Roman" w:hAnsi="Times New Roman" w:cs="Times New Roman"/>
          <w:sz w:val="24"/>
          <w:szCs w:val="24"/>
        </w:rPr>
        <w:t>M</w:t>
      </w:r>
      <w:r w:rsidRPr="00723AA9">
        <w:rPr>
          <w:rFonts w:ascii="Times New Roman" w:hAnsi="Times New Roman" w:cs="Times New Roman"/>
          <w:sz w:val="24"/>
          <w:szCs w:val="24"/>
        </w:rPr>
        <w:t>uy Grandes (</w:t>
      </w:r>
      <w:r w:rsidR="004C6587" w:rsidRPr="00723AA9">
        <w:rPr>
          <w:rFonts w:ascii="Times New Roman" w:hAnsi="Times New Roman" w:cs="Times New Roman"/>
          <w:sz w:val="24"/>
          <w:szCs w:val="24"/>
        </w:rPr>
        <w:t>más</w:t>
      </w:r>
      <w:r w:rsidRPr="00723AA9">
        <w:rPr>
          <w:rFonts w:ascii="Times New Roman" w:hAnsi="Times New Roman" w:cs="Times New Roman"/>
          <w:sz w:val="24"/>
          <w:szCs w:val="24"/>
        </w:rPr>
        <w:t xml:space="preserve"> de 100 ha). </w:t>
      </w:r>
    </w:p>
    <w:p w14:paraId="51C148CA" w14:textId="65356318" w:rsidR="00E7212F" w:rsidRPr="00723AA9" w:rsidRDefault="00E7212F" w:rsidP="00723AA9">
      <w:pPr>
        <w:pStyle w:val="Prrafodelista"/>
        <w:numPr>
          <w:ilvl w:val="0"/>
          <w:numId w:val="5"/>
        </w:numPr>
        <w:spacing w:before="120" w:after="120" w:line="360" w:lineRule="auto"/>
        <w:ind w:left="1276" w:hanging="567"/>
        <w:jc w:val="both"/>
        <w:rPr>
          <w:rFonts w:ascii="Times New Roman" w:hAnsi="Times New Roman" w:cs="Times New Roman"/>
          <w:sz w:val="24"/>
          <w:szCs w:val="24"/>
        </w:rPr>
      </w:pPr>
      <w:r w:rsidRPr="00723AA9">
        <w:rPr>
          <w:rFonts w:ascii="Times New Roman" w:hAnsi="Times New Roman" w:cs="Times New Roman"/>
          <w:i/>
          <w:sz w:val="24"/>
          <w:szCs w:val="24"/>
        </w:rPr>
        <w:t>Crecimiento del tipo social agrario empresarial con trabajadores permanentes.</w:t>
      </w:r>
      <w:r w:rsidRPr="00723AA9">
        <w:rPr>
          <w:rFonts w:ascii="Times New Roman" w:hAnsi="Times New Roman" w:cs="Times New Roman"/>
          <w:sz w:val="24"/>
          <w:szCs w:val="24"/>
        </w:rPr>
        <w:t xml:space="preserve"> En cuanto a este aspecto, se advierte la persistencia de fincas operadas por organización familiar con una persistencia del 80% a lo largo del periodo, mientras que las formas empresariales lo hacen en un 74%, con una fuerte caída (persistencia del 25%) de aquellas con regímenes de contratista.</w:t>
      </w:r>
    </w:p>
    <w:p w14:paraId="3095C41F" w14:textId="77777777" w:rsidR="00433A66" w:rsidRDefault="00433A66" w:rsidP="00433A66">
      <w:pPr>
        <w:spacing w:before="120" w:after="120" w:line="360" w:lineRule="auto"/>
        <w:ind w:firstLine="708"/>
        <w:jc w:val="both"/>
        <w:rPr>
          <w:rFonts w:ascii="Times New Roman" w:hAnsi="Times New Roman" w:cs="Times New Roman"/>
          <w:sz w:val="24"/>
          <w:szCs w:val="24"/>
        </w:rPr>
      </w:pPr>
      <w:r w:rsidRPr="00433A66">
        <w:rPr>
          <w:rFonts w:ascii="Times New Roman" w:hAnsi="Times New Roman" w:cs="Times New Roman"/>
          <w:sz w:val="24"/>
          <w:szCs w:val="24"/>
        </w:rPr>
        <w:t xml:space="preserve">Estos datos, brindan indicios no sólo sobre que la concentración de tierras no se da </w:t>
      </w:r>
      <w:r w:rsidRPr="00433A66">
        <w:rPr>
          <w:rFonts w:ascii="Times New Roman" w:hAnsi="Times New Roman" w:cs="Times New Roman"/>
          <w:sz w:val="24"/>
          <w:szCs w:val="24"/>
        </w:rPr>
        <w:t>por la anexión de pequeñas exploraciones sino por expansión a otros territorios</w:t>
      </w:r>
      <w:r w:rsidRPr="00433A66">
        <w:rPr>
          <w:rFonts w:ascii="Times New Roman" w:hAnsi="Times New Roman" w:cs="Times New Roman"/>
          <w:sz w:val="24"/>
          <w:szCs w:val="24"/>
        </w:rPr>
        <w:t xml:space="preserve"> y Fray Luis Beltrán es un territorio cuya escala de explotaciones lo convierte en receptor de dicha expansión</w:t>
      </w:r>
      <w:r w:rsidRPr="00433A66">
        <w:rPr>
          <w:rFonts w:ascii="Times New Roman" w:hAnsi="Times New Roman" w:cs="Times New Roman"/>
          <w:sz w:val="24"/>
          <w:szCs w:val="24"/>
        </w:rPr>
        <w:t xml:space="preserve">. </w:t>
      </w:r>
      <w:r>
        <w:rPr>
          <w:rFonts w:ascii="Times New Roman" w:hAnsi="Times New Roman" w:cs="Times New Roman"/>
          <w:sz w:val="24"/>
          <w:szCs w:val="24"/>
        </w:rPr>
        <w:t>Si</w:t>
      </w:r>
      <w:r w:rsidR="002A1744" w:rsidRPr="00723AA9">
        <w:rPr>
          <w:rFonts w:ascii="Times New Roman" w:hAnsi="Times New Roman" w:cs="Times New Roman"/>
          <w:sz w:val="24"/>
          <w:szCs w:val="24"/>
        </w:rPr>
        <w:t xml:space="preserve"> bien </w:t>
      </w:r>
      <w:r>
        <w:rPr>
          <w:rFonts w:ascii="Times New Roman" w:hAnsi="Times New Roman" w:cs="Times New Roman"/>
          <w:sz w:val="24"/>
          <w:szCs w:val="24"/>
        </w:rPr>
        <w:t>los datos disponibles indican esta situación, nuestro interés radica en encontrar</w:t>
      </w:r>
      <w:r w:rsidR="002A1744" w:rsidRPr="00723AA9">
        <w:rPr>
          <w:rFonts w:ascii="Times New Roman" w:hAnsi="Times New Roman" w:cs="Times New Roman"/>
          <w:sz w:val="24"/>
          <w:szCs w:val="24"/>
        </w:rPr>
        <w:t xml:space="preserve"> </w:t>
      </w:r>
      <w:r w:rsidR="002A1744" w:rsidRPr="00433A66">
        <w:rPr>
          <w:rFonts w:ascii="Times New Roman" w:hAnsi="Times New Roman" w:cs="Times New Roman"/>
          <w:i/>
          <w:iCs/>
          <w:sz w:val="24"/>
          <w:szCs w:val="24"/>
        </w:rPr>
        <w:t>procesos de relocalización.</w:t>
      </w:r>
      <w:r w:rsidR="002A1744" w:rsidRPr="00723AA9">
        <w:rPr>
          <w:rFonts w:ascii="Times New Roman" w:hAnsi="Times New Roman" w:cs="Times New Roman"/>
          <w:sz w:val="24"/>
          <w:szCs w:val="24"/>
        </w:rPr>
        <w:t xml:space="preserve"> </w:t>
      </w:r>
    </w:p>
    <w:p w14:paraId="106BCE89" w14:textId="4DB1A009" w:rsidR="002A1744" w:rsidRPr="00723AA9" w:rsidRDefault="00433A66" w:rsidP="00433A66">
      <w:pPr>
        <w:spacing w:before="120" w:after="120" w:line="360" w:lineRule="auto"/>
        <w:ind w:firstLine="708"/>
        <w:jc w:val="both"/>
        <w:rPr>
          <w:rFonts w:ascii="Times New Roman" w:eastAsia="Times New Roman" w:hAnsi="Times New Roman" w:cs="Times New Roman"/>
          <w:sz w:val="24"/>
          <w:szCs w:val="24"/>
          <w:lang w:eastAsia="es-ES"/>
        </w:rPr>
      </w:pPr>
      <w:r>
        <w:rPr>
          <w:rFonts w:ascii="Times New Roman" w:hAnsi="Times New Roman" w:cs="Times New Roman"/>
          <w:sz w:val="24"/>
          <w:szCs w:val="24"/>
        </w:rPr>
        <w:t>En este sentido</w:t>
      </w:r>
      <w:r w:rsidR="002A1744" w:rsidRPr="00723AA9">
        <w:rPr>
          <w:rFonts w:ascii="Times New Roman" w:hAnsi="Times New Roman" w:cs="Times New Roman"/>
          <w:sz w:val="24"/>
          <w:szCs w:val="24"/>
        </w:rPr>
        <w:t>, es importante indicar dónde se encuentran localizados estos cambio</w:t>
      </w:r>
      <w:r w:rsidR="00413D8E" w:rsidRPr="00723AA9">
        <w:rPr>
          <w:rFonts w:ascii="Times New Roman" w:hAnsi="Times New Roman" w:cs="Times New Roman"/>
          <w:sz w:val="24"/>
          <w:szCs w:val="24"/>
        </w:rPr>
        <w:t>s</w:t>
      </w:r>
      <w:r w:rsidR="002A1744" w:rsidRPr="00723AA9">
        <w:rPr>
          <w:rFonts w:ascii="Times New Roman" w:hAnsi="Times New Roman" w:cs="Times New Roman"/>
          <w:sz w:val="24"/>
          <w:szCs w:val="24"/>
        </w:rPr>
        <w:t xml:space="preserve"> y</w:t>
      </w:r>
      <w:r w:rsidR="0036101D" w:rsidRPr="00723AA9">
        <w:rPr>
          <w:rFonts w:ascii="Times New Roman" w:hAnsi="Times New Roman" w:cs="Times New Roman"/>
          <w:sz w:val="24"/>
          <w:szCs w:val="24"/>
        </w:rPr>
        <w:t>,</w:t>
      </w:r>
      <w:r w:rsidR="002A1744" w:rsidRPr="00723AA9">
        <w:rPr>
          <w:rFonts w:ascii="Times New Roman" w:hAnsi="Times New Roman" w:cs="Times New Roman"/>
          <w:sz w:val="24"/>
          <w:szCs w:val="24"/>
        </w:rPr>
        <w:t xml:space="preserve"> sobre todo,</w:t>
      </w:r>
      <w:r w:rsidR="002A1744" w:rsidRPr="00723AA9">
        <w:rPr>
          <w:rFonts w:ascii="Times New Roman" w:hAnsi="Times New Roman" w:cs="Times New Roman"/>
          <w:i/>
          <w:sz w:val="24"/>
          <w:szCs w:val="24"/>
        </w:rPr>
        <w:t xml:space="preserve"> quiénes los motorizan</w:t>
      </w:r>
      <w:r w:rsidR="002A1744" w:rsidRPr="00723AA9">
        <w:rPr>
          <w:rFonts w:ascii="Times New Roman" w:hAnsi="Times New Roman" w:cs="Times New Roman"/>
          <w:sz w:val="24"/>
          <w:szCs w:val="24"/>
        </w:rPr>
        <w:t xml:space="preserve">. Para ello, se avanzó sobre el análisis de uso del suelo procurando </w:t>
      </w:r>
      <w:r>
        <w:rPr>
          <w:rFonts w:ascii="Times New Roman" w:hAnsi="Times New Roman" w:cs="Times New Roman"/>
          <w:sz w:val="24"/>
          <w:szCs w:val="24"/>
        </w:rPr>
        <w:t>localizar geográficamente</w:t>
      </w:r>
      <w:r w:rsidR="002A1744" w:rsidRPr="00723AA9">
        <w:rPr>
          <w:rFonts w:ascii="Times New Roman" w:hAnsi="Times New Roman" w:cs="Times New Roman"/>
          <w:sz w:val="24"/>
          <w:szCs w:val="24"/>
        </w:rPr>
        <w:t xml:space="preserve"> los cambios. </w:t>
      </w:r>
      <w:r w:rsidR="002A1744" w:rsidRPr="00723AA9">
        <w:rPr>
          <w:rFonts w:ascii="Times New Roman" w:eastAsia="Times New Roman" w:hAnsi="Times New Roman" w:cs="Times New Roman"/>
          <w:sz w:val="24"/>
          <w:szCs w:val="24"/>
          <w:lang w:eastAsia="es-ES"/>
        </w:rPr>
        <w:t xml:space="preserve">El análisis de las imágenes satelitales luego fue corroborado con referentes el Departamento Agropecuario del municipio de Maipú, los cuales permitieron validar el análisis, actualizar la información al año 2019 y, por otra parte, contribuyeron a identificar a los informantes clave para la recolección de la información primaria. </w:t>
      </w:r>
    </w:p>
    <w:p w14:paraId="12DF2867" w14:textId="161DEAEB" w:rsidR="002A1744" w:rsidRPr="00723AA9" w:rsidRDefault="002A1744" w:rsidP="00723AA9">
      <w:pPr>
        <w:spacing w:before="120" w:after="120" w:line="360" w:lineRule="auto"/>
        <w:ind w:firstLine="709"/>
        <w:contextualSpacing/>
        <w:jc w:val="both"/>
        <w:outlineLvl w:val="1"/>
        <w:rPr>
          <w:rFonts w:ascii="Times New Roman" w:eastAsia="Times New Roman" w:hAnsi="Times New Roman" w:cs="Times New Roman"/>
          <w:sz w:val="24"/>
          <w:szCs w:val="24"/>
          <w:lang w:eastAsia="es-ES"/>
        </w:rPr>
      </w:pPr>
      <w:r w:rsidRPr="00723AA9">
        <w:rPr>
          <w:rFonts w:ascii="Times New Roman" w:eastAsia="Times New Roman" w:hAnsi="Times New Roman" w:cs="Times New Roman"/>
          <w:sz w:val="24"/>
          <w:szCs w:val="24"/>
          <w:lang w:eastAsia="es-ES"/>
        </w:rPr>
        <w:t xml:space="preserve">Esta instancia, permitió hacer avances en la caracterización de la dinámica actual del distrito, permitiendo definir con mayor precisión el polígono de transformación, en el área definida entre calle Las Piedritas hacia el norte y desde Las Margaritas hacia el este, puesto que se encuentran las fincas “nuevas” definidas de este modo por los informantes como desmontadas para la implantación de chacras. </w:t>
      </w:r>
    </w:p>
    <w:p w14:paraId="161DA79A" w14:textId="2FC5A9D1" w:rsidR="002A1744" w:rsidRPr="00723AA9" w:rsidRDefault="00553CB5" w:rsidP="00723AA9">
      <w:pPr>
        <w:pStyle w:val="Descripcin"/>
        <w:keepNext/>
        <w:spacing w:before="120" w:after="120" w:line="360" w:lineRule="auto"/>
        <w:ind w:firstLine="709"/>
        <w:contextualSpacing/>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Mapa</w:t>
      </w:r>
      <w:r w:rsidR="007D4B3D">
        <w:rPr>
          <w:rFonts w:ascii="Times New Roman" w:hAnsi="Times New Roman" w:cs="Times New Roman"/>
          <w:b/>
          <w:bCs/>
          <w:i w:val="0"/>
          <w:iCs w:val="0"/>
          <w:color w:val="auto"/>
          <w:sz w:val="24"/>
          <w:szCs w:val="24"/>
        </w:rPr>
        <w:t xml:space="preserve"> 2: </w:t>
      </w:r>
      <w:r w:rsidR="002A1744" w:rsidRPr="00723AA9">
        <w:rPr>
          <w:rFonts w:ascii="Times New Roman" w:hAnsi="Times New Roman" w:cs="Times New Roman"/>
          <w:b/>
          <w:bCs/>
          <w:i w:val="0"/>
          <w:iCs w:val="0"/>
          <w:color w:val="auto"/>
          <w:sz w:val="24"/>
          <w:szCs w:val="24"/>
        </w:rPr>
        <w:t>Área de transformación validada con referentes clave, norte del distrito de Fray Luis Beltrán, Maipú, Mendoza. Año 2019.</w:t>
      </w:r>
    </w:p>
    <w:p w14:paraId="0AB36A8F" w14:textId="77777777" w:rsidR="002A1744" w:rsidRPr="00723AA9" w:rsidRDefault="002A1744" w:rsidP="00723AA9">
      <w:pPr>
        <w:keepNext/>
        <w:spacing w:before="120" w:after="120" w:line="360" w:lineRule="auto"/>
        <w:ind w:firstLine="709"/>
        <w:contextualSpacing/>
        <w:jc w:val="center"/>
        <w:outlineLvl w:val="1"/>
        <w:rPr>
          <w:rFonts w:ascii="Times New Roman" w:hAnsi="Times New Roman" w:cs="Times New Roman"/>
          <w:sz w:val="24"/>
          <w:szCs w:val="24"/>
        </w:rPr>
      </w:pPr>
      <w:r w:rsidRPr="00723AA9">
        <w:rPr>
          <w:rFonts w:ascii="Times New Roman" w:hAnsi="Times New Roman" w:cs="Times New Roman"/>
          <w:noProof/>
          <w:sz w:val="24"/>
          <w:szCs w:val="24"/>
          <w:lang w:eastAsia="es-AR"/>
        </w:rPr>
        <w:drawing>
          <wp:inline distT="0" distB="0" distL="0" distR="0" wp14:anchorId="7B65D732" wp14:editId="0CFDA1B0">
            <wp:extent cx="5400040" cy="38182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18255"/>
                    </a:xfrm>
                    <a:prstGeom prst="rect">
                      <a:avLst/>
                    </a:prstGeom>
                    <a:noFill/>
                    <a:ln>
                      <a:noFill/>
                    </a:ln>
                  </pic:spPr>
                </pic:pic>
              </a:graphicData>
            </a:graphic>
          </wp:inline>
        </w:drawing>
      </w:r>
    </w:p>
    <w:p w14:paraId="200B987D" w14:textId="77777777" w:rsidR="002A1744" w:rsidRPr="00723AA9" w:rsidRDefault="002A1744" w:rsidP="00723AA9">
      <w:pPr>
        <w:pStyle w:val="Descripcin"/>
        <w:spacing w:before="120" w:after="120" w:line="360" w:lineRule="auto"/>
        <w:ind w:firstLine="709"/>
        <w:contextualSpacing/>
        <w:jc w:val="center"/>
        <w:rPr>
          <w:rFonts w:ascii="Times New Roman" w:eastAsia="Times New Roman" w:hAnsi="Times New Roman" w:cs="Times New Roman"/>
          <w:i w:val="0"/>
          <w:iCs w:val="0"/>
          <w:color w:val="auto"/>
          <w:sz w:val="16"/>
          <w:szCs w:val="16"/>
          <w:lang w:eastAsia="es-ES"/>
        </w:rPr>
      </w:pPr>
      <w:r w:rsidRPr="00723AA9">
        <w:rPr>
          <w:rFonts w:ascii="Times New Roman" w:hAnsi="Times New Roman" w:cs="Times New Roman"/>
          <w:i w:val="0"/>
          <w:iCs w:val="0"/>
          <w:color w:val="auto"/>
          <w:sz w:val="16"/>
          <w:szCs w:val="16"/>
        </w:rPr>
        <w:t xml:space="preserve">Fuente: Elaboración propia en base a Mapa Productivo Año 2012 del IDR. Técnico: Lic. Gustavo </w:t>
      </w:r>
      <w:proofErr w:type="spellStart"/>
      <w:r w:rsidRPr="00723AA9">
        <w:rPr>
          <w:rFonts w:ascii="Times New Roman" w:hAnsi="Times New Roman" w:cs="Times New Roman"/>
          <w:i w:val="0"/>
          <w:iCs w:val="0"/>
          <w:color w:val="auto"/>
          <w:sz w:val="16"/>
          <w:szCs w:val="16"/>
        </w:rPr>
        <w:t>Aloy</w:t>
      </w:r>
      <w:proofErr w:type="spellEnd"/>
      <w:r w:rsidRPr="00723AA9">
        <w:rPr>
          <w:rFonts w:ascii="Times New Roman" w:hAnsi="Times New Roman" w:cs="Times New Roman"/>
          <w:i w:val="0"/>
          <w:iCs w:val="0"/>
          <w:color w:val="auto"/>
          <w:sz w:val="16"/>
          <w:szCs w:val="16"/>
        </w:rPr>
        <w:t>.</w:t>
      </w:r>
    </w:p>
    <w:p w14:paraId="0150243C" w14:textId="77777777" w:rsidR="007D4B3D" w:rsidRDefault="007D4B3D" w:rsidP="00723AA9">
      <w:pPr>
        <w:spacing w:before="120" w:after="120" w:line="360" w:lineRule="auto"/>
        <w:ind w:firstLine="709"/>
        <w:contextualSpacing/>
        <w:rPr>
          <w:rFonts w:ascii="Times New Roman" w:eastAsia="Times New Roman" w:hAnsi="Times New Roman" w:cs="Times New Roman"/>
          <w:sz w:val="24"/>
          <w:szCs w:val="24"/>
          <w:lang w:eastAsia="es-ES"/>
        </w:rPr>
      </w:pPr>
    </w:p>
    <w:p w14:paraId="3DA6B61E" w14:textId="4D498365" w:rsidR="0036101D" w:rsidRPr="00723AA9" w:rsidRDefault="002A1744"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eastAsia="Times New Roman" w:hAnsi="Times New Roman" w:cs="Times New Roman"/>
          <w:sz w:val="24"/>
          <w:szCs w:val="24"/>
          <w:lang w:eastAsia="es-ES"/>
        </w:rPr>
        <w:t xml:space="preserve">Como resultado, se puede indicar que el área de avance de frontera agrícola identificada se estima en aproximadamente 640 ha. </w:t>
      </w:r>
      <w:r w:rsidR="00977867">
        <w:rPr>
          <w:rFonts w:ascii="Times New Roman" w:eastAsia="Times New Roman" w:hAnsi="Times New Roman" w:cs="Times New Roman"/>
          <w:sz w:val="24"/>
          <w:szCs w:val="24"/>
          <w:lang w:eastAsia="es-ES"/>
        </w:rPr>
        <w:t xml:space="preserve">Asimismo, en menor medida, se identificaron cambios de uso del suelo agrícola como aquellos indicados de vid/olivo hacia la horticultura, concibiendo esto como indicador de un cambio de sujetos. </w:t>
      </w:r>
    </w:p>
    <w:p w14:paraId="47F1AE8B" w14:textId="4B13932A" w:rsidR="0036101D" w:rsidRPr="00723AA9" w:rsidRDefault="0036101D"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La localización de estos indicios del avance se complementa con antecedentes sobre el tipo de actor presente en la localidad. Según Bertoldi (1998) en su análisis del perfil de horticultores de la zona ya identificaba la presencia de productores más “</w:t>
      </w:r>
      <w:r w:rsidRPr="00723AA9">
        <w:rPr>
          <w:rFonts w:ascii="Times New Roman" w:hAnsi="Times New Roman" w:cs="Times New Roman"/>
          <w:i/>
          <w:sz w:val="24"/>
          <w:szCs w:val="24"/>
        </w:rPr>
        <w:t>innovadores en proceso de transformación</w:t>
      </w:r>
      <w:r w:rsidRPr="00723AA9">
        <w:rPr>
          <w:rFonts w:ascii="Times New Roman" w:hAnsi="Times New Roman" w:cs="Times New Roman"/>
          <w:sz w:val="24"/>
          <w:szCs w:val="24"/>
        </w:rPr>
        <w:t>”</w:t>
      </w:r>
      <w:r w:rsidRPr="00723AA9">
        <w:rPr>
          <w:rStyle w:val="Refdenotaalpie"/>
          <w:rFonts w:ascii="Times New Roman" w:hAnsi="Times New Roman" w:cs="Times New Roman"/>
          <w:sz w:val="24"/>
          <w:szCs w:val="24"/>
        </w:rPr>
        <w:footnoteReference w:id="5"/>
      </w:r>
      <w:r w:rsidRPr="00723AA9">
        <w:rPr>
          <w:rFonts w:ascii="Times New Roman" w:hAnsi="Times New Roman" w:cs="Times New Roman"/>
          <w:sz w:val="24"/>
          <w:szCs w:val="24"/>
        </w:rPr>
        <w:t xml:space="preserve"> quienes se hallaban concentrados al norte de la ruta Nº 20, al oeste de la calle San Martín de FLB e, incluso ya avizoraba procesos de concentración en este en el tipo de productores.</w:t>
      </w:r>
    </w:p>
    <w:p w14:paraId="43361230" w14:textId="6030B912" w:rsidR="0057667E" w:rsidRDefault="00971E5C" w:rsidP="0057667E">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Ahora bien, las características agroecológicas de la zona no es </w:t>
      </w:r>
      <w:r w:rsidR="007D4B3D" w:rsidRPr="00723AA9">
        <w:rPr>
          <w:rFonts w:ascii="Times New Roman" w:hAnsi="Times New Roman" w:cs="Times New Roman"/>
          <w:sz w:val="24"/>
          <w:szCs w:val="24"/>
        </w:rPr>
        <w:t xml:space="preserve">un dato menor para </w:t>
      </w:r>
      <w:r w:rsidRPr="00723AA9">
        <w:rPr>
          <w:rFonts w:ascii="Times New Roman" w:hAnsi="Times New Roman" w:cs="Times New Roman"/>
          <w:sz w:val="24"/>
          <w:szCs w:val="24"/>
        </w:rPr>
        <w:t>para comprender estos procesos</w:t>
      </w:r>
      <w:r w:rsidR="007138D0" w:rsidRPr="00723AA9">
        <w:rPr>
          <w:rFonts w:ascii="Times New Roman" w:hAnsi="Times New Roman" w:cs="Times New Roman"/>
          <w:sz w:val="24"/>
          <w:szCs w:val="24"/>
        </w:rPr>
        <w:t xml:space="preserve">, sobre todo desde el punto de vista del componente territorial </w:t>
      </w:r>
      <w:r w:rsidR="007138D0" w:rsidRPr="00723AA9">
        <w:rPr>
          <w:rFonts w:ascii="Times New Roman" w:hAnsi="Times New Roman" w:cs="Times New Roman"/>
          <w:sz w:val="24"/>
          <w:szCs w:val="24"/>
        </w:rPr>
        <w:lastRenderedPageBreak/>
        <w:t>de las estrategias de reproducción social</w:t>
      </w:r>
      <w:r w:rsidRPr="00723AA9">
        <w:rPr>
          <w:rFonts w:ascii="Times New Roman" w:hAnsi="Times New Roman" w:cs="Times New Roman"/>
          <w:sz w:val="24"/>
          <w:szCs w:val="24"/>
        </w:rPr>
        <w:t xml:space="preserve">. </w:t>
      </w:r>
      <w:r w:rsidR="007138D0" w:rsidRPr="00723AA9">
        <w:rPr>
          <w:rFonts w:ascii="Times New Roman" w:hAnsi="Times New Roman" w:cs="Times New Roman"/>
          <w:sz w:val="24"/>
          <w:szCs w:val="24"/>
        </w:rPr>
        <w:t xml:space="preserve">Pero lo fundamental para entender la distribución espacial de los usos del suelo agrícola es necesario caracterizar la estructura de uso de agua. </w:t>
      </w:r>
    </w:p>
    <w:p w14:paraId="08F09FC8" w14:textId="77777777" w:rsidR="0057667E" w:rsidRDefault="0057667E" w:rsidP="0057667E">
      <w:pPr>
        <w:spacing w:before="120" w:after="120" w:line="360" w:lineRule="auto"/>
        <w:ind w:firstLine="709"/>
        <w:contextualSpacing/>
        <w:jc w:val="both"/>
        <w:rPr>
          <w:rFonts w:ascii="Times New Roman" w:hAnsi="Times New Roman" w:cs="Times New Roman"/>
          <w:sz w:val="24"/>
          <w:szCs w:val="24"/>
        </w:rPr>
      </w:pPr>
    </w:p>
    <w:p w14:paraId="72279D67" w14:textId="0BC5CC76" w:rsidR="007138D0" w:rsidRPr="00723AA9" w:rsidRDefault="007D4B3D" w:rsidP="0057667E">
      <w:pPr>
        <w:spacing w:before="120" w:after="120" w:line="36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 xml:space="preserve">Figura </w:t>
      </w:r>
      <w:r w:rsidR="00553CB5">
        <w:rPr>
          <w:rFonts w:ascii="Times New Roman" w:hAnsi="Times New Roman" w:cs="Times New Roman"/>
          <w:b/>
          <w:sz w:val="24"/>
          <w:szCs w:val="24"/>
        </w:rPr>
        <w:t>1</w:t>
      </w:r>
      <w:r>
        <w:rPr>
          <w:rFonts w:ascii="Times New Roman" w:hAnsi="Times New Roman" w:cs="Times New Roman"/>
          <w:b/>
          <w:sz w:val="24"/>
          <w:szCs w:val="24"/>
        </w:rPr>
        <w:t xml:space="preserve">: </w:t>
      </w:r>
      <w:r w:rsidR="007138D0" w:rsidRPr="00723AA9">
        <w:rPr>
          <w:rFonts w:ascii="Times New Roman" w:hAnsi="Times New Roman" w:cs="Times New Roman"/>
          <w:b/>
          <w:sz w:val="24"/>
          <w:szCs w:val="24"/>
        </w:rPr>
        <w:t>Comparación de riego superficial y riego subterráneo e</w:t>
      </w:r>
      <w:r w:rsidR="00997780" w:rsidRPr="00723AA9">
        <w:rPr>
          <w:rFonts w:ascii="Times New Roman" w:hAnsi="Times New Roman" w:cs="Times New Roman"/>
          <w:b/>
          <w:sz w:val="24"/>
          <w:szCs w:val="24"/>
        </w:rPr>
        <w:t>n el departamento de Maipú</w:t>
      </w:r>
      <w:r>
        <w:rPr>
          <w:rFonts w:ascii="Times New Roman" w:hAnsi="Times New Roman" w:cs="Times New Roman"/>
          <w:b/>
          <w:sz w:val="24"/>
          <w:szCs w:val="24"/>
        </w:rPr>
        <w:t xml:space="preserve">. Año </w:t>
      </w:r>
      <w:r w:rsidR="00997780" w:rsidRPr="00723AA9">
        <w:rPr>
          <w:rFonts w:ascii="Times New Roman" w:hAnsi="Times New Roman" w:cs="Times New Roman"/>
          <w:b/>
          <w:sz w:val="24"/>
          <w:szCs w:val="24"/>
        </w:rPr>
        <w:t>2006</w:t>
      </w:r>
      <w:r>
        <w:rPr>
          <w:rFonts w:ascii="Times New Roman" w:hAnsi="Times New Roman" w:cs="Times New Roman"/>
          <w:b/>
          <w:sz w:val="24"/>
          <w:szCs w:val="24"/>
        </w:rPr>
        <w:t>.</w:t>
      </w:r>
    </w:p>
    <w:p w14:paraId="74CE5E18" w14:textId="4D4FC900" w:rsidR="007138D0" w:rsidRPr="00723AA9" w:rsidRDefault="007138D0" w:rsidP="00723AA9">
      <w:pPr>
        <w:spacing w:before="120" w:after="120" w:line="360" w:lineRule="auto"/>
        <w:ind w:firstLine="709"/>
        <w:contextualSpacing/>
        <w:jc w:val="center"/>
        <w:rPr>
          <w:rFonts w:ascii="Times New Roman" w:hAnsi="Times New Roman" w:cs="Times New Roman"/>
          <w:sz w:val="24"/>
          <w:szCs w:val="24"/>
        </w:rPr>
      </w:pPr>
      <w:r w:rsidRPr="00723AA9">
        <w:rPr>
          <w:rFonts w:ascii="Times New Roman" w:hAnsi="Times New Roman" w:cs="Times New Roman"/>
          <w:noProof/>
          <w:sz w:val="24"/>
          <w:szCs w:val="24"/>
          <w:lang w:eastAsia="es-AR"/>
        </w:rPr>
        <w:drawing>
          <wp:inline distT="0" distB="0" distL="0" distR="0" wp14:anchorId="10714F27" wp14:editId="7513277C">
            <wp:extent cx="5106009" cy="287182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ración Reigo. FL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6459" cy="2877707"/>
                    </a:xfrm>
                    <a:prstGeom prst="rect">
                      <a:avLst/>
                    </a:prstGeom>
                  </pic:spPr>
                </pic:pic>
              </a:graphicData>
            </a:graphic>
          </wp:inline>
        </w:drawing>
      </w:r>
    </w:p>
    <w:p w14:paraId="5C129033" w14:textId="780D1BE4" w:rsidR="002A1744" w:rsidRPr="00723AA9" w:rsidRDefault="0086368E" w:rsidP="00723AA9">
      <w:pPr>
        <w:spacing w:before="120" w:after="120" w:line="360" w:lineRule="auto"/>
        <w:ind w:firstLine="709"/>
        <w:contextualSpacing/>
        <w:jc w:val="both"/>
        <w:rPr>
          <w:rFonts w:ascii="Times New Roman" w:hAnsi="Times New Roman" w:cs="Times New Roman"/>
          <w:sz w:val="16"/>
          <w:szCs w:val="16"/>
        </w:rPr>
      </w:pPr>
      <w:r w:rsidRPr="00723AA9">
        <w:rPr>
          <w:rFonts w:ascii="Times New Roman" w:hAnsi="Times New Roman" w:cs="Times New Roman"/>
          <w:sz w:val="16"/>
          <w:szCs w:val="16"/>
        </w:rPr>
        <w:t xml:space="preserve">Fuente: Elaboración propia en base al Sistema de información catastral y registral, Departamento General de Irrigación. Disponible en: </w:t>
      </w:r>
      <w:hyperlink r:id="rId14" w:history="1">
        <w:r w:rsidR="00D05C91" w:rsidRPr="00723AA9">
          <w:rPr>
            <w:rStyle w:val="Hipervnculo"/>
            <w:rFonts w:ascii="Times New Roman" w:hAnsi="Times New Roman" w:cs="Times New Roman"/>
            <w:sz w:val="16"/>
            <w:szCs w:val="16"/>
          </w:rPr>
          <w:t>http://www.irrigacion.gov.ar/mapserver/sicar_web_produccion/dinamicos/comunes/p_varias/index.html</w:t>
        </w:r>
      </w:hyperlink>
      <w:r w:rsidR="00D05C91" w:rsidRPr="00723AA9">
        <w:rPr>
          <w:rFonts w:ascii="Times New Roman" w:hAnsi="Times New Roman" w:cs="Times New Roman"/>
          <w:sz w:val="16"/>
          <w:szCs w:val="16"/>
        </w:rPr>
        <w:t xml:space="preserve"> </w:t>
      </w:r>
    </w:p>
    <w:p w14:paraId="6D547C6A" w14:textId="77777777" w:rsidR="00723AA9" w:rsidRDefault="00723AA9" w:rsidP="00723AA9">
      <w:pPr>
        <w:spacing w:before="120" w:after="120" w:line="360" w:lineRule="auto"/>
        <w:ind w:firstLine="709"/>
        <w:contextualSpacing/>
        <w:jc w:val="both"/>
        <w:rPr>
          <w:rFonts w:ascii="Times New Roman" w:hAnsi="Times New Roman" w:cs="Times New Roman"/>
          <w:sz w:val="24"/>
          <w:szCs w:val="24"/>
        </w:rPr>
      </w:pPr>
    </w:p>
    <w:p w14:paraId="6829EF86" w14:textId="4F36D50C" w:rsidR="00997780" w:rsidRDefault="00997780"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Como se observa en el mapa, a la izquierda encontramos las parcelas con derecho de riego que se observan principalmente cercanos al área metropolitana y al sur del departamento de Maipú. Mientras que, si se analiza el noreste del departamento, en espacial el distrito de FLB encontramos ausencia de derechos de riego, aunque no así de pozos de agua subterránea, claramente presentes en la imagen derecha. Esto, posee implicancias como </w:t>
      </w:r>
      <w:r w:rsidRPr="007D4B3D">
        <w:rPr>
          <w:rFonts w:ascii="Times New Roman" w:hAnsi="Times New Roman" w:cs="Times New Roman"/>
          <w:i/>
          <w:iCs/>
          <w:sz w:val="24"/>
          <w:szCs w:val="24"/>
        </w:rPr>
        <w:t>estructura de oportunidades</w:t>
      </w:r>
      <w:r w:rsidRPr="00723AA9">
        <w:rPr>
          <w:rFonts w:ascii="Times New Roman" w:hAnsi="Times New Roman" w:cs="Times New Roman"/>
          <w:sz w:val="24"/>
          <w:szCs w:val="24"/>
        </w:rPr>
        <w:t xml:space="preserve">, no sólo porque el valor de la tierra es </w:t>
      </w:r>
      <w:r w:rsidR="004C6587" w:rsidRPr="00723AA9">
        <w:rPr>
          <w:rFonts w:ascii="Times New Roman" w:hAnsi="Times New Roman" w:cs="Times New Roman"/>
          <w:sz w:val="24"/>
          <w:szCs w:val="24"/>
        </w:rPr>
        <w:t>menor,</w:t>
      </w:r>
      <w:r w:rsidRPr="00723AA9">
        <w:rPr>
          <w:rFonts w:ascii="Times New Roman" w:hAnsi="Times New Roman" w:cs="Times New Roman"/>
          <w:sz w:val="24"/>
          <w:szCs w:val="24"/>
        </w:rPr>
        <w:t xml:space="preserve"> sino que también permite albergar cultivos como la horticultura, es decir, es atractivo para determinados sujetos agrarios. </w:t>
      </w:r>
    </w:p>
    <w:p w14:paraId="05981F08" w14:textId="77777777" w:rsidR="001805D2" w:rsidRPr="00723AA9" w:rsidRDefault="001805D2" w:rsidP="00723AA9">
      <w:pPr>
        <w:spacing w:before="120" w:after="120" w:line="360" w:lineRule="auto"/>
        <w:ind w:firstLine="709"/>
        <w:contextualSpacing/>
        <w:jc w:val="both"/>
        <w:rPr>
          <w:rFonts w:ascii="Times New Roman" w:hAnsi="Times New Roman" w:cs="Times New Roman"/>
          <w:sz w:val="24"/>
          <w:szCs w:val="24"/>
        </w:rPr>
      </w:pPr>
    </w:p>
    <w:p w14:paraId="4AAB54EA" w14:textId="25E30B35" w:rsidR="003A0A8A" w:rsidRPr="00723AA9" w:rsidRDefault="00723AA9" w:rsidP="00723AA9">
      <w:pPr>
        <w:pStyle w:val="Prrafodelista"/>
        <w:numPr>
          <w:ilvl w:val="0"/>
          <w:numId w:val="1"/>
        </w:numPr>
        <w:tabs>
          <w:tab w:val="left" w:pos="142"/>
        </w:tabs>
        <w:spacing w:before="120" w:after="120" w:line="360" w:lineRule="auto"/>
        <w:ind w:left="0" w:firstLine="142"/>
        <w:jc w:val="both"/>
        <w:rPr>
          <w:rFonts w:ascii="Times New Roman" w:hAnsi="Times New Roman" w:cs="Times New Roman"/>
          <w:b/>
          <w:sz w:val="24"/>
          <w:szCs w:val="24"/>
        </w:rPr>
      </w:pPr>
      <w:r>
        <w:rPr>
          <w:rFonts w:ascii="Times New Roman" w:hAnsi="Times New Roman" w:cs="Times New Roman"/>
          <w:b/>
          <w:sz w:val="24"/>
          <w:szCs w:val="24"/>
        </w:rPr>
        <w:t xml:space="preserve"> </w:t>
      </w:r>
      <w:r w:rsidR="00997780" w:rsidRPr="00723AA9">
        <w:rPr>
          <w:rFonts w:ascii="Times New Roman" w:hAnsi="Times New Roman" w:cs="Times New Roman"/>
          <w:b/>
          <w:sz w:val="24"/>
          <w:szCs w:val="24"/>
        </w:rPr>
        <w:t>R</w:t>
      </w:r>
      <w:r w:rsidR="003A0A8A" w:rsidRPr="00723AA9">
        <w:rPr>
          <w:rFonts w:ascii="Times New Roman" w:hAnsi="Times New Roman" w:cs="Times New Roman"/>
          <w:b/>
          <w:sz w:val="24"/>
          <w:szCs w:val="24"/>
        </w:rPr>
        <w:t>EFLEXIONES FINALES</w:t>
      </w:r>
    </w:p>
    <w:p w14:paraId="13C37558" w14:textId="030AB910" w:rsidR="003046A4" w:rsidRDefault="003046A4" w:rsidP="00723AA9">
      <w:pPr>
        <w:spacing w:before="120"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w:t>
      </w:r>
      <w:r w:rsidR="00524C43" w:rsidRPr="00524C43">
        <w:rPr>
          <w:rFonts w:ascii="Times New Roman" w:hAnsi="Times New Roman" w:cs="Times New Roman"/>
          <w:sz w:val="24"/>
          <w:szCs w:val="24"/>
        </w:rPr>
        <w:t xml:space="preserve">a preocupación por </w:t>
      </w:r>
      <w:r>
        <w:rPr>
          <w:rFonts w:ascii="Times New Roman" w:hAnsi="Times New Roman" w:cs="Times New Roman"/>
          <w:sz w:val="24"/>
          <w:szCs w:val="24"/>
        </w:rPr>
        <w:t xml:space="preserve">las transformaciones aquí descriptas </w:t>
      </w:r>
      <w:r w:rsidR="00524C43" w:rsidRPr="00524C43">
        <w:rPr>
          <w:rFonts w:ascii="Times New Roman" w:hAnsi="Times New Roman" w:cs="Times New Roman"/>
          <w:sz w:val="24"/>
          <w:szCs w:val="24"/>
        </w:rPr>
        <w:t xml:space="preserve">se enmarca en una investigación que busca reconocer la influencia de la urbanización sobre la dinámica </w:t>
      </w:r>
      <w:r w:rsidRPr="00524C43">
        <w:rPr>
          <w:rFonts w:ascii="Times New Roman" w:hAnsi="Times New Roman" w:cs="Times New Roman"/>
          <w:sz w:val="24"/>
          <w:szCs w:val="24"/>
        </w:rPr>
        <w:t>agrícola y</w:t>
      </w:r>
      <w:r w:rsidR="00524C43" w:rsidRPr="00524C43">
        <w:rPr>
          <w:rFonts w:ascii="Times New Roman" w:hAnsi="Times New Roman" w:cs="Times New Roman"/>
          <w:sz w:val="24"/>
          <w:szCs w:val="24"/>
        </w:rPr>
        <w:t xml:space="preserve"> en la trayectoria socio-productiva de los horticultores del cinturón verde. </w:t>
      </w:r>
      <w:r>
        <w:rPr>
          <w:rFonts w:ascii="Times New Roman" w:hAnsi="Times New Roman" w:cs="Times New Roman"/>
          <w:sz w:val="24"/>
          <w:szCs w:val="24"/>
        </w:rPr>
        <w:t xml:space="preserve">Con ello, se </w:t>
      </w:r>
      <w:r>
        <w:rPr>
          <w:rFonts w:ascii="Times New Roman" w:hAnsi="Times New Roman" w:cs="Times New Roman"/>
          <w:sz w:val="24"/>
          <w:szCs w:val="24"/>
        </w:rPr>
        <w:lastRenderedPageBreak/>
        <w:t xml:space="preserve">pretende comprender el mantenimiento de la superficie agrícola pese al claro avance urbano en la provincia de Mendoza, desde la perspectiva de los sujetos. </w:t>
      </w:r>
    </w:p>
    <w:p w14:paraId="598FB2DE" w14:textId="147AD24C" w:rsidR="00DA6030" w:rsidRPr="00723AA9" w:rsidRDefault="00524C43" w:rsidP="00723AA9">
      <w:pPr>
        <w:spacing w:before="120" w:after="120" w:line="360" w:lineRule="auto"/>
        <w:ind w:firstLine="709"/>
        <w:contextualSpacing/>
        <w:jc w:val="both"/>
        <w:rPr>
          <w:rFonts w:ascii="Times New Roman" w:hAnsi="Times New Roman" w:cs="Times New Roman"/>
          <w:sz w:val="24"/>
          <w:szCs w:val="24"/>
        </w:rPr>
      </w:pPr>
      <w:r w:rsidRPr="00524C43">
        <w:rPr>
          <w:rFonts w:ascii="Times New Roman" w:hAnsi="Times New Roman" w:cs="Times New Roman"/>
          <w:sz w:val="24"/>
          <w:szCs w:val="24"/>
        </w:rPr>
        <w:t xml:space="preserve"> </w:t>
      </w:r>
      <w:r w:rsidR="00997780" w:rsidRPr="00723AA9">
        <w:rPr>
          <w:rFonts w:ascii="Times New Roman" w:hAnsi="Times New Roman" w:cs="Times New Roman"/>
          <w:sz w:val="24"/>
          <w:szCs w:val="24"/>
        </w:rPr>
        <w:t xml:space="preserve">Los resultados hasta aquí presentados analizaron la existencia de procesos expansivos </w:t>
      </w:r>
      <w:r w:rsidR="009E3C57" w:rsidRPr="00723AA9">
        <w:rPr>
          <w:rFonts w:ascii="Times New Roman" w:hAnsi="Times New Roman" w:cs="Times New Roman"/>
          <w:sz w:val="24"/>
          <w:szCs w:val="24"/>
        </w:rPr>
        <w:t xml:space="preserve">de superficie en el </w:t>
      </w:r>
      <w:r w:rsidR="003046A4">
        <w:rPr>
          <w:rFonts w:ascii="Times New Roman" w:hAnsi="Times New Roman" w:cs="Times New Roman"/>
          <w:sz w:val="24"/>
          <w:szCs w:val="24"/>
        </w:rPr>
        <w:t>O</w:t>
      </w:r>
      <w:r w:rsidR="009E3C57" w:rsidRPr="00723AA9">
        <w:rPr>
          <w:rFonts w:ascii="Times New Roman" w:hAnsi="Times New Roman" w:cs="Times New Roman"/>
          <w:sz w:val="24"/>
          <w:szCs w:val="24"/>
        </w:rPr>
        <w:t xml:space="preserve">asis </w:t>
      </w:r>
      <w:r w:rsidR="003046A4">
        <w:rPr>
          <w:rFonts w:ascii="Times New Roman" w:hAnsi="Times New Roman" w:cs="Times New Roman"/>
          <w:sz w:val="24"/>
          <w:szCs w:val="24"/>
        </w:rPr>
        <w:t>N</w:t>
      </w:r>
      <w:r w:rsidR="009E3C57" w:rsidRPr="00723AA9">
        <w:rPr>
          <w:rFonts w:ascii="Times New Roman" w:hAnsi="Times New Roman" w:cs="Times New Roman"/>
          <w:sz w:val="24"/>
          <w:szCs w:val="24"/>
        </w:rPr>
        <w:t xml:space="preserve">orte de la provincia de Mendoza, </w:t>
      </w:r>
      <w:r w:rsidR="0035575B" w:rsidRPr="00723AA9">
        <w:rPr>
          <w:rFonts w:ascii="Times New Roman" w:hAnsi="Times New Roman" w:cs="Times New Roman"/>
          <w:sz w:val="24"/>
          <w:szCs w:val="24"/>
        </w:rPr>
        <w:t>con foco en</w:t>
      </w:r>
      <w:r w:rsidR="009E3C57" w:rsidRPr="00723AA9">
        <w:rPr>
          <w:rFonts w:ascii="Times New Roman" w:hAnsi="Times New Roman" w:cs="Times New Roman"/>
          <w:sz w:val="24"/>
          <w:szCs w:val="24"/>
        </w:rPr>
        <w:t xml:space="preserve"> el cinturón verde. Pero el eje vertebral de las indagaciones de la investigación que enmarca este trabajo es conocer la existencia de </w:t>
      </w:r>
      <w:r w:rsidR="009E3C57" w:rsidRPr="00723AA9">
        <w:rPr>
          <w:rFonts w:ascii="Times New Roman" w:hAnsi="Times New Roman" w:cs="Times New Roman"/>
          <w:i/>
          <w:sz w:val="24"/>
          <w:szCs w:val="24"/>
        </w:rPr>
        <w:t>relocalización de explotaciones</w:t>
      </w:r>
      <w:r w:rsidR="009E3C57" w:rsidRPr="00723AA9">
        <w:rPr>
          <w:rFonts w:ascii="Times New Roman" w:hAnsi="Times New Roman" w:cs="Times New Roman"/>
          <w:sz w:val="24"/>
          <w:szCs w:val="24"/>
        </w:rPr>
        <w:t xml:space="preserve"> cercanas al AMM hacia áreas de borde del oasis. Esto supone reconocer </w:t>
      </w:r>
      <w:r w:rsidR="00DA6030" w:rsidRPr="00723AA9">
        <w:rPr>
          <w:rFonts w:ascii="Times New Roman" w:hAnsi="Times New Roman" w:cs="Times New Roman"/>
          <w:sz w:val="24"/>
          <w:szCs w:val="24"/>
        </w:rPr>
        <w:t>quiénes son los protagonistas de estos procesos</w:t>
      </w:r>
      <w:r w:rsidR="0035575B" w:rsidRPr="00723AA9">
        <w:rPr>
          <w:rFonts w:ascii="Times New Roman" w:hAnsi="Times New Roman" w:cs="Times New Roman"/>
          <w:sz w:val="24"/>
          <w:szCs w:val="24"/>
        </w:rPr>
        <w:t>, hacia dónde se relocalizan</w:t>
      </w:r>
      <w:r w:rsidR="00DA6030" w:rsidRPr="00723AA9">
        <w:rPr>
          <w:rFonts w:ascii="Times New Roman" w:hAnsi="Times New Roman" w:cs="Times New Roman"/>
          <w:sz w:val="24"/>
          <w:szCs w:val="24"/>
        </w:rPr>
        <w:t xml:space="preserve"> y por qué. ¿Son resultado de procesos de expulsión o “desborde</w:t>
      </w:r>
      <w:r w:rsidR="00B25FEB" w:rsidRPr="00723AA9">
        <w:rPr>
          <w:rFonts w:ascii="Times New Roman" w:hAnsi="Times New Roman" w:cs="Times New Roman"/>
          <w:sz w:val="24"/>
          <w:szCs w:val="24"/>
        </w:rPr>
        <w:t>”</w:t>
      </w:r>
      <w:r w:rsidR="00DA6030" w:rsidRPr="00723AA9">
        <w:rPr>
          <w:rFonts w:ascii="Times New Roman" w:hAnsi="Times New Roman" w:cs="Times New Roman"/>
          <w:sz w:val="24"/>
          <w:szCs w:val="24"/>
        </w:rPr>
        <w:t xml:space="preserve"> del cinturón verde de Guaymallén? ¿son oriundos del departamento</w:t>
      </w:r>
      <w:r w:rsidR="009E3C57" w:rsidRPr="00723AA9">
        <w:rPr>
          <w:rFonts w:ascii="Times New Roman" w:hAnsi="Times New Roman" w:cs="Times New Roman"/>
          <w:sz w:val="24"/>
          <w:szCs w:val="24"/>
        </w:rPr>
        <w:t xml:space="preserve"> de Maipú y se encuentran</w:t>
      </w:r>
      <w:r w:rsidR="00DA6030" w:rsidRPr="00723AA9">
        <w:rPr>
          <w:rFonts w:ascii="Times New Roman" w:hAnsi="Times New Roman" w:cs="Times New Roman"/>
          <w:sz w:val="24"/>
          <w:szCs w:val="24"/>
        </w:rPr>
        <w:t xml:space="preserve"> en procesos de capitalización? ¿dónde se relocalizan? ¿por qué eligen esos lugares? ¿cuál es la estructura de o</w:t>
      </w:r>
      <w:r w:rsidR="00413D8E" w:rsidRPr="00723AA9">
        <w:rPr>
          <w:rFonts w:ascii="Times New Roman" w:hAnsi="Times New Roman" w:cs="Times New Roman"/>
          <w:sz w:val="24"/>
          <w:szCs w:val="24"/>
        </w:rPr>
        <w:t>portunidades de estos espacios?</w:t>
      </w:r>
    </w:p>
    <w:p w14:paraId="06ED0BA2" w14:textId="4DA8F746" w:rsidR="00B25FEB" w:rsidRDefault="00B25FEB"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En este sentido, se avanzó sobre la identificación de la localización </w:t>
      </w:r>
      <w:r w:rsidR="00977867">
        <w:rPr>
          <w:rFonts w:ascii="Times New Roman" w:hAnsi="Times New Roman" w:cs="Times New Roman"/>
          <w:sz w:val="24"/>
          <w:szCs w:val="24"/>
        </w:rPr>
        <w:t xml:space="preserve">geográfica </w:t>
      </w:r>
      <w:r w:rsidRPr="00723AA9">
        <w:rPr>
          <w:rFonts w:ascii="Times New Roman" w:hAnsi="Times New Roman" w:cs="Times New Roman"/>
          <w:sz w:val="24"/>
          <w:szCs w:val="24"/>
        </w:rPr>
        <w:t xml:space="preserve">de estos procesos expansivos de superficie cultivada y también sobre cambios en el uso del suelo agrícola (de vid a olivo) dando puntapié inicial al análisis de sus actores involucrados. Es por eso </w:t>
      </w:r>
      <w:proofErr w:type="gramStart"/>
      <w:r w:rsidRPr="00723AA9">
        <w:rPr>
          <w:rFonts w:ascii="Times New Roman" w:hAnsi="Times New Roman" w:cs="Times New Roman"/>
          <w:sz w:val="24"/>
          <w:szCs w:val="24"/>
        </w:rPr>
        <w:t>que</w:t>
      </w:r>
      <w:proofErr w:type="gramEnd"/>
      <w:r w:rsidRPr="00723AA9">
        <w:rPr>
          <w:rFonts w:ascii="Times New Roman" w:hAnsi="Times New Roman" w:cs="Times New Roman"/>
          <w:sz w:val="24"/>
          <w:szCs w:val="24"/>
        </w:rPr>
        <w:t>, si bien esto</w:t>
      </w:r>
      <w:r w:rsidR="00413D8E" w:rsidRPr="00723AA9">
        <w:rPr>
          <w:rFonts w:ascii="Times New Roman" w:hAnsi="Times New Roman" w:cs="Times New Roman"/>
          <w:sz w:val="24"/>
          <w:szCs w:val="24"/>
        </w:rPr>
        <w:t xml:space="preserve">s son </w:t>
      </w:r>
      <w:r w:rsidRPr="00723AA9">
        <w:rPr>
          <w:rFonts w:ascii="Times New Roman" w:hAnsi="Times New Roman" w:cs="Times New Roman"/>
          <w:sz w:val="24"/>
          <w:szCs w:val="24"/>
        </w:rPr>
        <w:t xml:space="preserve">hallazgos preliminares por estar actualmente en etapas de trabajo de campo, sí </w:t>
      </w:r>
      <w:r w:rsidR="00977867">
        <w:rPr>
          <w:rFonts w:ascii="Times New Roman" w:hAnsi="Times New Roman" w:cs="Times New Roman"/>
          <w:sz w:val="24"/>
          <w:szCs w:val="24"/>
        </w:rPr>
        <w:t>se pueden</w:t>
      </w:r>
      <w:r w:rsidRPr="00723AA9">
        <w:rPr>
          <w:rFonts w:ascii="Times New Roman" w:hAnsi="Times New Roman" w:cs="Times New Roman"/>
          <w:sz w:val="24"/>
          <w:szCs w:val="24"/>
        </w:rPr>
        <w:t xml:space="preserve"> realizar algunas reflexiones </w:t>
      </w:r>
      <w:r w:rsidR="00977867">
        <w:rPr>
          <w:rFonts w:ascii="Times New Roman" w:hAnsi="Times New Roman" w:cs="Times New Roman"/>
          <w:sz w:val="24"/>
          <w:szCs w:val="24"/>
        </w:rPr>
        <w:t xml:space="preserve">parciales </w:t>
      </w:r>
      <w:r w:rsidRPr="00723AA9">
        <w:rPr>
          <w:rFonts w:ascii="Times New Roman" w:hAnsi="Times New Roman" w:cs="Times New Roman"/>
          <w:sz w:val="24"/>
          <w:szCs w:val="24"/>
        </w:rPr>
        <w:t xml:space="preserve">sobre lo </w:t>
      </w:r>
      <w:r w:rsidR="00413D8E" w:rsidRPr="00723AA9">
        <w:rPr>
          <w:rFonts w:ascii="Times New Roman" w:hAnsi="Times New Roman" w:cs="Times New Roman"/>
          <w:sz w:val="24"/>
          <w:szCs w:val="24"/>
        </w:rPr>
        <w:t>avizorado</w:t>
      </w:r>
      <w:r w:rsidRPr="00723AA9">
        <w:rPr>
          <w:rFonts w:ascii="Times New Roman" w:hAnsi="Times New Roman" w:cs="Times New Roman"/>
          <w:sz w:val="24"/>
          <w:szCs w:val="24"/>
        </w:rPr>
        <w:t xml:space="preserve"> hasta el momento. </w:t>
      </w:r>
    </w:p>
    <w:p w14:paraId="59DBFE11" w14:textId="0955658B" w:rsidR="00B25FEB" w:rsidRPr="00723AA9" w:rsidRDefault="00B25FEB"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En primer lugar, es posible advertir que la </w:t>
      </w:r>
      <w:r w:rsidRPr="00977867">
        <w:rPr>
          <w:rFonts w:ascii="Times New Roman" w:hAnsi="Times New Roman" w:cs="Times New Roman"/>
          <w:i/>
          <w:iCs/>
          <w:sz w:val="24"/>
          <w:szCs w:val="24"/>
        </w:rPr>
        <w:t>horticultura</w:t>
      </w:r>
      <w:r w:rsidRPr="00723AA9">
        <w:rPr>
          <w:rFonts w:ascii="Times New Roman" w:hAnsi="Times New Roman" w:cs="Times New Roman"/>
          <w:sz w:val="24"/>
          <w:szCs w:val="24"/>
        </w:rPr>
        <w:t xml:space="preserve"> –sector productivo escasamente estudiado en la provincia</w:t>
      </w:r>
      <w:r w:rsidR="00977867">
        <w:rPr>
          <w:rFonts w:ascii="Times New Roman" w:hAnsi="Times New Roman" w:cs="Times New Roman"/>
          <w:sz w:val="24"/>
          <w:szCs w:val="24"/>
        </w:rPr>
        <w:t xml:space="preserve"> ̶</w:t>
      </w:r>
      <w:r w:rsidRPr="00723AA9">
        <w:rPr>
          <w:rFonts w:ascii="Times New Roman" w:hAnsi="Times New Roman" w:cs="Times New Roman"/>
          <w:sz w:val="24"/>
          <w:szCs w:val="24"/>
        </w:rPr>
        <w:t xml:space="preserve"> presenta ciertos </w:t>
      </w:r>
      <w:r w:rsidRPr="00977867">
        <w:rPr>
          <w:rFonts w:ascii="Times New Roman" w:hAnsi="Times New Roman" w:cs="Times New Roman"/>
          <w:i/>
          <w:iCs/>
          <w:sz w:val="24"/>
          <w:szCs w:val="24"/>
        </w:rPr>
        <w:t>avances de frontera agrícola principalmente por expansión de superficie</w:t>
      </w:r>
      <w:r w:rsidRPr="00723AA9">
        <w:rPr>
          <w:rFonts w:ascii="Times New Roman" w:hAnsi="Times New Roman" w:cs="Times New Roman"/>
          <w:sz w:val="24"/>
          <w:szCs w:val="24"/>
        </w:rPr>
        <w:t xml:space="preserve">. Si bien, no se ha analizado en términos de productividad, la dinámica de los censos y los estudios específicos en el área de estudio permiten dar cuenta de lo anterior. Por otra parte, las categorías por las cuales se analiza la información censal de los tipos de </w:t>
      </w:r>
      <w:r w:rsidR="00977867" w:rsidRPr="00723AA9">
        <w:rPr>
          <w:rFonts w:ascii="Times New Roman" w:hAnsi="Times New Roman" w:cs="Times New Roman"/>
          <w:sz w:val="24"/>
          <w:szCs w:val="24"/>
        </w:rPr>
        <w:t>cultivos</w:t>
      </w:r>
      <w:r w:rsidRPr="00723AA9">
        <w:rPr>
          <w:rFonts w:ascii="Times New Roman" w:hAnsi="Times New Roman" w:cs="Times New Roman"/>
          <w:sz w:val="24"/>
          <w:szCs w:val="24"/>
        </w:rPr>
        <w:t xml:space="preserve"> presentan múltiples situaciones presentadas indistintamente pero que</w:t>
      </w:r>
      <w:r w:rsidR="00413D8E" w:rsidRPr="00723AA9">
        <w:rPr>
          <w:rFonts w:ascii="Times New Roman" w:hAnsi="Times New Roman" w:cs="Times New Roman"/>
          <w:sz w:val="24"/>
          <w:szCs w:val="24"/>
        </w:rPr>
        <w:t>,</w:t>
      </w:r>
      <w:r w:rsidRPr="00723AA9">
        <w:rPr>
          <w:rFonts w:ascii="Times New Roman" w:hAnsi="Times New Roman" w:cs="Times New Roman"/>
          <w:sz w:val="24"/>
          <w:szCs w:val="24"/>
        </w:rPr>
        <w:t xml:space="preserve"> sin embargo, pueden presentar indicios de los cambios que se pretenden analizar: avances de productividad, avances de frontera, etc.  </w:t>
      </w:r>
      <w:r w:rsidR="00413D8E" w:rsidRPr="00723AA9">
        <w:rPr>
          <w:rFonts w:ascii="Times New Roman" w:hAnsi="Times New Roman" w:cs="Times New Roman"/>
          <w:sz w:val="24"/>
          <w:szCs w:val="24"/>
        </w:rPr>
        <w:t>De allí la importancia del análisis de imágenes satelitales para poder encontrar los focos expansivos.</w:t>
      </w:r>
    </w:p>
    <w:p w14:paraId="2E3F1B62" w14:textId="46E25C71" w:rsidR="00413D8E" w:rsidRDefault="00413D8E"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 xml:space="preserve">En segundo lugar, si bien resta avanzar en la profundización del trabajo de campo, los primeros acercamientos permiten pensar en que los cambios de uso en espacios identificados como expansión, sean más bien un avance sobre tierras abandonadas, más que sobre tierras vírgenes. </w:t>
      </w:r>
    </w:p>
    <w:p w14:paraId="0011182B" w14:textId="6EDA07CC" w:rsidR="003046A4" w:rsidRDefault="00977867" w:rsidP="00723AA9">
      <w:pPr>
        <w:spacing w:before="120"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tercer lugar,</w:t>
      </w:r>
      <w:r w:rsidR="003046A4">
        <w:rPr>
          <w:rFonts w:ascii="Times New Roman" w:hAnsi="Times New Roman" w:cs="Times New Roman"/>
          <w:sz w:val="24"/>
          <w:szCs w:val="24"/>
        </w:rPr>
        <w:t xml:space="preserve"> y vinculado a lo anterior, </w:t>
      </w:r>
      <w:r>
        <w:rPr>
          <w:rFonts w:ascii="Times New Roman" w:hAnsi="Times New Roman" w:cs="Times New Roman"/>
          <w:sz w:val="24"/>
          <w:szCs w:val="24"/>
        </w:rPr>
        <w:t xml:space="preserve">los procesos expansivos pueden ser vehiculizados por la relocalización de explotaciones, </w:t>
      </w:r>
      <w:r w:rsidR="003046A4">
        <w:rPr>
          <w:rFonts w:ascii="Times New Roman" w:hAnsi="Times New Roman" w:cs="Times New Roman"/>
          <w:sz w:val="24"/>
          <w:szCs w:val="24"/>
        </w:rPr>
        <w:t>pero también por</w:t>
      </w:r>
      <w:r>
        <w:rPr>
          <w:rFonts w:ascii="Times New Roman" w:hAnsi="Times New Roman" w:cs="Times New Roman"/>
          <w:sz w:val="24"/>
          <w:szCs w:val="24"/>
        </w:rPr>
        <w:t xml:space="preserve"> los cambios de uso de suelo agrícola. El cambio de cultivo vitícola u olivícola hacia la horticultura no es un dato </w:t>
      </w:r>
      <w:r>
        <w:rPr>
          <w:rFonts w:ascii="Times New Roman" w:hAnsi="Times New Roman" w:cs="Times New Roman"/>
          <w:sz w:val="24"/>
          <w:szCs w:val="24"/>
        </w:rPr>
        <w:lastRenderedPageBreak/>
        <w:t xml:space="preserve">menor para el análisis sociológico, pues puede estar indicando un </w:t>
      </w:r>
      <w:r w:rsidRPr="00977867">
        <w:rPr>
          <w:rFonts w:ascii="Times New Roman" w:hAnsi="Times New Roman" w:cs="Times New Roman"/>
          <w:i/>
          <w:iCs/>
          <w:sz w:val="24"/>
          <w:szCs w:val="24"/>
        </w:rPr>
        <w:t>reemplazo</w:t>
      </w:r>
      <w:r>
        <w:rPr>
          <w:rFonts w:ascii="Times New Roman" w:hAnsi="Times New Roman" w:cs="Times New Roman"/>
          <w:i/>
          <w:iCs/>
          <w:sz w:val="24"/>
          <w:szCs w:val="24"/>
        </w:rPr>
        <w:t xml:space="preserve"> </w:t>
      </w:r>
      <w:r w:rsidRPr="00977867">
        <w:rPr>
          <w:rFonts w:ascii="Times New Roman" w:hAnsi="Times New Roman" w:cs="Times New Roman"/>
          <w:i/>
          <w:iCs/>
          <w:sz w:val="24"/>
          <w:szCs w:val="24"/>
        </w:rPr>
        <w:t xml:space="preserve">de sujetos agrarios </w:t>
      </w:r>
      <w:r>
        <w:rPr>
          <w:rFonts w:ascii="Times New Roman" w:hAnsi="Times New Roman" w:cs="Times New Roman"/>
          <w:sz w:val="24"/>
          <w:szCs w:val="24"/>
        </w:rPr>
        <w:t>con dinámicas diferenciales</w:t>
      </w:r>
      <w:r w:rsidR="003046A4">
        <w:rPr>
          <w:rFonts w:ascii="Times New Roman" w:hAnsi="Times New Roman" w:cs="Times New Roman"/>
          <w:sz w:val="24"/>
          <w:szCs w:val="24"/>
        </w:rPr>
        <w:t xml:space="preserve">.  </w:t>
      </w:r>
    </w:p>
    <w:p w14:paraId="3C32F465" w14:textId="4D13CEB2" w:rsidR="00524C43" w:rsidRDefault="003046A4" w:rsidP="00723AA9">
      <w:pPr>
        <w:spacing w:before="120"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Así, como </w:t>
      </w:r>
      <w:proofErr w:type="spellStart"/>
      <w:r>
        <w:rPr>
          <w:rFonts w:ascii="Times New Roman" w:hAnsi="Times New Roman" w:cs="Times New Roman"/>
          <w:sz w:val="24"/>
          <w:szCs w:val="24"/>
        </w:rPr>
        <w:t>hipótesis</w:t>
      </w:r>
      <w:proofErr w:type="spellEnd"/>
      <w:r>
        <w:rPr>
          <w:rFonts w:ascii="Times New Roman" w:hAnsi="Times New Roman" w:cs="Times New Roman"/>
          <w:sz w:val="24"/>
          <w:szCs w:val="24"/>
        </w:rPr>
        <w:t xml:space="preserve"> de trabajo consideramos que e</w:t>
      </w:r>
      <w:r w:rsidR="00524C43" w:rsidRPr="00866F40">
        <w:rPr>
          <w:rFonts w:ascii="Times New Roman" w:eastAsia="Times New Roman" w:hAnsi="Times New Roman" w:cs="Times New Roman"/>
          <w:bCs/>
          <w:sz w:val="24"/>
          <w:szCs w:val="24"/>
          <w:lang w:eastAsia="es-ES"/>
        </w:rPr>
        <w:t>l proceso de urbanización ejerce</w:t>
      </w:r>
      <w:r w:rsidR="00524C43">
        <w:rPr>
          <w:rFonts w:ascii="Times New Roman" w:eastAsia="Times New Roman" w:hAnsi="Times New Roman" w:cs="Times New Roman"/>
          <w:bCs/>
          <w:sz w:val="24"/>
          <w:szCs w:val="24"/>
          <w:lang w:eastAsia="es-ES"/>
        </w:rPr>
        <w:t>ría</w:t>
      </w:r>
      <w:r w:rsidR="00524C43" w:rsidRPr="00866F40">
        <w:rPr>
          <w:rFonts w:ascii="Times New Roman" w:eastAsia="Times New Roman" w:hAnsi="Times New Roman" w:cs="Times New Roman"/>
          <w:bCs/>
          <w:sz w:val="24"/>
          <w:szCs w:val="24"/>
          <w:lang w:eastAsia="es-ES"/>
        </w:rPr>
        <w:t xml:space="preserve"> una influencia en </w:t>
      </w:r>
      <w:r w:rsidR="00524C43">
        <w:rPr>
          <w:rFonts w:ascii="Times New Roman" w:eastAsia="Times New Roman" w:hAnsi="Times New Roman" w:cs="Times New Roman"/>
          <w:bCs/>
          <w:sz w:val="24"/>
          <w:szCs w:val="24"/>
          <w:lang w:eastAsia="es-ES"/>
        </w:rPr>
        <w:t>las trayectorias de los productores hortícolas, a través de:</w:t>
      </w:r>
      <w:r w:rsidR="00524C43" w:rsidRPr="00866F40">
        <w:rPr>
          <w:rFonts w:ascii="Times New Roman" w:eastAsia="Times New Roman" w:hAnsi="Times New Roman" w:cs="Times New Roman"/>
          <w:bCs/>
          <w:sz w:val="24"/>
          <w:szCs w:val="24"/>
          <w:lang w:eastAsia="es-ES"/>
        </w:rPr>
        <w:t xml:space="preserve"> 1) </w:t>
      </w:r>
      <w:r w:rsidR="00524C43">
        <w:rPr>
          <w:rFonts w:ascii="Times New Roman" w:eastAsia="Times New Roman" w:hAnsi="Times New Roman" w:cs="Times New Roman"/>
          <w:bCs/>
          <w:sz w:val="24"/>
          <w:szCs w:val="24"/>
          <w:lang w:eastAsia="es-ES"/>
        </w:rPr>
        <w:t xml:space="preserve">el </w:t>
      </w:r>
      <w:r w:rsidR="00524C43" w:rsidRPr="00866F40">
        <w:rPr>
          <w:rFonts w:ascii="Times New Roman" w:eastAsia="Times New Roman" w:hAnsi="Times New Roman" w:cs="Times New Roman"/>
          <w:bCs/>
          <w:sz w:val="24"/>
          <w:szCs w:val="24"/>
          <w:lang w:eastAsia="es-ES"/>
        </w:rPr>
        <w:t>desplazamiento a áreas más alejadas a través de la venta de propiedades fraccionadas para la compra de unidades grandes en otro lugar; 2)</w:t>
      </w:r>
      <w:r w:rsidR="00524C43">
        <w:rPr>
          <w:rFonts w:ascii="Times New Roman" w:eastAsia="Times New Roman" w:hAnsi="Times New Roman" w:cs="Times New Roman"/>
          <w:bCs/>
          <w:sz w:val="24"/>
          <w:szCs w:val="24"/>
          <w:lang w:eastAsia="es-ES"/>
        </w:rPr>
        <w:t xml:space="preserve"> </w:t>
      </w:r>
      <w:r w:rsidR="00524C43" w:rsidRPr="00866F40">
        <w:rPr>
          <w:rFonts w:ascii="Times New Roman" w:eastAsia="Times New Roman" w:hAnsi="Times New Roman" w:cs="Times New Roman"/>
          <w:bCs/>
          <w:sz w:val="24"/>
          <w:szCs w:val="24"/>
          <w:lang w:eastAsia="es-ES"/>
        </w:rPr>
        <w:t xml:space="preserve">la transformación del sistema de producción  </w:t>
      </w:r>
      <w:r w:rsidR="00524C43">
        <w:rPr>
          <w:rFonts w:ascii="Times New Roman" w:eastAsia="Times New Roman" w:hAnsi="Times New Roman" w:cs="Times New Roman"/>
          <w:bCs/>
          <w:sz w:val="24"/>
          <w:szCs w:val="24"/>
          <w:lang w:eastAsia="es-ES"/>
        </w:rPr>
        <w:t xml:space="preserve">de los </w:t>
      </w:r>
      <w:r w:rsidR="00524C43" w:rsidRPr="00866F40">
        <w:rPr>
          <w:rFonts w:ascii="Times New Roman" w:eastAsia="Times New Roman" w:hAnsi="Times New Roman" w:cs="Times New Roman"/>
          <w:bCs/>
          <w:sz w:val="24"/>
          <w:szCs w:val="24"/>
          <w:lang w:eastAsia="es-ES"/>
        </w:rPr>
        <w:t xml:space="preserve">productores tradicionalmente vitícolas que apuestan a la horticultura; </w:t>
      </w:r>
      <w:r w:rsidR="00524C43">
        <w:rPr>
          <w:rFonts w:ascii="Times New Roman" w:eastAsia="Times New Roman" w:hAnsi="Times New Roman" w:cs="Times New Roman"/>
          <w:bCs/>
          <w:sz w:val="24"/>
          <w:szCs w:val="24"/>
          <w:lang w:eastAsia="es-ES"/>
        </w:rPr>
        <w:t>y/</w:t>
      </w:r>
      <w:r w:rsidR="00524C43" w:rsidRPr="00866F40">
        <w:rPr>
          <w:rFonts w:ascii="Times New Roman" w:eastAsia="Times New Roman" w:hAnsi="Times New Roman" w:cs="Times New Roman"/>
          <w:bCs/>
          <w:sz w:val="24"/>
          <w:szCs w:val="24"/>
          <w:lang w:eastAsia="es-ES"/>
        </w:rPr>
        <w:t xml:space="preserve">o 3) </w:t>
      </w:r>
      <w:r w:rsidR="00524C43">
        <w:rPr>
          <w:rFonts w:ascii="Times New Roman" w:eastAsia="Times New Roman" w:hAnsi="Times New Roman" w:cs="Times New Roman"/>
          <w:bCs/>
          <w:sz w:val="24"/>
          <w:szCs w:val="24"/>
          <w:lang w:eastAsia="es-ES"/>
        </w:rPr>
        <w:t>d</w:t>
      </w:r>
      <w:r w:rsidR="00524C43" w:rsidRPr="00866F40">
        <w:rPr>
          <w:rFonts w:ascii="Times New Roman" w:eastAsia="Times New Roman" w:hAnsi="Times New Roman" w:cs="Times New Roman"/>
          <w:bCs/>
          <w:sz w:val="24"/>
          <w:szCs w:val="24"/>
          <w:lang w:eastAsia="es-ES"/>
        </w:rPr>
        <w:t>el arrendamiento de tierras a partir del proceso de desfinanciamiento de productores vitícolas tradicionales.</w:t>
      </w:r>
      <w:r w:rsidR="00524C43">
        <w:rPr>
          <w:rFonts w:ascii="Times New Roman" w:eastAsia="Times New Roman" w:hAnsi="Times New Roman" w:cs="Times New Roman"/>
          <w:bCs/>
          <w:sz w:val="24"/>
          <w:szCs w:val="24"/>
          <w:lang w:eastAsia="es-ES"/>
        </w:rPr>
        <w:t xml:space="preserve"> De esta manera, podrían encontrarse </w:t>
      </w:r>
      <w:r w:rsidR="00026D22">
        <w:rPr>
          <w:rFonts w:ascii="Times New Roman" w:eastAsia="Times New Roman" w:hAnsi="Times New Roman" w:cs="Times New Roman"/>
          <w:bCs/>
          <w:sz w:val="24"/>
          <w:szCs w:val="24"/>
          <w:lang w:eastAsia="es-ES"/>
        </w:rPr>
        <w:t>diferentes</w:t>
      </w:r>
      <w:r w:rsidR="00524C43">
        <w:rPr>
          <w:rFonts w:ascii="Times New Roman" w:eastAsia="Times New Roman" w:hAnsi="Times New Roman" w:cs="Times New Roman"/>
          <w:bCs/>
          <w:sz w:val="24"/>
          <w:szCs w:val="24"/>
          <w:lang w:eastAsia="es-ES"/>
        </w:rPr>
        <w:t xml:space="preserve"> tipos de trayectorias que explicarían el mantenimiento de la superficie cultivada pese al avance de la urbanización y los procesos expansivos sobre frontera agropecuaria</w:t>
      </w:r>
      <w:r>
        <w:rPr>
          <w:rFonts w:ascii="Times New Roman" w:eastAsia="Times New Roman" w:hAnsi="Times New Roman" w:cs="Times New Roman"/>
          <w:bCs/>
          <w:sz w:val="24"/>
          <w:szCs w:val="24"/>
          <w:lang w:eastAsia="es-ES"/>
        </w:rPr>
        <w:t xml:space="preserve">: </w:t>
      </w:r>
      <w:r w:rsidRPr="00026D22">
        <w:rPr>
          <w:rFonts w:ascii="Times New Roman" w:eastAsia="Times New Roman" w:hAnsi="Times New Roman" w:cs="Times New Roman"/>
          <w:bCs/>
          <w:i/>
          <w:iCs/>
          <w:sz w:val="24"/>
          <w:szCs w:val="24"/>
          <w:lang w:eastAsia="es-ES"/>
        </w:rPr>
        <w:t>trayectorias de relocalización</w:t>
      </w:r>
      <w:r w:rsidR="00026D22">
        <w:rPr>
          <w:rFonts w:ascii="Times New Roman" w:eastAsia="Times New Roman" w:hAnsi="Times New Roman" w:cs="Times New Roman"/>
          <w:bCs/>
          <w:sz w:val="24"/>
          <w:szCs w:val="24"/>
          <w:lang w:eastAsia="es-ES"/>
        </w:rPr>
        <w:t xml:space="preserve"> (dejar un lugar para ir a otro)</w:t>
      </w:r>
      <w:r>
        <w:rPr>
          <w:rFonts w:ascii="Times New Roman" w:eastAsia="Times New Roman" w:hAnsi="Times New Roman" w:cs="Times New Roman"/>
          <w:bCs/>
          <w:sz w:val="24"/>
          <w:szCs w:val="24"/>
          <w:lang w:eastAsia="es-ES"/>
        </w:rPr>
        <w:t xml:space="preserve">, </w:t>
      </w:r>
      <w:r w:rsidRPr="00026D22">
        <w:rPr>
          <w:rFonts w:ascii="Times New Roman" w:eastAsia="Times New Roman" w:hAnsi="Times New Roman" w:cs="Times New Roman"/>
          <w:bCs/>
          <w:i/>
          <w:iCs/>
          <w:sz w:val="24"/>
          <w:szCs w:val="24"/>
          <w:lang w:eastAsia="es-ES"/>
        </w:rPr>
        <w:t>trayectorias de diseminación</w:t>
      </w:r>
      <w:r w:rsidR="00026D22">
        <w:rPr>
          <w:rFonts w:ascii="Times New Roman" w:eastAsia="Times New Roman" w:hAnsi="Times New Roman" w:cs="Times New Roman"/>
          <w:bCs/>
          <w:sz w:val="24"/>
          <w:szCs w:val="24"/>
          <w:lang w:eastAsia="es-ES"/>
        </w:rPr>
        <w:t xml:space="preserve"> (ampliación de superficie en otro lugar)</w:t>
      </w:r>
      <w:r>
        <w:rPr>
          <w:rFonts w:ascii="Times New Roman" w:eastAsia="Times New Roman" w:hAnsi="Times New Roman" w:cs="Times New Roman"/>
          <w:bCs/>
          <w:sz w:val="24"/>
          <w:szCs w:val="24"/>
          <w:lang w:eastAsia="es-ES"/>
        </w:rPr>
        <w:t xml:space="preserve"> o </w:t>
      </w:r>
      <w:r w:rsidRPr="00026D22">
        <w:rPr>
          <w:rFonts w:ascii="Times New Roman" w:eastAsia="Times New Roman" w:hAnsi="Times New Roman" w:cs="Times New Roman"/>
          <w:bCs/>
          <w:i/>
          <w:iCs/>
          <w:sz w:val="24"/>
          <w:szCs w:val="24"/>
          <w:lang w:eastAsia="es-ES"/>
        </w:rPr>
        <w:t>trayectorias locales</w:t>
      </w:r>
      <w:r w:rsidR="00026D22">
        <w:rPr>
          <w:rFonts w:ascii="Times New Roman" w:eastAsia="Times New Roman" w:hAnsi="Times New Roman" w:cs="Times New Roman"/>
          <w:bCs/>
          <w:sz w:val="24"/>
          <w:szCs w:val="24"/>
          <w:lang w:eastAsia="es-ES"/>
        </w:rPr>
        <w:t xml:space="preserve"> (ampliación de superficie en el lugar de origen)</w:t>
      </w:r>
      <w:r>
        <w:rPr>
          <w:rFonts w:ascii="Times New Roman" w:eastAsia="Times New Roman" w:hAnsi="Times New Roman" w:cs="Times New Roman"/>
          <w:bCs/>
          <w:sz w:val="24"/>
          <w:szCs w:val="24"/>
          <w:lang w:eastAsia="es-ES"/>
        </w:rPr>
        <w:t xml:space="preserve">. </w:t>
      </w:r>
    </w:p>
    <w:p w14:paraId="29E5663B" w14:textId="239F9564" w:rsidR="000F5B1C" w:rsidRPr="00723AA9" w:rsidRDefault="00413D8E" w:rsidP="00723AA9">
      <w:pPr>
        <w:spacing w:before="120" w:after="120" w:line="360" w:lineRule="auto"/>
        <w:ind w:firstLine="709"/>
        <w:contextualSpacing/>
        <w:jc w:val="both"/>
        <w:rPr>
          <w:rFonts w:ascii="Times New Roman" w:hAnsi="Times New Roman" w:cs="Times New Roman"/>
          <w:sz w:val="24"/>
          <w:szCs w:val="24"/>
        </w:rPr>
      </w:pPr>
      <w:r w:rsidRPr="00723AA9">
        <w:rPr>
          <w:rFonts w:ascii="Times New Roman" w:hAnsi="Times New Roman" w:cs="Times New Roman"/>
          <w:sz w:val="24"/>
          <w:szCs w:val="24"/>
        </w:rPr>
        <w:t>Para finalizar, creemos importante entender la dinámica del cinturón verde como un todo complejo, que excede los límites distritales, pero con una fuerte imbricación entre ellos. En este sentido, en l</w:t>
      </w:r>
      <w:r w:rsidR="0002120F" w:rsidRPr="00723AA9">
        <w:rPr>
          <w:rFonts w:ascii="Times New Roman" w:hAnsi="Times New Roman" w:cs="Times New Roman"/>
          <w:sz w:val="24"/>
          <w:szCs w:val="24"/>
        </w:rPr>
        <w:t>a reconstrucción de la dinámica como estudio complejo</w:t>
      </w:r>
      <w:r w:rsidRPr="00723AA9">
        <w:rPr>
          <w:rFonts w:ascii="Times New Roman" w:hAnsi="Times New Roman" w:cs="Times New Roman"/>
          <w:sz w:val="24"/>
          <w:szCs w:val="24"/>
        </w:rPr>
        <w:t xml:space="preserve">, cobra valor la mirada interdisciplinaria y </w:t>
      </w:r>
      <w:r w:rsidR="0002120F" w:rsidRPr="00723AA9">
        <w:rPr>
          <w:rFonts w:ascii="Times New Roman" w:hAnsi="Times New Roman" w:cs="Times New Roman"/>
          <w:sz w:val="24"/>
          <w:szCs w:val="24"/>
        </w:rPr>
        <w:t>los estudios cualitativos.</w:t>
      </w:r>
    </w:p>
    <w:p w14:paraId="532C3FAF" w14:textId="7FF7A0DF" w:rsidR="002642C0" w:rsidRPr="00723AA9" w:rsidRDefault="00723AA9" w:rsidP="00723AA9">
      <w:pPr>
        <w:pStyle w:val="Prrafodelista"/>
        <w:numPr>
          <w:ilvl w:val="0"/>
          <w:numId w:val="1"/>
        </w:numPr>
        <w:spacing w:before="120" w:after="120" w:line="360" w:lineRule="auto"/>
        <w:ind w:left="426"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002642C0" w:rsidRPr="00723AA9">
        <w:rPr>
          <w:rFonts w:ascii="Times New Roman" w:hAnsi="Times New Roman" w:cs="Times New Roman"/>
          <w:b/>
          <w:sz w:val="24"/>
          <w:szCs w:val="24"/>
        </w:rPr>
        <w:t>BIBLIOGRAFÍA</w:t>
      </w:r>
    </w:p>
    <w:p w14:paraId="12C0721D"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 xml:space="preserve">ALVAREZ, A.A. (1982). Propuestas alternativas de ordenamiento territorial para el departamento de Maipú. En: Boletín de Estudios Geográficos, No. 81, p. 241-260. Dirección URL del artículo: </w:t>
      </w:r>
      <w:hyperlink r:id="rId15" w:history="1">
        <w:r w:rsidRPr="00723AA9">
          <w:rPr>
            <w:rStyle w:val="Hipervnculo"/>
            <w:rFonts w:ascii="Times New Roman" w:hAnsi="Times New Roman" w:cs="Times New Roman"/>
            <w:color w:val="auto"/>
            <w:sz w:val="24"/>
            <w:szCs w:val="24"/>
          </w:rPr>
          <w:t>http://bdigital.uncu.edu.ar/10905</w:t>
        </w:r>
      </w:hyperlink>
      <w:r w:rsidRPr="00723AA9">
        <w:rPr>
          <w:rFonts w:ascii="Times New Roman" w:hAnsi="Times New Roman" w:cs="Times New Roman"/>
          <w:sz w:val="24"/>
          <w:szCs w:val="24"/>
        </w:rPr>
        <w:t xml:space="preserve">. </w:t>
      </w:r>
    </w:p>
    <w:p w14:paraId="7BE68345" w14:textId="77777777" w:rsidR="001F1657" w:rsidRPr="001805D2" w:rsidRDefault="001F1657" w:rsidP="001805D2">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1805D2">
        <w:rPr>
          <w:rFonts w:ascii="Times New Roman" w:hAnsi="Times New Roman" w:cs="Times New Roman"/>
          <w:sz w:val="24"/>
          <w:szCs w:val="24"/>
        </w:rPr>
        <w:t xml:space="preserve">ATAIDE, S. (2016). Desarrollo rural en debate. Estudios en el espacio agrario salteño. Buenos Aires. Editorial La Colmena. </w:t>
      </w:r>
    </w:p>
    <w:p w14:paraId="5546EBDF"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 xml:space="preserve">ATAIDE, S. (2018). Movilidad y procesos de segmentación laboral. El caso de bolivianos y bolivianas en la producción hortícola del cinturón verde de Salta. XIX Jornadas Nacionales de Extensión Rural y XI del Mercosur. </w:t>
      </w:r>
      <w:r>
        <w:rPr>
          <w:rFonts w:ascii="Times New Roman" w:hAnsi="Times New Roman" w:cs="Times New Roman"/>
          <w:sz w:val="24"/>
          <w:szCs w:val="24"/>
        </w:rPr>
        <w:t>I</w:t>
      </w:r>
      <w:r w:rsidRPr="00723AA9">
        <w:rPr>
          <w:rFonts w:ascii="Times New Roman" w:hAnsi="Times New Roman" w:cs="Times New Roman"/>
          <w:sz w:val="24"/>
          <w:szCs w:val="24"/>
        </w:rPr>
        <w:t>nédito</w:t>
      </w:r>
      <w:r>
        <w:rPr>
          <w:rFonts w:ascii="Times New Roman" w:hAnsi="Times New Roman" w:cs="Times New Roman"/>
          <w:sz w:val="24"/>
          <w:szCs w:val="24"/>
        </w:rPr>
        <w:t>.</w:t>
      </w:r>
    </w:p>
    <w:p w14:paraId="1CD3A2F4"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ÁVILA SÁNCHEZ, H. (2001). Ideas y planteamientos teóricos sobre los territorios periurbanos. Las relaciones campo-ciudad en algunos países de Europa y América. En: Investigaciones Geográficas (Mx), núm. 45, 2001, pp. 108-127.</w:t>
      </w:r>
    </w:p>
    <w:p w14:paraId="7E1F356A" w14:textId="77777777" w:rsidR="001F1657"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 xml:space="preserve">BALDACCINI, P. (2015). El Paisaje como Servicio Ambiental que otorgan las zonas agrícolas de la provincia de Mendoza, Argentina: Analizando la opinión de los habitantes del departamento de Maipú (Tesina de grado). Mendoza, Universidad </w:t>
      </w:r>
      <w:r w:rsidRPr="00723AA9">
        <w:rPr>
          <w:rFonts w:ascii="Times New Roman" w:eastAsia="Calibri" w:hAnsi="Times New Roman" w:cs="Times New Roman"/>
          <w:sz w:val="24"/>
          <w:szCs w:val="24"/>
          <w:lang w:val="es-ES"/>
        </w:rPr>
        <w:lastRenderedPageBreak/>
        <w:t>Nacional de Cuyo. Facultad de Ciencias Agrarias. Dirección URL del informe: http://bdigital.uncu.edu.ar/7010. Fecha de consulta del artículo: 23/01/19.</w:t>
      </w:r>
    </w:p>
    <w:p w14:paraId="0E512E5A"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BARSKY, A. (2012). La complejidad territorial de la interfase urbano-rural como soporte para el desarrollo de la agricultura periurbana. En: Manual de horticultura periurbana, INTA, Buenos Aires.</w:t>
      </w:r>
    </w:p>
    <w:p w14:paraId="5B6BFC80" w14:textId="77777777" w:rsidR="001F1657"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1F1657">
        <w:rPr>
          <w:rFonts w:ascii="Times New Roman" w:eastAsia="Calibri" w:hAnsi="Times New Roman" w:cs="Times New Roman"/>
          <w:sz w:val="24"/>
          <w:szCs w:val="24"/>
          <w:lang w:val="es-ES"/>
        </w:rPr>
        <w:t>BENENCIA R, QUARANTA, G. (2009). Capítulo V: Familia bolivianas en la actividad hortícola: transformaciones en sus procesos de movilidad. Buenos Aires: CICCUS.</w:t>
      </w:r>
    </w:p>
    <w:p w14:paraId="58C2911E"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BENENCIA, R. (1999). El concepto de movilidad social en los estudios rurales. Estudios Rurales. Teorías, Problemas Y Estrategias Metodológicas.</w:t>
      </w:r>
    </w:p>
    <w:p w14:paraId="3B4604D7"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BENENCIA, R. (2005). Migración limítrofe y mercado de trabajo rural en Argentina. Estrategias de familias bolivianas en conformación de comunidades transnacionales. Revista Latinoamericana de Estudios del trabajo. Año 10, Nº 17, pp5-30.</w:t>
      </w:r>
    </w:p>
    <w:p w14:paraId="083476E3"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 xml:space="preserve">BERTORLDI, M, (1998). Incidencia del proceso de toma de decisiones en la adopción de alternativas productivas de hortalizas. </w:t>
      </w:r>
      <w:r w:rsidRPr="00723AA9">
        <w:rPr>
          <w:rFonts w:ascii="Times New Roman" w:eastAsia="Calibri" w:hAnsi="Times New Roman" w:cs="Times New Roman"/>
          <w:sz w:val="24"/>
          <w:szCs w:val="24"/>
          <w:lang w:val="es-ES"/>
        </w:rPr>
        <w:tab/>
        <w:t>Boletín de Estudios Geográficos No. 9. Disponible en: http://bdigital.uncu.edu.ar/9363</w:t>
      </w:r>
    </w:p>
    <w:p w14:paraId="5FC1A094" w14:textId="77777777" w:rsidR="001F1657" w:rsidRPr="001F1657" w:rsidRDefault="001F1657" w:rsidP="001F1657">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1F1657">
        <w:rPr>
          <w:rFonts w:ascii="Times New Roman" w:hAnsi="Times New Roman" w:cs="Times New Roman"/>
          <w:sz w:val="24"/>
          <w:szCs w:val="24"/>
        </w:rPr>
        <w:t xml:space="preserve">BRASKY, A. (2007). </w:t>
      </w:r>
      <w:r w:rsidRPr="001F1657">
        <w:rPr>
          <w:rFonts w:ascii="Times New Roman" w:hAnsi="Times New Roman" w:cs="Times New Roman"/>
          <w:sz w:val="24"/>
          <w:szCs w:val="24"/>
        </w:rPr>
        <w:t xml:space="preserve"> </w:t>
      </w:r>
      <w:r w:rsidRPr="001F1657">
        <w:rPr>
          <w:rFonts w:ascii="Times New Roman" w:hAnsi="Times New Roman" w:cs="Times New Roman"/>
          <w:sz w:val="24"/>
          <w:szCs w:val="24"/>
        </w:rPr>
        <w:t xml:space="preserve">Capítulo 1: </w:t>
      </w:r>
      <w:r w:rsidRPr="001F1657">
        <w:rPr>
          <w:rFonts w:ascii="Times New Roman" w:hAnsi="Times New Roman" w:cs="Times New Roman"/>
          <w:sz w:val="24"/>
          <w:szCs w:val="24"/>
        </w:rPr>
        <w:t xml:space="preserve">La agricultura de “cercanías” a la ciudad y los ciclos del territorio periurbano. </w:t>
      </w:r>
      <w:proofErr w:type="spellStart"/>
      <w:r w:rsidRPr="001F1657">
        <w:rPr>
          <w:rFonts w:ascii="Times New Roman" w:hAnsi="Times New Roman" w:cs="Times New Roman"/>
          <w:sz w:val="24"/>
          <w:szCs w:val="24"/>
        </w:rPr>
        <w:t>Reﬂexiones</w:t>
      </w:r>
      <w:proofErr w:type="spellEnd"/>
      <w:r w:rsidRPr="001F1657">
        <w:rPr>
          <w:rFonts w:ascii="Times New Roman" w:hAnsi="Times New Roman" w:cs="Times New Roman"/>
          <w:sz w:val="24"/>
          <w:szCs w:val="24"/>
        </w:rPr>
        <w:t xml:space="preserve"> sobre el caso de la </w:t>
      </w:r>
      <w:proofErr w:type="gramStart"/>
      <w:r w:rsidRPr="001F1657">
        <w:rPr>
          <w:rFonts w:ascii="Times New Roman" w:hAnsi="Times New Roman" w:cs="Times New Roman"/>
          <w:sz w:val="24"/>
          <w:szCs w:val="24"/>
        </w:rPr>
        <w:t>Región  Metropolitana</w:t>
      </w:r>
      <w:proofErr w:type="gramEnd"/>
      <w:r w:rsidRPr="001F1657">
        <w:rPr>
          <w:rFonts w:ascii="Times New Roman" w:hAnsi="Times New Roman" w:cs="Times New Roman"/>
          <w:sz w:val="24"/>
          <w:szCs w:val="24"/>
        </w:rPr>
        <w:t xml:space="preserve"> de Buenos Aires</w:t>
      </w:r>
      <w:r w:rsidRPr="001F1657">
        <w:rPr>
          <w:rFonts w:ascii="Times New Roman" w:hAnsi="Times New Roman" w:cs="Times New Roman"/>
          <w:sz w:val="24"/>
          <w:szCs w:val="24"/>
        </w:rPr>
        <w:t>.</w:t>
      </w:r>
      <w:r>
        <w:rPr>
          <w:rFonts w:ascii="Times New Roman" w:hAnsi="Times New Roman" w:cs="Times New Roman"/>
          <w:sz w:val="24"/>
          <w:szCs w:val="24"/>
        </w:rPr>
        <w:t xml:space="preserve"> </w:t>
      </w:r>
      <w:r w:rsidRPr="001F1657">
        <w:rPr>
          <w:rFonts w:ascii="Times New Roman" w:hAnsi="Times New Roman" w:cs="Times New Roman"/>
          <w:sz w:val="24"/>
          <w:szCs w:val="24"/>
        </w:rPr>
        <w:t xml:space="preserve">En: Ada </w:t>
      </w:r>
      <w:proofErr w:type="spellStart"/>
      <w:r w:rsidRPr="001F1657">
        <w:rPr>
          <w:rFonts w:ascii="Times New Roman" w:hAnsi="Times New Roman" w:cs="Times New Roman"/>
          <w:sz w:val="24"/>
          <w:szCs w:val="24"/>
        </w:rPr>
        <w:t>Svetlitza</w:t>
      </w:r>
      <w:proofErr w:type="spellEnd"/>
      <w:r w:rsidRPr="001F1657">
        <w:rPr>
          <w:rFonts w:ascii="Times New Roman" w:hAnsi="Times New Roman" w:cs="Times New Roman"/>
          <w:sz w:val="24"/>
          <w:szCs w:val="24"/>
        </w:rPr>
        <w:t xml:space="preserve"> de </w:t>
      </w:r>
      <w:proofErr w:type="spellStart"/>
      <w:r w:rsidRPr="001F1657">
        <w:rPr>
          <w:rFonts w:ascii="Times New Roman" w:hAnsi="Times New Roman" w:cs="Times New Roman"/>
          <w:sz w:val="24"/>
          <w:szCs w:val="24"/>
        </w:rPr>
        <w:t>Nemirovsky</w:t>
      </w:r>
      <w:proofErr w:type="spellEnd"/>
      <w:r w:rsidRPr="001F1657">
        <w:rPr>
          <w:rFonts w:ascii="Times New Roman" w:hAnsi="Times New Roman" w:cs="Times New Roman"/>
          <w:sz w:val="24"/>
          <w:szCs w:val="24"/>
        </w:rPr>
        <w:t xml:space="preserve">. GLOBALIZACIÓN Y AGRICULTURA. Escenarios, recorridos y problemas. </w:t>
      </w:r>
      <w:proofErr w:type="spellStart"/>
      <w:r w:rsidRPr="001F1657">
        <w:rPr>
          <w:rFonts w:ascii="Times New Roman" w:hAnsi="Times New Roman" w:cs="Times New Roman"/>
          <w:sz w:val="24"/>
          <w:szCs w:val="24"/>
        </w:rPr>
        <w:t>Svetlitza</w:t>
      </w:r>
      <w:proofErr w:type="spellEnd"/>
      <w:r w:rsidRPr="001F1657">
        <w:rPr>
          <w:rFonts w:ascii="Times New Roman" w:hAnsi="Times New Roman" w:cs="Times New Roman"/>
          <w:sz w:val="24"/>
          <w:szCs w:val="24"/>
        </w:rPr>
        <w:t xml:space="preserve"> de </w:t>
      </w:r>
      <w:proofErr w:type="spellStart"/>
      <w:r w:rsidRPr="001F1657">
        <w:rPr>
          <w:rFonts w:ascii="Times New Roman" w:hAnsi="Times New Roman" w:cs="Times New Roman"/>
          <w:sz w:val="24"/>
          <w:szCs w:val="24"/>
        </w:rPr>
        <w:t>Nemirovsky</w:t>
      </w:r>
      <w:proofErr w:type="spellEnd"/>
      <w:r w:rsidRPr="001F1657">
        <w:rPr>
          <w:rFonts w:ascii="Times New Roman" w:hAnsi="Times New Roman" w:cs="Times New Roman"/>
          <w:sz w:val="24"/>
          <w:szCs w:val="24"/>
        </w:rPr>
        <w:t>, A.(</w:t>
      </w:r>
      <w:proofErr w:type="spellStart"/>
      <w:r w:rsidRPr="001F1657">
        <w:rPr>
          <w:rFonts w:ascii="Times New Roman" w:hAnsi="Times New Roman" w:cs="Times New Roman"/>
          <w:sz w:val="24"/>
          <w:szCs w:val="24"/>
        </w:rPr>
        <w:t>coomp</w:t>
      </w:r>
      <w:proofErr w:type="spellEnd"/>
      <w:r w:rsidRPr="001F1657">
        <w:rPr>
          <w:rFonts w:ascii="Times New Roman" w:hAnsi="Times New Roman" w:cs="Times New Roman"/>
          <w:sz w:val="24"/>
          <w:szCs w:val="24"/>
        </w:rPr>
        <w:t>). Globalización y agricultura periurbana en Argentina. Escenarios, recorridos y problemas. Serie Monografías. FLACSO.</w:t>
      </w:r>
    </w:p>
    <w:p w14:paraId="223A3DDC"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 xml:space="preserve">COWAN ROS, C. (2007). De la producción de capital social a la proyección de luchas simbólicas en el territorio. Manzanal, M.; </w:t>
      </w:r>
      <w:proofErr w:type="spellStart"/>
      <w:r w:rsidRPr="00723AA9">
        <w:rPr>
          <w:rFonts w:ascii="Times New Roman" w:eastAsia="Calibri" w:hAnsi="Times New Roman" w:cs="Times New Roman"/>
          <w:sz w:val="24"/>
          <w:szCs w:val="24"/>
          <w:lang w:val="es-ES"/>
        </w:rPr>
        <w:t>Arzeno</w:t>
      </w:r>
      <w:proofErr w:type="spellEnd"/>
      <w:r w:rsidRPr="00723AA9">
        <w:rPr>
          <w:rFonts w:ascii="Times New Roman" w:eastAsia="Calibri" w:hAnsi="Times New Roman" w:cs="Times New Roman"/>
          <w:sz w:val="24"/>
          <w:szCs w:val="24"/>
          <w:lang w:val="es-ES"/>
        </w:rPr>
        <w:t xml:space="preserve">, M; </w:t>
      </w:r>
      <w:proofErr w:type="spellStart"/>
      <w:r w:rsidRPr="00723AA9">
        <w:rPr>
          <w:rFonts w:ascii="Times New Roman" w:eastAsia="Calibri" w:hAnsi="Times New Roman" w:cs="Times New Roman"/>
          <w:sz w:val="24"/>
          <w:szCs w:val="24"/>
          <w:lang w:val="es-ES"/>
        </w:rPr>
        <w:t>Nussbaumer</w:t>
      </w:r>
      <w:proofErr w:type="spellEnd"/>
      <w:r w:rsidRPr="00723AA9">
        <w:rPr>
          <w:rFonts w:ascii="Times New Roman" w:eastAsia="Calibri" w:hAnsi="Times New Roman" w:cs="Times New Roman"/>
          <w:sz w:val="24"/>
          <w:szCs w:val="24"/>
          <w:lang w:val="es-ES"/>
        </w:rPr>
        <w:t xml:space="preserve">, </w:t>
      </w:r>
      <w:proofErr w:type="gramStart"/>
      <w:r w:rsidRPr="00723AA9">
        <w:rPr>
          <w:rFonts w:ascii="Times New Roman" w:eastAsia="Calibri" w:hAnsi="Times New Roman" w:cs="Times New Roman"/>
          <w:sz w:val="24"/>
          <w:szCs w:val="24"/>
          <w:lang w:val="es-ES"/>
        </w:rPr>
        <w:t>B.(</w:t>
      </w:r>
      <w:proofErr w:type="gramEnd"/>
      <w:r w:rsidRPr="00723AA9">
        <w:rPr>
          <w:rFonts w:ascii="Times New Roman" w:eastAsia="Calibri" w:hAnsi="Times New Roman" w:cs="Times New Roman"/>
          <w:sz w:val="24"/>
          <w:szCs w:val="24"/>
          <w:lang w:val="es-ES"/>
        </w:rPr>
        <w:t>2007). Territorios en construcción. Actores, tramas y gobiernos: entre la cooperación y el conflicto. Buenos Aires: CICCUS.</w:t>
      </w:r>
    </w:p>
    <w:p w14:paraId="2F63F092"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n-US"/>
        </w:rPr>
        <w:t xml:space="preserve">COWAN ROS, C., &amp; SCHNEIDER, S. (2008). </w:t>
      </w:r>
      <w:r w:rsidRPr="00723AA9">
        <w:rPr>
          <w:rFonts w:ascii="Times New Roman" w:eastAsia="Calibri" w:hAnsi="Times New Roman" w:cs="Times New Roman"/>
          <w:sz w:val="24"/>
          <w:szCs w:val="24"/>
          <w:lang w:val="es-ES"/>
        </w:rPr>
        <w:t>Estrategias campesinas de reproducción social: El caso de las Tierras Altas Jujeñas, Argentina. Revista Internacional De Sociología. (50), 163–185</w:t>
      </w:r>
    </w:p>
    <w:p w14:paraId="2810EE1A" w14:textId="77777777" w:rsidR="001F1657"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1805D2">
        <w:rPr>
          <w:rFonts w:ascii="Times New Roman" w:hAnsi="Times New Roman" w:cs="Times New Roman"/>
          <w:sz w:val="24"/>
          <w:szCs w:val="24"/>
        </w:rPr>
        <w:t xml:space="preserve">DEIE. DIRECCIÓN DE ESTADISTICAS E INVESTIGACIONES ECONÓMICAS (2014). Anuario Estadístico 2014. Disponible en:                </w:t>
      </w:r>
      <w:hyperlink r:id="rId16" w:history="1">
        <w:r w:rsidRPr="007564BE">
          <w:rPr>
            <w:rStyle w:val="Hipervnculo"/>
            <w:rFonts w:ascii="Times New Roman" w:hAnsi="Times New Roman" w:cs="Times New Roman"/>
            <w:sz w:val="24"/>
            <w:szCs w:val="24"/>
          </w:rPr>
          <w:t>http://www.deie.mendoza.gov.ar/backend/uploads/files/2016-08-25%2015:25:47_Estad%C3%ADsticas%20Econ%C3%B3micas%202014%20(pdfl).pdf</w:t>
        </w:r>
      </w:hyperlink>
      <w:r>
        <w:rPr>
          <w:rFonts w:ascii="Times New Roman" w:hAnsi="Times New Roman" w:cs="Times New Roman"/>
          <w:sz w:val="24"/>
          <w:szCs w:val="24"/>
        </w:rPr>
        <w:t xml:space="preserve"> </w:t>
      </w:r>
      <w:r w:rsidRPr="001805D2">
        <w:rPr>
          <w:rFonts w:ascii="Times New Roman" w:hAnsi="Times New Roman" w:cs="Times New Roman"/>
          <w:sz w:val="24"/>
          <w:szCs w:val="24"/>
        </w:rPr>
        <w:t xml:space="preserve">                 </w:t>
      </w:r>
    </w:p>
    <w:p w14:paraId="2C8B25DA"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lastRenderedPageBreak/>
        <w:t xml:space="preserve">Diario los Andes. Suplemento </w:t>
      </w:r>
      <w:proofErr w:type="gramStart"/>
      <w:r w:rsidRPr="00723AA9">
        <w:rPr>
          <w:rFonts w:ascii="Times New Roman" w:hAnsi="Times New Roman" w:cs="Times New Roman"/>
          <w:sz w:val="24"/>
          <w:szCs w:val="24"/>
        </w:rPr>
        <w:t>FINCAS  Sábado</w:t>
      </w:r>
      <w:proofErr w:type="gramEnd"/>
      <w:r w:rsidRPr="00723AA9">
        <w:rPr>
          <w:rFonts w:ascii="Times New Roman" w:hAnsi="Times New Roman" w:cs="Times New Roman"/>
          <w:sz w:val="24"/>
          <w:szCs w:val="24"/>
        </w:rPr>
        <w:t>, 6 de abril de 2019 | Edición impresa. “Censo agropecuario: caen 26% las explotaciones agropecuarias en Mendoza”</w:t>
      </w:r>
    </w:p>
    <w:p w14:paraId="7137DDD4"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FERNÁNDEZ WAGNER, R. (2011). La producción social del hábitat en la ciudad injusta. En: Arévalo, M.; et al. (2011) El camino posible: Producción social del hábitat en América Latina (p.p. 59 – 74). Montevideo (Uruguay). Ediciones Trilce.</w:t>
      </w:r>
    </w:p>
    <w:p w14:paraId="074612B8"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1805D2">
        <w:rPr>
          <w:rFonts w:ascii="Times New Roman" w:hAnsi="Times New Roman" w:cs="Times New Roman"/>
          <w:sz w:val="24"/>
          <w:szCs w:val="24"/>
        </w:rPr>
        <w:t>GARCÍA, M. (2011). Proceso de acumulación de capital en campesinos. El caso de horticultores bolivianos de Buenos Aires (Argentina). Cuadernos de desarrollo rural, 8(66).</w:t>
      </w:r>
    </w:p>
    <w:p w14:paraId="2648C455" w14:textId="77777777" w:rsidR="001F1657"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GARCÍA, M. y KEBAT, C. (2008). Transformaciones en la horticultura platense. Una mirada a través de los censos. Realidad económica: Economías regionales.  1º de julio/15 de agosto de 2008.</w:t>
      </w:r>
    </w:p>
    <w:p w14:paraId="50A0C027"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 xml:space="preserve">KUUSAANA, E. D. Y ELEDI, J. A. (2015). </w:t>
      </w:r>
      <w:r w:rsidRPr="00723AA9">
        <w:rPr>
          <w:rFonts w:ascii="Times New Roman" w:hAnsi="Times New Roman" w:cs="Times New Roman"/>
          <w:sz w:val="24"/>
          <w:szCs w:val="24"/>
          <w:lang w:val="en-US"/>
        </w:rPr>
        <w:t xml:space="preserve">As the city grows, where do the farmers go? Understanding Peri-urbanization and food systems in Ghana - Evidence from the Tamale Metropolis. </w:t>
      </w:r>
      <w:r w:rsidRPr="00723AA9">
        <w:rPr>
          <w:rFonts w:ascii="Times New Roman" w:hAnsi="Times New Roman" w:cs="Times New Roman"/>
          <w:sz w:val="24"/>
          <w:szCs w:val="24"/>
        </w:rPr>
        <w:t xml:space="preserve">Urban </w:t>
      </w:r>
      <w:proofErr w:type="spellStart"/>
      <w:r w:rsidRPr="00723AA9">
        <w:rPr>
          <w:rFonts w:ascii="Times New Roman" w:hAnsi="Times New Roman" w:cs="Times New Roman"/>
          <w:sz w:val="24"/>
          <w:szCs w:val="24"/>
        </w:rPr>
        <w:t>Forum</w:t>
      </w:r>
      <w:proofErr w:type="spellEnd"/>
      <w:r w:rsidRPr="00723AA9">
        <w:rPr>
          <w:rFonts w:ascii="Times New Roman" w:hAnsi="Times New Roman" w:cs="Times New Roman"/>
          <w:sz w:val="24"/>
          <w:szCs w:val="24"/>
        </w:rPr>
        <w:t>. DOI 10.1007/s12132-015-9260-x</w:t>
      </w:r>
    </w:p>
    <w:p w14:paraId="41F878C0" w14:textId="77777777" w:rsidR="001F1657" w:rsidRPr="00723AA9" w:rsidRDefault="001F1657" w:rsidP="00723AA9">
      <w:pPr>
        <w:pStyle w:val="Prrafodelista"/>
        <w:numPr>
          <w:ilvl w:val="0"/>
          <w:numId w:val="10"/>
        </w:numPr>
        <w:spacing w:before="120" w:after="120" w:line="360" w:lineRule="auto"/>
        <w:ind w:left="426" w:hanging="284"/>
        <w:jc w:val="both"/>
        <w:rPr>
          <w:rStyle w:val="Hipervnculo"/>
          <w:rFonts w:ascii="Times New Roman" w:hAnsi="Times New Roman" w:cs="Times New Roman"/>
          <w:color w:val="auto"/>
          <w:sz w:val="24"/>
          <w:szCs w:val="24"/>
          <w:u w:val="none"/>
        </w:rPr>
      </w:pPr>
      <w:r w:rsidRPr="00723AA9">
        <w:rPr>
          <w:rFonts w:ascii="Times New Roman" w:hAnsi="Times New Roman" w:cs="Times New Roman"/>
          <w:sz w:val="24"/>
          <w:szCs w:val="24"/>
        </w:rPr>
        <w:t xml:space="preserve">LE GALL, J. y GARCÍA, M. (2010). Reestructuraciones en las periferias hortícolas de Buenos Aires y modelos espaciales ¿Un archipiélago </w:t>
      </w:r>
      <w:proofErr w:type="gramStart"/>
      <w:r w:rsidRPr="00723AA9">
        <w:rPr>
          <w:rFonts w:ascii="Times New Roman" w:hAnsi="Times New Roman" w:cs="Times New Roman"/>
          <w:sz w:val="24"/>
          <w:szCs w:val="24"/>
        </w:rPr>
        <w:t>verde?.</w:t>
      </w:r>
      <w:proofErr w:type="gramEnd"/>
      <w:r w:rsidRPr="00723AA9">
        <w:rPr>
          <w:rFonts w:ascii="Times New Roman" w:hAnsi="Times New Roman" w:cs="Times New Roman"/>
          <w:sz w:val="24"/>
          <w:szCs w:val="24"/>
        </w:rPr>
        <w:t xml:space="preserve"> </w:t>
      </w:r>
      <w:proofErr w:type="spellStart"/>
      <w:r w:rsidRPr="00723AA9">
        <w:rPr>
          <w:rFonts w:ascii="Times New Roman" w:hAnsi="Times New Roman" w:cs="Times New Roman"/>
          <w:sz w:val="24"/>
          <w:szCs w:val="24"/>
        </w:rPr>
        <w:t>EchoGéo</w:t>
      </w:r>
      <w:proofErr w:type="spellEnd"/>
      <w:r w:rsidRPr="00723AA9">
        <w:rPr>
          <w:rFonts w:ascii="Times New Roman" w:hAnsi="Times New Roman" w:cs="Times New Roman"/>
          <w:sz w:val="24"/>
          <w:szCs w:val="24"/>
        </w:rPr>
        <w:t xml:space="preserve">. Disponible en: </w:t>
      </w:r>
      <w:hyperlink r:id="rId17" w:history="1">
        <w:r w:rsidRPr="00723AA9">
          <w:rPr>
            <w:rStyle w:val="Hipervnculo"/>
            <w:rFonts w:ascii="Times New Roman" w:hAnsi="Times New Roman" w:cs="Times New Roman"/>
            <w:color w:val="auto"/>
            <w:sz w:val="24"/>
            <w:szCs w:val="24"/>
          </w:rPr>
          <w:t>https://journals.openedition.org/echogeo/11539</w:t>
        </w:r>
      </w:hyperlink>
    </w:p>
    <w:p w14:paraId="743D3CC2"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 xml:space="preserve">MARTIN, F. (2007). Capítulo 11: Tensiones territoriales en un oasis ante el impacto de la globalización. Una aproximación al caso de Mendoza, Argentina. En: Ada </w:t>
      </w:r>
      <w:proofErr w:type="spellStart"/>
      <w:r w:rsidRPr="00723AA9">
        <w:rPr>
          <w:rFonts w:ascii="Times New Roman" w:hAnsi="Times New Roman" w:cs="Times New Roman"/>
          <w:sz w:val="24"/>
          <w:szCs w:val="24"/>
        </w:rPr>
        <w:t>Svetlitza</w:t>
      </w:r>
      <w:proofErr w:type="spellEnd"/>
      <w:r w:rsidRPr="00723AA9">
        <w:rPr>
          <w:rFonts w:ascii="Times New Roman" w:hAnsi="Times New Roman" w:cs="Times New Roman"/>
          <w:sz w:val="24"/>
          <w:szCs w:val="24"/>
        </w:rPr>
        <w:t xml:space="preserve"> de </w:t>
      </w:r>
      <w:proofErr w:type="spellStart"/>
      <w:r w:rsidRPr="00723AA9">
        <w:rPr>
          <w:rFonts w:ascii="Times New Roman" w:hAnsi="Times New Roman" w:cs="Times New Roman"/>
          <w:sz w:val="24"/>
          <w:szCs w:val="24"/>
        </w:rPr>
        <w:t>Nemirovsky</w:t>
      </w:r>
      <w:proofErr w:type="spellEnd"/>
      <w:r w:rsidRPr="00723AA9">
        <w:rPr>
          <w:rFonts w:ascii="Times New Roman" w:hAnsi="Times New Roman" w:cs="Times New Roman"/>
          <w:sz w:val="24"/>
          <w:szCs w:val="24"/>
        </w:rPr>
        <w:t xml:space="preserve">. GLOBALIZACIÓN Y AGRICULTURA. Escenarios, recorridos y problemas. </w:t>
      </w:r>
      <w:proofErr w:type="spellStart"/>
      <w:r w:rsidRPr="00723AA9">
        <w:rPr>
          <w:rFonts w:ascii="Times New Roman" w:hAnsi="Times New Roman" w:cs="Times New Roman"/>
          <w:sz w:val="24"/>
          <w:szCs w:val="24"/>
        </w:rPr>
        <w:t>Svetlitza</w:t>
      </w:r>
      <w:proofErr w:type="spellEnd"/>
      <w:r w:rsidRPr="00723AA9">
        <w:rPr>
          <w:rFonts w:ascii="Times New Roman" w:hAnsi="Times New Roman" w:cs="Times New Roman"/>
          <w:sz w:val="24"/>
          <w:szCs w:val="24"/>
        </w:rPr>
        <w:t xml:space="preserve"> de </w:t>
      </w:r>
      <w:proofErr w:type="spellStart"/>
      <w:r w:rsidRPr="00723AA9">
        <w:rPr>
          <w:rFonts w:ascii="Times New Roman" w:hAnsi="Times New Roman" w:cs="Times New Roman"/>
          <w:sz w:val="24"/>
          <w:szCs w:val="24"/>
        </w:rPr>
        <w:t>Nemirovsky</w:t>
      </w:r>
      <w:proofErr w:type="spellEnd"/>
      <w:r w:rsidRPr="00723AA9">
        <w:rPr>
          <w:rFonts w:ascii="Times New Roman" w:hAnsi="Times New Roman" w:cs="Times New Roman"/>
          <w:sz w:val="24"/>
          <w:szCs w:val="24"/>
        </w:rPr>
        <w:t>, A.(</w:t>
      </w:r>
      <w:proofErr w:type="spellStart"/>
      <w:r w:rsidRPr="00723AA9">
        <w:rPr>
          <w:rFonts w:ascii="Times New Roman" w:hAnsi="Times New Roman" w:cs="Times New Roman"/>
          <w:sz w:val="24"/>
          <w:szCs w:val="24"/>
        </w:rPr>
        <w:t>coomp</w:t>
      </w:r>
      <w:proofErr w:type="spellEnd"/>
      <w:r w:rsidRPr="00723AA9">
        <w:rPr>
          <w:rFonts w:ascii="Times New Roman" w:hAnsi="Times New Roman" w:cs="Times New Roman"/>
          <w:sz w:val="24"/>
          <w:szCs w:val="24"/>
        </w:rPr>
        <w:t>). Globalización y agricultura periurbana en Argentina. Escenarios, recorridos y problemas. Serie Monografías. FLACSO</w:t>
      </w:r>
    </w:p>
    <w:p w14:paraId="6C50C49A"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 xml:space="preserve">PARRA, G. (2017). La dinámica transformadora en el uso </w:t>
      </w:r>
      <w:proofErr w:type="spellStart"/>
      <w:r w:rsidRPr="00723AA9">
        <w:rPr>
          <w:rFonts w:ascii="Times New Roman" w:eastAsia="Calibri" w:hAnsi="Times New Roman" w:cs="Times New Roman"/>
          <w:sz w:val="24"/>
          <w:szCs w:val="24"/>
          <w:lang w:val="es-ES"/>
        </w:rPr>
        <w:t>agrovitícola</w:t>
      </w:r>
      <w:proofErr w:type="spellEnd"/>
      <w:r w:rsidRPr="00723AA9">
        <w:rPr>
          <w:rFonts w:ascii="Times New Roman" w:eastAsia="Calibri" w:hAnsi="Times New Roman" w:cs="Times New Roman"/>
          <w:sz w:val="24"/>
          <w:szCs w:val="24"/>
          <w:lang w:val="es-ES"/>
        </w:rPr>
        <w:t xml:space="preserve"> del suelo: pérdida del potencial vitícola y urbanización difusa en el suroeste del departamento de Maipú, Mendoza. En: X Jornadas Interdisciplinarias de Estudios Agrarios y Agroindustriales. </w:t>
      </w:r>
    </w:p>
    <w:p w14:paraId="719337F6"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 xml:space="preserve">PEDONE, C. (1999). Territorios marginales y globalización. organización social agraria en un área del margen del Oasis Norte, Mendoza (Argentina). </w:t>
      </w:r>
      <w:proofErr w:type="spellStart"/>
      <w:r w:rsidRPr="00723AA9">
        <w:rPr>
          <w:rFonts w:ascii="Times New Roman" w:hAnsi="Times New Roman" w:cs="Times New Roman"/>
          <w:sz w:val="24"/>
          <w:szCs w:val="24"/>
        </w:rPr>
        <w:t>Scripta</w:t>
      </w:r>
      <w:proofErr w:type="spellEnd"/>
      <w:r w:rsidRPr="00723AA9">
        <w:rPr>
          <w:rFonts w:ascii="Times New Roman" w:hAnsi="Times New Roman" w:cs="Times New Roman"/>
          <w:sz w:val="24"/>
          <w:szCs w:val="24"/>
        </w:rPr>
        <w:t xml:space="preserve"> Nova. Revista Electrónica De Geografía Y Ciencias Sociales. (45 (12).</w:t>
      </w:r>
    </w:p>
    <w:p w14:paraId="37D6C77D"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PREDA, G. (2013). Problematizar desde Bourdieu las transformaciones territoriales en el departamento de Río Seco (Provincia de Córdoba) como consecuencia de la expansión del capital agrario. Serie De Estudios Sociales Agrarios. (2).</w:t>
      </w:r>
    </w:p>
    <w:p w14:paraId="45AFC846"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lastRenderedPageBreak/>
        <w:t>REBORATTI, C. (2008). Capítulo 10: Desarrollo agropecuario, ambiente y población rural. En SOLBRIG. O. T. y ADAMOLI, J. (Coord.). (2008). Agro y ambiente: una agenda compartida para el desarrollo sustentable. Foro de la cadena agroindustrial.</w:t>
      </w:r>
    </w:p>
    <w:p w14:paraId="03A2F24F"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hAnsi="Times New Roman" w:cs="Times New Roman"/>
          <w:sz w:val="24"/>
          <w:szCs w:val="24"/>
        </w:rPr>
      </w:pPr>
      <w:r w:rsidRPr="00723AA9">
        <w:rPr>
          <w:rFonts w:ascii="Times New Roman" w:hAnsi="Times New Roman" w:cs="Times New Roman"/>
          <w:sz w:val="24"/>
          <w:szCs w:val="24"/>
        </w:rPr>
        <w:t>RIVERO SIERRA, F., ÁLAMO, F. (2017). “Horticultores bolivianos en Casas Viejas (Tucumán): un caso de movilidad social ascendente “escalera boliviana” que articula la movilidad espacial horizontal “diseminación” como estrategia” Revista Latinoamericana de Estudios del Trabajo. págs. 33-66.</w:t>
      </w:r>
    </w:p>
    <w:p w14:paraId="1D36821D" w14:textId="77777777" w:rsidR="001F1657" w:rsidRPr="00723AA9"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VAN DEN BOSCH, M. E. (2016). Dinámica de concentración de tierras agropecuarias en la provincia de Mendoza. Mendoza, Argentina: INTA.</w:t>
      </w:r>
    </w:p>
    <w:p w14:paraId="4F2A5BF7" w14:textId="77777777" w:rsidR="001F1657"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723AA9">
        <w:rPr>
          <w:rFonts w:ascii="Times New Roman" w:eastAsia="Calibri" w:hAnsi="Times New Roman" w:cs="Times New Roman"/>
          <w:sz w:val="24"/>
          <w:szCs w:val="24"/>
          <w:lang w:val="es-ES"/>
        </w:rPr>
        <w:t xml:space="preserve">VAN DEN BOSCH, M. E. (2018). Dinámica y estructura agraria de los distritos del Oasis Norte (1988-2008). Mendoza. Ediciones INTA. Inédito. </w:t>
      </w:r>
    </w:p>
    <w:p w14:paraId="2716ECDF" w14:textId="77777777" w:rsidR="001F1657" w:rsidRPr="002404F7" w:rsidRDefault="001F1657" w:rsidP="00723AA9">
      <w:pPr>
        <w:pStyle w:val="Prrafodelista"/>
        <w:numPr>
          <w:ilvl w:val="0"/>
          <w:numId w:val="10"/>
        </w:numPr>
        <w:spacing w:before="120" w:after="120" w:line="360" w:lineRule="auto"/>
        <w:ind w:left="426" w:hanging="284"/>
        <w:jc w:val="both"/>
        <w:rPr>
          <w:rFonts w:ascii="Times New Roman" w:eastAsia="Calibri" w:hAnsi="Times New Roman" w:cs="Times New Roman"/>
          <w:sz w:val="24"/>
          <w:szCs w:val="24"/>
          <w:lang w:val="es-ES"/>
        </w:rPr>
      </w:pPr>
      <w:r w:rsidRPr="002404F7">
        <w:rPr>
          <w:rFonts w:ascii="Times New Roman" w:hAnsi="Times New Roman" w:cs="Times New Roman"/>
          <w:sz w:val="24"/>
          <w:szCs w:val="24"/>
        </w:rPr>
        <w:t xml:space="preserve">VAN DEN BOSCH. M. E. </w:t>
      </w:r>
      <w:r>
        <w:rPr>
          <w:rFonts w:ascii="Times New Roman" w:hAnsi="Times New Roman" w:cs="Times New Roman"/>
          <w:sz w:val="24"/>
          <w:szCs w:val="24"/>
        </w:rPr>
        <w:t>y</w:t>
      </w:r>
      <w:r w:rsidRPr="002404F7">
        <w:rPr>
          <w:rFonts w:ascii="Times New Roman" w:hAnsi="Times New Roman" w:cs="Times New Roman"/>
          <w:sz w:val="24"/>
          <w:szCs w:val="24"/>
        </w:rPr>
        <w:t xml:space="preserve"> RUGGIERI, M. </w:t>
      </w:r>
      <w:r>
        <w:rPr>
          <w:rFonts w:ascii="Times New Roman" w:hAnsi="Times New Roman" w:cs="Times New Roman"/>
          <w:sz w:val="24"/>
          <w:szCs w:val="24"/>
        </w:rPr>
        <w:t>(</w:t>
      </w:r>
      <w:r w:rsidRPr="002404F7">
        <w:rPr>
          <w:rFonts w:ascii="Times New Roman" w:hAnsi="Times New Roman" w:cs="Times New Roman"/>
          <w:sz w:val="24"/>
          <w:szCs w:val="24"/>
        </w:rPr>
        <w:t>2014</w:t>
      </w:r>
      <w:r>
        <w:rPr>
          <w:rFonts w:ascii="Times New Roman" w:hAnsi="Times New Roman" w:cs="Times New Roman"/>
          <w:sz w:val="24"/>
          <w:szCs w:val="24"/>
        </w:rPr>
        <w:t>)</w:t>
      </w:r>
      <w:r w:rsidRPr="002404F7">
        <w:rPr>
          <w:rFonts w:ascii="Times New Roman" w:hAnsi="Times New Roman" w:cs="Times New Roman"/>
          <w:sz w:val="24"/>
          <w:szCs w:val="24"/>
        </w:rPr>
        <w:t>. Cinturón Verde de Mendoza. Análisis de la Dinámica Intercensal de las explotaciones agropecuarias. IV Congreso Nacional de la Asociación Argentina de Economía Agraria. Buenos Aires, pp.16</w:t>
      </w:r>
      <w:r>
        <w:rPr>
          <w:rFonts w:ascii="Times New Roman" w:hAnsi="Times New Roman" w:cs="Times New Roman"/>
          <w:sz w:val="24"/>
          <w:szCs w:val="24"/>
        </w:rPr>
        <w:t>.</w:t>
      </w:r>
    </w:p>
    <w:sectPr w:rsidR="001F1657" w:rsidRPr="002404F7" w:rsidSect="00A17782">
      <w:footerReference w:type="default" r:id="rId18"/>
      <w:pgSz w:w="11906" w:h="16838" w:code="9"/>
      <w:pgMar w:top="1418" w:right="141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0A45D" w14:textId="77777777" w:rsidR="006434EA" w:rsidRDefault="006434EA" w:rsidP="009B7B46">
      <w:pPr>
        <w:spacing w:after="0" w:line="240" w:lineRule="auto"/>
      </w:pPr>
      <w:r>
        <w:separator/>
      </w:r>
    </w:p>
  </w:endnote>
  <w:endnote w:type="continuationSeparator" w:id="0">
    <w:p w14:paraId="3B3B4B6A" w14:textId="77777777" w:rsidR="006434EA" w:rsidRDefault="006434EA" w:rsidP="009B7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271186"/>
      <w:docPartObj>
        <w:docPartGallery w:val="Page Numbers (Bottom of Page)"/>
        <w:docPartUnique/>
      </w:docPartObj>
    </w:sdtPr>
    <w:sdtEndPr/>
    <w:sdtContent>
      <w:p w14:paraId="293D740F" w14:textId="7717699B" w:rsidR="00580D4F" w:rsidRDefault="00580D4F">
        <w:pPr>
          <w:pStyle w:val="Piedepgina"/>
          <w:jc w:val="right"/>
        </w:pPr>
        <w:r>
          <w:fldChar w:fldCharType="begin"/>
        </w:r>
        <w:r>
          <w:instrText>PAGE   \* MERGEFORMAT</w:instrText>
        </w:r>
        <w:r>
          <w:fldChar w:fldCharType="separate"/>
        </w:r>
        <w:r>
          <w:rPr>
            <w:lang w:val="es-ES"/>
          </w:rPr>
          <w:t>2</w:t>
        </w:r>
        <w:r>
          <w:fldChar w:fldCharType="end"/>
        </w:r>
      </w:p>
    </w:sdtContent>
  </w:sdt>
  <w:p w14:paraId="151CA934" w14:textId="77777777" w:rsidR="00580D4F" w:rsidRDefault="00580D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18D21" w14:textId="77777777" w:rsidR="006434EA" w:rsidRDefault="006434EA" w:rsidP="009B7B46">
      <w:pPr>
        <w:spacing w:after="0" w:line="240" w:lineRule="auto"/>
      </w:pPr>
      <w:r>
        <w:separator/>
      </w:r>
    </w:p>
  </w:footnote>
  <w:footnote w:type="continuationSeparator" w:id="0">
    <w:p w14:paraId="1F21C016" w14:textId="77777777" w:rsidR="006434EA" w:rsidRDefault="006434EA" w:rsidP="009B7B46">
      <w:pPr>
        <w:spacing w:after="0" w:line="240" w:lineRule="auto"/>
      </w:pPr>
      <w:r>
        <w:continuationSeparator/>
      </w:r>
    </w:p>
  </w:footnote>
  <w:footnote w:id="1">
    <w:p w14:paraId="0649B2A8" w14:textId="3BACCE3E" w:rsidR="00BF05F1" w:rsidRDefault="005B60E2" w:rsidP="00BF05F1">
      <w:pPr>
        <w:pStyle w:val="Textonotapie"/>
        <w:jc w:val="both"/>
      </w:pPr>
      <w:r>
        <w:rPr>
          <w:rStyle w:val="Refdenotaalpie"/>
        </w:rPr>
        <w:footnoteRef/>
      </w:r>
      <w:r>
        <w:t xml:space="preserve"> </w:t>
      </w:r>
      <w:r w:rsidR="00BF05F1">
        <w:t xml:space="preserve">Mixtos- hortícola es una categoría utilizada para indicar la convivencia de dos grupos diferentes de cultivos, pero con predominancia del cultivo hortícola, el cual ocupa entre el 40% y el 70% de la superficie implantada de la explotación y supera a las demás (Van den Bosch, 2018, inédito). </w:t>
      </w:r>
    </w:p>
    <w:p w14:paraId="430A7C0B" w14:textId="0ACCF772" w:rsidR="005B60E2" w:rsidRPr="005B60E2" w:rsidRDefault="005B60E2">
      <w:pPr>
        <w:pStyle w:val="Textonotapie"/>
        <w:rPr>
          <w:lang w:val="es-ES"/>
        </w:rPr>
      </w:pPr>
    </w:p>
  </w:footnote>
  <w:footnote w:id="2">
    <w:p w14:paraId="2FAC0528" w14:textId="77777777" w:rsidR="001A126A" w:rsidRPr="00915565" w:rsidRDefault="001A126A" w:rsidP="001A126A">
      <w:pPr>
        <w:pStyle w:val="Textonotapie"/>
        <w:rPr>
          <w:lang w:val="es-ES"/>
        </w:rPr>
      </w:pPr>
      <w:r>
        <w:rPr>
          <w:rStyle w:val="Refdenotaalpie"/>
        </w:rPr>
        <w:footnoteRef/>
      </w:r>
      <w:hyperlink r:id="rId1" w:history="1">
        <w:r w:rsidRPr="00196AF6">
          <w:rPr>
            <w:rStyle w:val="Hipervnculo"/>
          </w:rPr>
          <w:t>https://earthexplorer.usgs.gov/</w:t>
        </w:r>
      </w:hyperlink>
    </w:p>
  </w:footnote>
  <w:footnote w:id="3">
    <w:p w14:paraId="754EA279" w14:textId="77777777" w:rsidR="001A126A" w:rsidRDefault="001A126A" w:rsidP="001A126A">
      <w:pPr>
        <w:pStyle w:val="Textonotapie"/>
        <w:jc w:val="both"/>
      </w:pPr>
      <w:r>
        <w:rPr>
          <w:rStyle w:val="Refdenotaalpie"/>
        </w:rPr>
        <w:footnoteRef/>
      </w:r>
      <w:r>
        <w:t xml:space="preserve"> •2008 (capa ráster): este es el año base sobre el cual se realizaron comparaciones. •2012(capa vectorial): Dicha capa contiene un estudio sobre los usos del suelo que sirvió como línea de base a para comprar cambios en los tipos de cultivo e identificar las zonas de avance de frontera agrícola, entendiendo a ésta como un avance sobre espacios de monte natural. Asimismo, se tomaron imágenes correspondientes al avance urbano mediante el análisis de NDVI índices verdes (2012-2018), disponibles por INTA, la cual facilitó el análisis integral de la línea de base. •2016(capa vectorial): se pudo tener acceso a información vectorial georeferenciada obtenida en campo por el Instituto de Desarrollo Rural. El sesgo de estos datos es que se relevan sólo unidades de más de 15 ha. y principalmente horticultura de invierno (ajo). Sin embargo, este dato permite encontrar el aumento de superficies hortícolas que responde sobre todo a productores de mayor escala. Entre sus ventajas se encuentra que la información fue contrastada en territorio. •2018 (capa vectorial): Esta capa contiene el pronóstico de cosecha de ajo también desarrollado por el IDR. Asimismo, se utilizó una capa ráster sobre hortalizas pesadas (cebolla, tomate y ajo) tanto del periodo estival (diciembre) y de invierno (agosto) que permitió la comparabilidad con las capas 2008.  </w:t>
      </w:r>
    </w:p>
  </w:footnote>
  <w:footnote w:id="4">
    <w:p w14:paraId="29A99D30" w14:textId="0EC00EF6" w:rsidR="00CF3920" w:rsidRPr="00CF3920" w:rsidRDefault="00CF3920" w:rsidP="00CF3920">
      <w:pPr>
        <w:pStyle w:val="Textonotapie"/>
        <w:jc w:val="both"/>
      </w:pPr>
      <w:r>
        <w:rPr>
          <w:rStyle w:val="Refdenotaalpie"/>
        </w:rPr>
        <w:footnoteRef/>
      </w:r>
      <w:r>
        <w:t xml:space="preserve"> E</w:t>
      </w:r>
      <w:r w:rsidRPr="00CF3920">
        <w:t>s un tipo de suelo negro rico en humus (del 3 al 13 %), además de serlo en potasio, fósforo y microelementos. Es uno de los más fértiles para la agricultura. Tiene un horizonte A rico en humus de mucho espesor, que puede tener hasta 1 metro o más.</w:t>
      </w:r>
    </w:p>
  </w:footnote>
  <w:footnote w:id="5">
    <w:p w14:paraId="3CB34397" w14:textId="736F6CCE" w:rsidR="0036101D" w:rsidRDefault="0036101D" w:rsidP="0036101D">
      <w:pPr>
        <w:pStyle w:val="Textonotapie"/>
        <w:jc w:val="both"/>
      </w:pPr>
      <w:r>
        <w:rPr>
          <w:rStyle w:val="Refdenotaalpie"/>
        </w:rPr>
        <w:footnoteRef/>
      </w:r>
      <w:r>
        <w:t xml:space="preserve"> </w:t>
      </w:r>
      <w:r w:rsidRPr="0036101D">
        <w:t>Agricultores innovadores en proceso de transformación: usan el crédito, se asesoran técnicamente pero no participan de ninguna organización intermedia. La conducción de la finca es variable y el cultivo no es determinante.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4247"/>
    <w:multiLevelType w:val="hybridMultilevel"/>
    <w:tmpl w:val="BFDCE2B4"/>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92576FD"/>
    <w:multiLevelType w:val="hybridMultilevel"/>
    <w:tmpl w:val="B3B46FE6"/>
    <w:lvl w:ilvl="0" w:tplc="2C0A0001">
      <w:start w:val="1"/>
      <w:numFmt w:val="bullet"/>
      <w:lvlText w:val=""/>
      <w:lvlJc w:val="left"/>
      <w:pPr>
        <w:ind w:left="1440" w:hanging="360"/>
      </w:pPr>
      <w:rPr>
        <w:rFonts w:ascii="Symbol" w:hAnsi="Symbol" w:hint="default"/>
      </w:rPr>
    </w:lvl>
    <w:lvl w:ilvl="1" w:tplc="2C0A0003">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15:restartNumberingAfterBreak="0">
    <w:nsid w:val="13B52FAD"/>
    <w:multiLevelType w:val="hybridMultilevel"/>
    <w:tmpl w:val="8C04219C"/>
    <w:lvl w:ilvl="0" w:tplc="19FC3178">
      <w:numFmt w:val="bullet"/>
      <w:lvlText w:val="•"/>
      <w:lvlJc w:val="left"/>
      <w:pPr>
        <w:ind w:left="1785" w:hanging="705"/>
      </w:pPr>
      <w:rPr>
        <w:rFonts w:ascii="Times New Roman" w:eastAsiaTheme="minorHAnsi"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 w15:restartNumberingAfterBreak="0">
    <w:nsid w:val="3011364F"/>
    <w:multiLevelType w:val="hybridMultilevel"/>
    <w:tmpl w:val="442465B8"/>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3542619B"/>
    <w:multiLevelType w:val="hybridMultilevel"/>
    <w:tmpl w:val="7952A1A6"/>
    <w:lvl w:ilvl="0" w:tplc="2C0A0013">
      <w:start w:val="1"/>
      <w:numFmt w:val="upperRoman"/>
      <w:lvlText w:val="%1."/>
      <w:lvlJc w:val="righ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15:restartNumberingAfterBreak="0">
    <w:nsid w:val="35AB175A"/>
    <w:multiLevelType w:val="hybridMultilevel"/>
    <w:tmpl w:val="23D06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1023BA4"/>
    <w:multiLevelType w:val="hybridMultilevel"/>
    <w:tmpl w:val="671AE826"/>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6096D52"/>
    <w:multiLevelType w:val="hybridMultilevel"/>
    <w:tmpl w:val="090C8522"/>
    <w:lvl w:ilvl="0" w:tplc="2C0A0013">
      <w:start w:val="1"/>
      <w:numFmt w:val="upperRoman"/>
      <w:lvlText w:val="%1."/>
      <w:lvlJc w:val="right"/>
      <w:pPr>
        <w:ind w:left="720" w:hanging="360"/>
      </w:pPr>
      <w:rPr>
        <w:b/>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62482C36"/>
    <w:multiLevelType w:val="hybridMultilevel"/>
    <w:tmpl w:val="91BEBB6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15:restartNumberingAfterBreak="0">
    <w:nsid w:val="66C6137A"/>
    <w:multiLevelType w:val="hybridMultilevel"/>
    <w:tmpl w:val="EB9C6F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A34148D"/>
    <w:multiLevelType w:val="hybridMultilevel"/>
    <w:tmpl w:val="3AF2C060"/>
    <w:lvl w:ilvl="0" w:tplc="19FC3178">
      <w:numFmt w:val="bullet"/>
      <w:lvlText w:val="•"/>
      <w:lvlJc w:val="left"/>
      <w:pPr>
        <w:ind w:left="1785" w:hanging="705"/>
      </w:pPr>
      <w:rPr>
        <w:rFonts w:ascii="Times New Roman" w:eastAsiaTheme="minorHAnsi"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15:restartNumberingAfterBreak="0">
    <w:nsid w:val="714C317B"/>
    <w:multiLevelType w:val="hybridMultilevel"/>
    <w:tmpl w:val="9330FADA"/>
    <w:lvl w:ilvl="0" w:tplc="2AD0C5BE">
      <w:start w:val="5"/>
      <w:numFmt w:val="lowerRoman"/>
      <w:lvlText w:val="%1."/>
      <w:lvlJc w:val="left"/>
      <w:pPr>
        <w:ind w:left="1080" w:hanging="720"/>
      </w:pPr>
      <w:rPr>
        <w:rFonts w:hint="default"/>
        <w:b/>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7480191F"/>
    <w:multiLevelType w:val="hybridMultilevel"/>
    <w:tmpl w:val="CB922278"/>
    <w:lvl w:ilvl="0" w:tplc="19FC3178">
      <w:numFmt w:val="bullet"/>
      <w:lvlText w:val="•"/>
      <w:lvlJc w:val="left"/>
      <w:pPr>
        <w:ind w:left="1065" w:hanging="705"/>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49F3CB3"/>
    <w:multiLevelType w:val="hybridMultilevel"/>
    <w:tmpl w:val="4BA0A876"/>
    <w:lvl w:ilvl="0" w:tplc="19FC3178">
      <w:numFmt w:val="bullet"/>
      <w:lvlText w:val="•"/>
      <w:lvlJc w:val="left"/>
      <w:pPr>
        <w:ind w:left="1065" w:hanging="705"/>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5230E51"/>
    <w:multiLevelType w:val="hybridMultilevel"/>
    <w:tmpl w:val="95BCE6EC"/>
    <w:lvl w:ilvl="0" w:tplc="19FC3178">
      <w:numFmt w:val="bullet"/>
      <w:lvlText w:val="•"/>
      <w:lvlJc w:val="left"/>
      <w:pPr>
        <w:ind w:left="1065" w:hanging="705"/>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9"/>
  </w:num>
  <w:num w:numId="5">
    <w:abstractNumId w:val="13"/>
  </w:num>
  <w:num w:numId="6">
    <w:abstractNumId w:val="2"/>
  </w:num>
  <w:num w:numId="7">
    <w:abstractNumId w:val="3"/>
  </w:num>
  <w:num w:numId="8">
    <w:abstractNumId w:val="12"/>
  </w:num>
  <w:num w:numId="9">
    <w:abstractNumId w:val="14"/>
  </w:num>
  <w:num w:numId="10">
    <w:abstractNumId w:val="10"/>
  </w:num>
  <w:num w:numId="11">
    <w:abstractNumId w:val="4"/>
  </w:num>
  <w:num w:numId="12">
    <w:abstractNumId w:val="0"/>
  </w:num>
  <w:num w:numId="13">
    <w:abstractNumId w:val="6"/>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13A"/>
    <w:rsid w:val="00013326"/>
    <w:rsid w:val="0002120F"/>
    <w:rsid w:val="00026D22"/>
    <w:rsid w:val="000436D5"/>
    <w:rsid w:val="00066BAA"/>
    <w:rsid w:val="00071C18"/>
    <w:rsid w:val="00087724"/>
    <w:rsid w:val="000953BC"/>
    <w:rsid w:val="000A42C2"/>
    <w:rsid w:val="000A46E2"/>
    <w:rsid w:val="000C3FCA"/>
    <w:rsid w:val="000C41B5"/>
    <w:rsid w:val="000F5B1C"/>
    <w:rsid w:val="00125C96"/>
    <w:rsid w:val="0012789C"/>
    <w:rsid w:val="001446DA"/>
    <w:rsid w:val="00146327"/>
    <w:rsid w:val="00153A1B"/>
    <w:rsid w:val="0015520E"/>
    <w:rsid w:val="001651FF"/>
    <w:rsid w:val="001805D2"/>
    <w:rsid w:val="001A126A"/>
    <w:rsid w:val="001A2702"/>
    <w:rsid w:val="001B5089"/>
    <w:rsid w:val="001C2F2B"/>
    <w:rsid w:val="001D6B83"/>
    <w:rsid w:val="001F1657"/>
    <w:rsid w:val="0021635A"/>
    <w:rsid w:val="002404F7"/>
    <w:rsid w:val="002642C0"/>
    <w:rsid w:val="00281CA9"/>
    <w:rsid w:val="002A0479"/>
    <w:rsid w:val="002A1744"/>
    <w:rsid w:val="002D2550"/>
    <w:rsid w:val="003046A4"/>
    <w:rsid w:val="00306817"/>
    <w:rsid w:val="003075B2"/>
    <w:rsid w:val="0034196A"/>
    <w:rsid w:val="0035575B"/>
    <w:rsid w:val="0036101D"/>
    <w:rsid w:val="00361867"/>
    <w:rsid w:val="0038761D"/>
    <w:rsid w:val="003A0A8A"/>
    <w:rsid w:val="003B1C7F"/>
    <w:rsid w:val="003D2B8F"/>
    <w:rsid w:val="003D3F21"/>
    <w:rsid w:val="003F1A3B"/>
    <w:rsid w:val="00413D8E"/>
    <w:rsid w:val="00431B19"/>
    <w:rsid w:val="00433A66"/>
    <w:rsid w:val="00441BEA"/>
    <w:rsid w:val="00451BB3"/>
    <w:rsid w:val="00457DFC"/>
    <w:rsid w:val="00462DC5"/>
    <w:rsid w:val="00464518"/>
    <w:rsid w:val="00480EAE"/>
    <w:rsid w:val="004C6587"/>
    <w:rsid w:val="004D4BCC"/>
    <w:rsid w:val="004D7214"/>
    <w:rsid w:val="004E67CF"/>
    <w:rsid w:val="00512B08"/>
    <w:rsid w:val="00524C43"/>
    <w:rsid w:val="00533873"/>
    <w:rsid w:val="00553CB5"/>
    <w:rsid w:val="00560FDB"/>
    <w:rsid w:val="00563458"/>
    <w:rsid w:val="0057667E"/>
    <w:rsid w:val="00580D4F"/>
    <w:rsid w:val="005B60E2"/>
    <w:rsid w:val="006326DD"/>
    <w:rsid w:val="006434EA"/>
    <w:rsid w:val="0064458F"/>
    <w:rsid w:val="00671F50"/>
    <w:rsid w:val="006A5559"/>
    <w:rsid w:val="006B5FD1"/>
    <w:rsid w:val="006F6A43"/>
    <w:rsid w:val="0071175D"/>
    <w:rsid w:val="007138D0"/>
    <w:rsid w:val="00723AA9"/>
    <w:rsid w:val="00764704"/>
    <w:rsid w:val="0078196C"/>
    <w:rsid w:val="007D1083"/>
    <w:rsid w:val="007D4B3D"/>
    <w:rsid w:val="0081403B"/>
    <w:rsid w:val="00834423"/>
    <w:rsid w:val="0086368E"/>
    <w:rsid w:val="00867AC5"/>
    <w:rsid w:val="0087422C"/>
    <w:rsid w:val="008856B9"/>
    <w:rsid w:val="008A4D4E"/>
    <w:rsid w:val="008A64D1"/>
    <w:rsid w:val="00952214"/>
    <w:rsid w:val="00971E5C"/>
    <w:rsid w:val="0097566D"/>
    <w:rsid w:val="00975FFC"/>
    <w:rsid w:val="00977867"/>
    <w:rsid w:val="00996E3E"/>
    <w:rsid w:val="00997780"/>
    <w:rsid w:val="009B3704"/>
    <w:rsid w:val="009B7B46"/>
    <w:rsid w:val="009E3C57"/>
    <w:rsid w:val="00A13BBC"/>
    <w:rsid w:val="00A17782"/>
    <w:rsid w:val="00A6378A"/>
    <w:rsid w:val="00AC6AAB"/>
    <w:rsid w:val="00AE58E1"/>
    <w:rsid w:val="00AF48E7"/>
    <w:rsid w:val="00B25FEB"/>
    <w:rsid w:val="00B3613A"/>
    <w:rsid w:val="00B50B2F"/>
    <w:rsid w:val="00B577C2"/>
    <w:rsid w:val="00B971F7"/>
    <w:rsid w:val="00BA32D6"/>
    <w:rsid w:val="00BC0AC3"/>
    <w:rsid w:val="00BC4F4D"/>
    <w:rsid w:val="00BD3A9F"/>
    <w:rsid w:val="00BD74FC"/>
    <w:rsid w:val="00BF05F1"/>
    <w:rsid w:val="00C05D1B"/>
    <w:rsid w:val="00C17483"/>
    <w:rsid w:val="00C45D89"/>
    <w:rsid w:val="00C65B33"/>
    <w:rsid w:val="00C66470"/>
    <w:rsid w:val="00C77B3D"/>
    <w:rsid w:val="00C80CE4"/>
    <w:rsid w:val="00C85457"/>
    <w:rsid w:val="00CA15CE"/>
    <w:rsid w:val="00CC0CDE"/>
    <w:rsid w:val="00CC0D18"/>
    <w:rsid w:val="00CD1377"/>
    <w:rsid w:val="00CF3920"/>
    <w:rsid w:val="00D05C91"/>
    <w:rsid w:val="00D071D7"/>
    <w:rsid w:val="00D12C03"/>
    <w:rsid w:val="00D14834"/>
    <w:rsid w:val="00D25EBC"/>
    <w:rsid w:val="00D90F74"/>
    <w:rsid w:val="00DA6030"/>
    <w:rsid w:val="00DA7C51"/>
    <w:rsid w:val="00DC31D2"/>
    <w:rsid w:val="00DC4009"/>
    <w:rsid w:val="00DD5A06"/>
    <w:rsid w:val="00E0182F"/>
    <w:rsid w:val="00E64547"/>
    <w:rsid w:val="00E7212F"/>
    <w:rsid w:val="00E7491D"/>
    <w:rsid w:val="00E85481"/>
    <w:rsid w:val="00E85AD9"/>
    <w:rsid w:val="00E908C9"/>
    <w:rsid w:val="00E97ECE"/>
    <w:rsid w:val="00ED5CDE"/>
    <w:rsid w:val="00EE4AC5"/>
    <w:rsid w:val="00F01C9A"/>
    <w:rsid w:val="00F44BA6"/>
    <w:rsid w:val="00F72458"/>
    <w:rsid w:val="00FA3037"/>
    <w:rsid w:val="00FC3B42"/>
    <w:rsid w:val="00FE3CA7"/>
    <w:rsid w:val="00FE519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438D5"/>
  <w15:chartTrackingRefBased/>
  <w15:docId w15:val="{22CFDD91-EBF0-4944-A513-FF0B96BD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671F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71F50"/>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671F50"/>
    <w:rPr>
      <w:color w:val="0563C1" w:themeColor="hyperlink"/>
      <w:u w:val="single"/>
    </w:rPr>
  </w:style>
  <w:style w:type="paragraph" w:styleId="Prrafodelista">
    <w:name w:val="List Paragraph"/>
    <w:basedOn w:val="Normal"/>
    <w:uiPriority w:val="34"/>
    <w:qFormat/>
    <w:rsid w:val="003A0A8A"/>
    <w:pPr>
      <w:ind w:left="720"/>
      <w:contextualSpacing/>
    </w:pPr>
  </w:style>
  <w:style w:type="paragraph" w:styleId="Textonotapie">
    <w:name w:val="footnote text"/>
    <w:basedOn w:val="Normal"/>
    <w:link w:val="TextonotapieCar"/>
    <w:uiPriority w:val="99"/>
    <w:semiHidden/>
    <w:unhideWhenUsed/>
    <w:rsid w:val="009B7B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7B46"/>
    <w:rPr>
      <w:sz w:val="20"/>
      <w:szCs w:val="20"/>
    </w:rPr>
  </w:style>
  <w:style w:type="character" w:styleId="Refdenotaalpie">
    <w:name w:val="footnote reference"/>
    <w:basedOn w:val="Fuentedeprrafopredeter"/>
    <w:uiPriority w:val="99"/>
    <w:semiHidden/>
    <w:unhideWhenUsed/>
    <w:rsid w:val="009B7B46"/>
    <w:rPr>
      <w:vertAlign w:val="superscript"/>
    </w:rPr>
  </w:style>
  <w:style w:type="table" w:styleId="Tablaconcuadrcula">
    <w:name w:val="Table Grid"/>
    <w:basedOn w:val="Tablanormal"/>
    <w:uiPriority w:val="39"/>
    <w:rsid w:val="00D90F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D90F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2163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
    <w:name w:val="Grid Table 1 Light"/>
    <w:basedOn w:val="Tablanormal"/>
    <w:uiPriority w:val="46"/>
    <w:rsid w:val="002163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2163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431B19"/>
    <w:pPr>
      <w:spacing w:after="200" w:line="240" w:lineRule="auto"/>
    </w:pPr>
    <w:rPr>
      <w:i/>
      <w:iCs/>
      <w:color w:val="44546A" w:themeColor="text2"/>
      <w:sz w:val="18"/>
      <w:szCs w:val="18"/>
    </w:rPr>
  </w:style>
  <w:style w:type="table" w:styleId="Tabladecuadrcula4">
    <w:name w:val="Grid Table 4"/>
    <w:basedOn w:val="Tablanormal"/>
    <w:uiPriority w:val="49"/>
    <w:rsid w:val="000F5B1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952214"/>
    <w:rPr>
      <w:sz w:val="16"/>
      <w:szCs w:val="16"/>
    </w:rPr>
  </w:style>
  <w:style w:type="paragraph" w:styleId="Textocomentario">
    <w:name w:val="annotation text"/>
    <w:basedOn w:val="Normal"/>
    <w:link w:val="TextocomentarioCar"/>
    <w:uiPriority w:val="99"/>
    <w:semiHidden/>
    <w:unhideWhenUsed/>
    <w:rsid w:val="009522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2214"/>
    <w:rPr>
      <w:sz w:val="20"/>
      <w:szCs w:val="20"/>
    </w:rPr>
  </w:style>
  <w:style w:type="paragraph" w:styleId="Asuntodelcomentario">
    <w:name w:val="annotation subject"/>
    <w:basedOn w:val="Textocomentario"/>
    <w:next w:val="Textocomentario"/>
    <w:link w:val="AsuntodelcomentarioCar"/>
    <w:uiPriority w:val="99"/>
    <w:semiHidden/>
    <w:unhideWhenUsed/>
    <w:rsid w:val="00952214"/>
    <w:rPr>
      <w:b/>
      <w:bCs/>
    </w:rPr>
  </w:style>
  <w:style w:type="character" w:customStyle="1" w:styleId="AsuntodelcomentarioCar">
    <w:name w:val="Asunto del comentario Car"/>
    <w:basedOn w:val="TextocomentarioCar"/>
    <w:link w:val="Asuntodelcomentario"/>
    <w:uiPriority w:val="99"/>
    <w:semiHidden/>
    <w:rsid w:val="00952214"/>
    <w:rPr>
      <w:b/>
      <w:bCs/>
      <w:sz w:val="20"/>
      <w:szCs w:val="20"/>
    </w:rPr>
  </w:style>
  <w:style w:type="paragraph" w:styleId="Textodeglobo">
    <w:name w:val="Balloon Text"/>
    <w:basedOn w:val="Normal"/>
    <w:link w:val="TextodegloboCar"/>
    <w:uiPriority w:val="99"/>
    <w:semiHidden/>
    <w:unhideWhenUsed/>
    <w:rsid w:val="009522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2214"/>
    <w:rPr>
      <w:rFonts w:ascii="Segoe UI" w:hAnsi="Segoe UI" w:cs="Segoe UI"/>
      <w:sz w:val="18"/>
      <w:szCs w:val="18"/>
    </w:rPr>
  </w:style>
  <w:style w:type="table" w:styleId="Tabladelista2-nfasis6">
    <w:name w:val="List Table 2 Accent 6"/>
    <w:basedOn w:val="Tablanormal"/>
    <w:uiPriority w:val="47"/>
    <w:rsid w:val="00C05D1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
    <w:name w:val="List Table 7 Colorful"/>
    <w:basedOn w:val="Tablanormal"/>
    <w:uiPriority w:val="52"/>
    <w:rsid w:val="00C05D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580D4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80D4F"/>
  </w:style>
  <w:style w:type="paragraph" w:styleId="Piedepgina">
    <w:name w:val="footer"/>
    <w:basedOn w:val="Normal"/>
    <w:link w:val="PiedepginaCar"/>
    <w:uiPriority w:val="99"/>
    <w:unhideWhenUsed/>
    <w:rsid w:val="00580D4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80D4F"/>
  </w:style>
  <w:style w:type="character" w:styleId="Mencinsinresolver">
    <w:name w:val="Unresolved Mention"/>
    <w:basedOn w:val="Fuentedeprrafopredeter"/>
    <w:uiPriority w:val="99"/>
    <w:semiHidden/>
    <w:unhideWhenUsed/>
    <w:rsid w:val="00180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17853">
      <w:bodyDiv w:val="1"/>
      <w:marLeft w:val="0"/>
      <w:marRight w:val="0"/>
      <w:marTop w:val="0"/>
      <w:marBottom w:val="0"/>
      <w:divBdr>
        <w:top w:val="none" w:sz="0" w:space="0" w:color="auto"/>
        <w:left w:val="none" w:sz="0" w:space="0" w:color="auto"/>
        <w:bottom w:val="none" w:sz="0" w:space="0" w:color="auto"/>
        <w:right w:val="none" w:sz="0" w:space="0" w:color="auto"/>
      </w:divBdr>
    </w:div>
    <w:div w:id="606695871">
      <w:bodyDiv w:val="1"/>
      <w:marLeft w:val="0"/>
      <w:marRight w:val="0"/>
      <w:marTop w:val="0"/>
      <w:marBottom w:val="0"/>
      <w:divBdr>
        <w:top w:val="none" w:sz="0" w:space="0" w:color="auto"/>
        <w:left w:val="none" w:sz="0" w:space="0" w:color="auto"/>
        <w:bottom w:val="none" w:sz="0" w:space="0" w:color="auto"/>
        <w:right w:val="none" w:sz="0" w:space="0" w:color="auto"/>
      </w:divBdr>
    </w:div>
    <w:div w:id="644243784">
      <w:bodyDiv w:val="1"/>
      <w:marLeft w:val="0"/>
      <w:marRight w:val="0"/>
      <w:marTop w:val="0"/>
      <w:marBottom w:val="0"/>
      <w:divBdr>
        <w:top w:val="none" w:sz="0" w:space="0" w:color="auto"/>
        <w:left w:val="none" w:sz="0" w:space="0" w:color="auto"/>
        <w:bottom w:val="none" w:sz="0" w:space="0" w:color="auto"/>
        <w:right w:val="none" w:sz="0" w:space="0" w:color="auto"/>
      </w:divBdr>
    </w:div>
    <w:div w:id="1007825311">
      <w:bodyDiv w:val="1"/>
      <w:marLeft w:val="0"/>
      <w:marRight w:val="0"/>
      <w:marTop w:val="0"/>
      <w:marBottom w:val="0"/>
      <w:divBdr>
        <w:top w:val="none" w:sz="0" w:space="0" w:color="auto"/>
        <w:left w:val="none" w:sz="0" w:space="0" w:color="auto"/>
        <w:bottom w:val="none" w:sz="0" w:space="0" w:color="auto"/>
        <w:right w:val="none" w:sz="0" w:space="0" w:color="auto"/>
      </w:divBdr>
    </w:div>
    <w:div w:id="1017930798">
      <w:bodyDiv w:val="1"/>
      <w:marLeft w:val="0"/>
      <w:marRight w:val="0"/>
      <w:marTop w:val="0"/>
      <w:marBottom w:val="0"/>
      <w:divBdr>
        <w:top w:val="none" w:sz="0" w:space="0" w:color="auto"/>
        <w:left w:val="none" w:sz="0" w:space="0" w:color="auto"/>
        <w:bottom w:val="none" w:sz="0" w:space="0" w:color="auto"/>
        <w:right w:val="none" w:sz="0" w:space="0" w:color="auto"/>
      </w:divBdr>
    </w:div>
    <w:div w:id="1097671595">
      <w:bodyDiv w:val="1"/>
      <w:marLeft w:val="0"/>
      <w:marRight w:val="0"/>
      <w:marTop w:val="0"/>
      <w:marBottom w:val="0"/>
      <w:divBdr>
        <w:top w:val="none" w:sz="0" w:space="0" w:color="auto"/>
        <w:left w:val="none" w:sz="0" w:space="0" w:color="auto"/>
        <w:bottom w:val="none" w:sz="0" w:space="0" w:color="auto"/>
        <w:right w:val="none" w:sz="0" w:space="0" w:color="auto"/>
      </w:divBdr>
    </w:div>
    <w:div w:id="1262183696">
      <w:bodyDiv w:val="1"/>
      <w:marLeft w:val="0"/>
      <w:marRight w:val="0"/>
      <w:marTop w:val="0"/>
      <w:marBottom w:val="0"/>
      <w:divBdr>
        <w:top w:val="none" w:sz="0" w:space="0" w:color="auto"/>
        <w:left w:val="none" w:sz="0" w:space="0" w:color="auto"/>
        <w:bottom w:val="none" w:sz="0" w:space="0" w:color="auto"/>
        <w:right w:val="none" w:sz="0" w:space="0" w:color="auto"/>
      </w:divBdr>
    </w:div>
    <w:div w:id="1323659922">
      <w:bodyDiv w:val="1"/>
      <w:marLeft w:val="0"/>
      <w:marRight w:val="0"/>
      <w:marTop w:val="0"/>
      <w:marBottom w:val="0"/>
      <w:divBdr>
        <w:top w:val="none" w:sz="0" w:space="0" w:color="auto"/>
        <w:left w:val="none" w:sz="0" w:space="0" w:color="auto"/>
        <w:bottom w:val="none" w:sz="0" w:space="0" w:color="auto"/>
        <w:right w:val="none" w:sz="0" w:space="0" w:color="auto"/>
      </w:divBdr>
    </w:div>
    <w:div w:id="137874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lmasso.caterina@inta.gob.ar"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journals.openedition.org/echogeo/11539" TargetMode="External"/><Relationship Id="rId2" Type="http://schemas.openxmlformats.org/officeDocument/2006/relationships/numbering" Target="numbering.xml"/><Relationship Id="rId16" Type="http://schemas.openxmlformats.org/officeDocument/2006/relationships/hyperlink" Target="http://www.deie.mendoza.gov.ar/backend/uploads/files/2016-08-25%2015:25:47_Estad%C3%ADsticas%20Econ%C3%B3micas%202014%20(pdf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bdigital.uncu.edu.ar/10905" TargetMode="External"/><Relationship Id="rId10" Type="http://schemas.openxmlformats.org/officeDocument/2006/relationships/hyperlink" Target="mailto:vitale.javier@inta.gob.a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ustavoaloy72@gmail.com" TargetMode="External"/><Relationship Id="rId14" Type="http://schemas.openxmlformats.org/officeDocument/2006/relationships/hyperlink" Target="http://www.irrigacion.gov.ar/mapserver/sicar_web_produccion/dinamicos/comunes/p_varias/index.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arthexplorer.usgs.go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8FAE8-4F2E-4D27-8E53-51B77B3B2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1344</TotalTime>
  <Pages>20</Pages>
  <Words>6628</Words>
  <Characters>36455</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 Dalmasso</dc:creator>
  <cp:keywords/>
  <dc:description/>
  <cp:lastModifiedBy>Cati Dalmasso</cp:lastModifiedBy>
  <cp:revision>71</cp:revision>
  <cp:lastPrinted>2019-08-22T14:14:00Z</cp:lastPrinted>
  <dcterms:created xsi:type="dcterms:W3CDTF">2019-07-15T13:26:00Z</dcterms:created>
  <dcterms:modified xsi:type="dcterms:W3CDTF">2019-08-25T23:34:00Z</dcterms:modified>
</cp:coreProperties>
</file>